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83C" w:rsidRPr="00246AF5" w:rsidRDefault="00BB483C" w:rsidP="00BB483C">
      <w:pPr>
        <w:jc w:val="both"/>
        <w:rPr>
          <w:rFonts w:eastAsiaTheme="minorEastAsia"/>
          <w:b/>
          <w:bCs/>
          <w:lang w:val="en-US" w:eastAsia="ko-KR"/>
        </w:rPr>
      </w:pPr>
      <w:r w:rsidRPr="00246AF5">
        <w:rPr>
          <w:rFonts w:eastAsiaTheme="minorEastAsia"/>
          <w:b/>
          <w:bCs/>
          <w:lang w:val="en-US" w:eastAsia="ko-KR"/>
        </w:rPr>
        <w:t>Graphical abstract</w:t>
      </w:r>
    </w:p>
    <w:p w:rsidR="00BB483C" w:rsidRPr="00246AF5" w:rsidRDefault="00BB483C" w:rsidP="00BB483C">
      <w:pPr>
        <w:jc w:val="both"/>
        <w:rPr>
          <w:rFonts w:eastAsiaTheme="minorEastAsia"/>
          <w:b/>
          <w:bCs/>
          <w:lang w:val="en-US" w:eastAsia="ko-KR"/>
        </w:rPr>
      </w:pPr>
    </w:p>
    <w:p w:rsidR="00BB483C" w:rsidRPr="00246AF5" w:rsidRDefault="00BB483C" w:rsidP="00BB483C">
      <w:pPr>
        <w:jc w:val="both"/>
        <w:rPr>
          <w:rFonts w:eastAsiaTheme="minorEastAsia"/>
          <w:bCs/>
          <w:lang w:val="en-US" w:eastAsia="ko-KR"/>
        </w:rPr>
      </w:pPr>
      <w:r>
        <w:rPr>
          <w:noProof/>
          <w:lang w:val="en-US" w:eastAsia="en-US"/>
        </w:rPr>
        <w:drawing>
          <wp:inline distT="0" distB="0" distL="0" distR="0" wp14:anchorId="7FF2D24C" wp14:editId="217ABA67">
            <wp:extent cx="5731510" cy="291528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83C" w:rsidRPr="00246AF5" w:rsidRDefault="00BB483C" w:rsidP="00BB483C">
      <w:pPr>
        <w:jc w:val="both"/>
        <w:rPr>
          <w:rFonts w:eastAsiaTheme="minorEastAsia"/>
          <w:bCs/>
          <w:lang w:val="en-US" w:eastAsia="ko-KR"/>
        </w:rPr>
      </w:pPr>
    </w:p>
    <w:p w:rsidR="00BB483C" w:rsidRPr="00E148B9" w:rsidRDefault="00BB483C" w:rsidP="00BB483C">
      <w:pPr>
        <w:jc w:val="both"/>
        <w:rPr>
          <w:rFonts w:eastAsiaTheme="minorEastAsia"/>
          <w:bCs/>
          <w:lang w:val="en-US" w:eastAsia="ko-KR"/>
        </w:rPr>
      </w:pPr>
      <w:r w:rsidRPr="00E148B9">
        <w:rPr>
          <w:rFonts w:eastAsiaTheme="minorEastAsia"/>
          <w:bCs/>
          <w:lang w:val="en-US" w:eastAsia="ko-KR"/>
        </w:rPr>
        <w:t>This study aims to synthesize a new anticancer drug with anticancer effects. We synthesized esters (</w:t>
      </w:r>
      <w:r w:rsidRPr="00E148B9">
        <w:rPr>
          <w:rFonts w:eastAsiaTheme="minorEastAsia"/>
          <w:b/>
          <w:bCs/>
          <w:lang w:val="en-US" w:eastAsia="ko-KR"/>
        </w:rPr>
        <w:t>1</w:t>
      </w:r>
      <w:r w:rsidRPr="00E148B9">
        <w:rPr>
          <w:rFonts w:eastAsiaTheme="minorEastAsia"/>
          <w:bCs/>
          <w:lang w:val="en-US" w:eastAsia="ko-KR"/>
        </w:rPr>
        <w:t>-</w:t>
      </w:r>
      <w:r w:rsidRPr="00E148B9">
        <w:rPr>
          <w:rFonts w:eastAsiaTheme="minorEastAsia"/>
          <w:b/>
          <w:bCs/>
          <w:lang w:val="en-US" w:eastAsia="ko-KR"/>
        </w:rPr>
        <w:t>5</w:t>
      </w:r>
      <w:r w:rsidRPr="00E148B9">
        <w:rPr>
          <w:rFonts w:eastAsiaTheme="minorEastAsia"/>
          <w:bCs/>
          <w:lang w:val="en-US" w:eastAsia="ko-KR"/>
        </w:rPr>
        <w:t xml:space="preserve"> and </w:t>
      </w:r>
      <w:r w:rsidRPr="00E148B9">
        <w:rPr>
          <w:rFonts w:eastAsiaTheme="minorEastAsia"/>
          <w:b/>
          <w:bCs/>
          <w:lang w:val="en-US" w:eastAsia="ko-KR"/>
        </w:rPr>
        <w:t>7</w:t>
      </w:r>
      <w:r w:rsidRPr="00E148B9">
        <w:rPr>
          <w:rFonts w:eastAsiaTheme="minorEastAsia"/>
          <w:bCs/>
          <w:lang w:val="en-US" w:eastAsia="ko-KR"/>
        </w:rPr>
        <w:t>) and acid anhydrides (</w:t>
      </w:r>
      <w:r w:rsidRPr="00E148B9">
        <w:rPr>
          <w:rFonts w:eastAsiaTheme="minorEastAsia"/>
          <w:b/>
          <w:bCs/>
          <w:lang w:val="en-US" w:eastAsia="ko-KR"/>
        </w:rPr>
        <w:t>6</w:t>
      </w:r>
      <w:r w:rsidRPr="00E148B9">
        <w:rPr>
          <w:rFonts w:eastAsiaTheme="minorEastAsia"/>
          <w:bCs/>
          <w:lang w:val="en-US" w:eastAsia="ko-KR"/>
        </w:rPr>
        <w:t xml:space="preserve"> and </w:t>
      </w:r>
      <w:r w:rsidRPr="00E148B9">
        <w:rPr>
          <w:rFonts w:eastAsiaTheme="minorEastAsia"/>
          <w:b/>
          <w:bCs/>
          <w:lang w:val="en-US" w:eastAsia="ko-KR"/>
        </w:rPr>
        <w:t>8</w:t>
      </w:r>
      <w:r w:rsidRPr="00E148B9">
        <w:rPr>
          <w:rFonts w:eastAsiaTheme="minorEastAsia"/>
          <w:bCs/>
          <w:lang w:val="en-US" w:eastAsia="ko-KR"/>
        </w:rPr>
        <w:t xml:space="preserve">) through esterification. We found that cell viability was markedly reduced by compound 2 in cancer cells at concentrations </w:t>
      </w:r>
      <w:r w:rsidRPr="00E148B9">
        <w:rPr>
          <w:rFonts w:eastAsiaTheme="minorEastAsia" w:hint="eastAsia"/>
          <w:bCs/>
          <w:lang w:val="en-US" w:eastAsia="ko-KR"/>
        </w:rPr>
        <w:t>≥</w:t>
      </w:r>
      <w:r w:rsidRPr="00E148B9">
        <w:rPr>
          <w:rFonts w:eastAsiaTheme="minorEastAsia"/>
          <w:bCs/>
          <w:lang w:val="en-US" w:eastAsia="ko-KR"/>
        </w:rPr>
        <w:t xml:space="preserve">4 mM as compared to that in control cells (P &lt;0.05). Moreover, the ratio of total apoptotic cells significantly increased at 6 mM, with low toxicity to normal cells. Compound </w:t>
      </w:r>
      <w:r w:rsidRPr="00E148B9">
        <w:rPr>
          <w:rFonts w:eastAsiaTheme="minorEastAsia"/>
          <w:b/>
          <w:bCs/>
          <w:lang w:val="en-US" w:eastAsia="ko-KR"/>
        </w:rPr>
        <w:t>2</w:t>
      </w:r>
      <w:r w:rsidRPr="00E148B9">
        <w:rPr>
          <w:rFonts w:eastAsiaTheme="minorEastAsia"/>
          <w:bCs/>
          <w:lang w:val="en-US" w:eastAsia="ko-KR"/>
        </w:rPr>
        <w:t xml:space="preserve"> activated the intrinsic caspase pathway, leading to apoptosis of bladder cancer cells. These results demonstrated that compound </w:t>
      </w:r>
      <w:r w:rsidRPr="00E148B9">
        <w:rPr>
          <w:rFonts w:eastAsiaTheme="minorEastAsia"/>
          <w:b/>
          <w:bCs/>
          <w:lang w:val="en-US" w:eastAsia="ko-KR"/>
        </w:rPr>
        <w:t>2</w:t>
      </w:r>
      <w:r w:rsidRPr="00E148B9">
        <w:rPr>
          <w:rFonts w:eastAsiaTheme="minorEastAsia"/>
          <w:bCs/>
          <w:lang w:val="en-US" w:eastAsia="ko-KR"/>
        </w:rPr>
        <w:t xml:space="preserve"> may likely be a novel anticancer drug candidate for the treatment of human bladder cancer.</w:t>
      </w:r>
    </w:p>
    <w:p w:rsidR="00B57F37" w:rsidRDefault="00BB483C">
      <w:bookmarkStart w:id="0" w:name="_GoBack"/>
      <w:bookmarkEnd w:id="0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83C"/>
    <w:rsid w:val="00935206"/>
    <w:rsid w:val="00953E1B"/>
    <w:rsid w:val="00BB483C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63236-9EEF-46DA-A6F9-5FD2D915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483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>Springer Nature IT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2022-03-09T15:52:00Z</dcterms:created>
  <dcterms:modified xsi:type="dcterms:W3CDTF">2022-03-09T15:52:00Z</dcterms:modified>
</cp:coreProperties>
</file>