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C522CF" w14:textId="77777777" w:rsidR="00E12F1E" w:rsidRDefault="00E12F1E" w:rsidP="00E12F1E">
      <w:pPr>
        <w:spacing w:line="360" w:lineRule="auto"/>
        <w:jc w:val="center"/>
        <w:rPr>
          <w:rFonts w:eastAsiaTheme="minorEastAsia"/>
          <w:b/>
          <w:bCs/>
          <w:lang w:val="en-US" w:eastAsia="zh-CN"/>
        </w:rPr>
      </w:pPr>
      <w:r>
        <w:rPr>
          <w:rFonts w:eastAsiaTheme="minorEastAsia"/>
          <w:b/>
          <w:bCs/>
          <w:lang w:val="en-US" w:eastAsia="zh-CN"/>
        </w:rPr>
        <w:t>Graphical Abstract</w:t>
      </w:r>
    </w:p>
    <w:p w14:paraId="3ED55CB4" w14:textId="77777777" w:rsidR="00E12F1E" w:rsidRDefault="00E12F1E" w:rsidP="00E12F1E">
      <w:pPr>
        <w:spacing w:line="360" w:lineRule="auto"/>
        <w:jc w:val="both"/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t xml:space="preserve">Inadequate neuro-vascularization presents a significant hurdle in treating critical-sized bone defects. The periosteum, acknowledged for its distinct piezoelectric nature and abundant neuro-vascular networks, is integral to osteogenesis. Inspired by natural bone tissue, we introduce a novel bone implant emulating periosteum-bone architecture and integrating unique piezoelectric properties. This innovative strategy targets neuro-vascularized bone regeneration. </w:t>
      </w:r>
    </w:p>
    <w:p w14:paraId="1A5248D3" w14:textId="77777777" w:rsidR="00E12F1E" w:rsidRDefault="00E12F1E" w:rsidP="00E12F1E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2F7A9B5" wp14:editId="5148F870">
            <wp:extent cx="4000500" cy="3257550"/>
            <wp:effectExtent l="0" t="0" r="0" b="0"/>
            <wp:docPr id="1321551685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5" r="14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07B8D" w14:textId="77777777" w:rsidR="00E12F1E" w:rsidRDefault="00E12F1E" w:rsidP="00E12F1E">
      <w:pPr>
        <w:pStyle w:val="Tableofcontents"/>
      </w:pPr>
    </w:p>
    <w:p w14:paraId="3050B33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F1E"/>
    <w:rsid w:val="001E4C6C"/>
    <w:rsid w:val="005374DE"/>
    <w:rsid w:val="00871FE1"/>
    <w:rsid w:val="00AD1398"/>
    <w:rsid w:val="00E1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7C5B8"/>
  <w15:chartTrackingRefBased/>
  <w15:docId w15:val="{7552ACFD-4B22-4DF3-AF57-BF6409A87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F1E"/>
    <w:pPr>
      <w:spacing w:after="0" w:line="240" w:lineRule="auto"/>
    </w:pPr>
    <w:rPr>
      <w:rFonts w:ascii="Times New Roman" w:eastAsia="MS Mincho" w:hAnsi="Times New Roman" w:cs="Times New Roman"/>
      <w:kern w:val="0"/>
      <w:sz w:val="24"/>
      <w:szCs w:val="24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2F1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F1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F1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F1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F1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F1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F1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F1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F1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F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F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F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F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F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F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F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F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F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F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2F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F1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2F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F1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2F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2F1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2F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F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F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F1E"/>
    <w:rPr>
      <w:b/>
      <w:bCs/>
      <w:smallCaps/>
      <w:color w:val="0F4761" w:themeColor="accent1" w:themeShade="BF"/>
      <w:spacing w:val="5"/>
    </w:rPr>
  </w:style>
  <w:style w:type="paragraph" w:customStyle="1" w:styleId="Tableofcontents">
    <w:name w:val="Table of contents"/>
    <w:basedOn w:val="Normal"/>
    <w:autoRedefine/>
    <w:rsid w:val="00E12F1E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3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>Springer Nature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2024-07-04T08:54:00Z</dcterms:created>
  <dcterms:modified xsi:type="dcterms:W3CDTF">2024-07-04T08:54:00Z</dcterms:modified>
</cp:coreProperties>
</file>