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B4FB8" w14:textId="77777777" w:rsidR="005B54B1" w:rsidRDefault="00CB59E7" w:rsidP="005B54B1">
      <w:pPr>
        <w:spacing w:before="92" w:line="268" w:lineRule="auto"/>
        <w:ind w:right="117"/>
        <w:rPr>
          <w:rFonts w:ascii="Arial"/>
          <w:b/>
          <w:sz w:val="34"/>
          <w:lang w:val="en-GB"/>
        </w:rPr>
      </w:pPr>
      <w:r>
        <w:rPr>
          <w:rFonts w:ascii="Arial"/>
          <w:b/>
          <w:sz w:val="34"/>
          <w:lang w:val="en-GB"/>
        </w:rPr>
        <w:t xml:space="preserve">Supplementary Information - </w:t>
      </w:r>
      <w:r w:rsidR="000A3405">
        <w:rPr>
          <w:rFonts w:ascii="Arial"/>
          <w:b/>
          <w:sz w:val="34"/>
          <w:lang w:val="en-GB"/>
        </w:rPr>
        <w:t>Bias in d</w:t>
      </w:r>
      <w:r w:rsidR="00B165B5" w:rsidRPr="00E262E3">
        <w:rPr>
          <w:rFonts w:ascii="Arial"/>
          <w:b/>
          <w:sz w:val="34"/>
          <w:lang w:val="en-GB"/>
        </w:rPr>
        <w:t xml:space="preserve">ata-driven estimates of </w:t>
      </w:r>
      <w:r w:rsidR="000A3405">
        <w:rPr>
          <w:rFonts w:ascii="Arial"/>
          <w:b/>
          <w:sz w:val="34"/>
          <w:lang w:val="en-GB"/>
        </w:rPr>
        <w:t>the reproducibility</w:t>
      </w:r>
      <w:r w:rsidR="00B165B5" w:rsidRPr="00E262E3">
        <w:rPr>
          <w:rFonts w:ascii="Arial"/>
          <w:b/>
          <w:sz w:val="34"/>
          <w:lang w:val="en-GB"/>
        </w:rPr>
        <w:t xml:space="preserve"> of</w:t>
      </w:r>
      <w:r w:rsidR="000A3405">
        <w:rPr>
          <w:rFonts w:ascii="Arial"/>
          <w:b/>
          <w:sz w:val="34"/>
          <w:lang w:val="en-GB"/>
        </w:rPr>
        <w:t xml:space="preserve"> univariate</w:t>
      </w:r>
      <w:r w:rsidR="00B165B5" w:rsidRPr="00E262E3">
        <w:rPr>
          <w:rFonts w:ascii="Arial"/>
          <w:b/>
          <w:sz w:val="34"/>
          <w:lang w:val="en-GB"/>
        </w:rPr>
        <w:t xml:space="preserve"> brain-wide association studies.</w:t>
      </w:r>
    </w:p>
    <w:p w14:paraId="2DC63BAE" w14:textId="77777777" w:rsidR="005B54B1" w:rsidRDefault="005B54B1" w:rsidP="005B54B1">
      <w:pPr>
        <w:spacing w:before="92" w:line="268" w:lineRule="auto"/>
        <w:ind w:right="117"/>
        <w:rPr>
          <w:lang w:val="en-GB"/>
        </w:rPr>
      </w:pPr>
    </w:p>
    <w:p w14:paraId="1DA24C93" w14:textId="2F8C102A" w:rsidR="00225FB4" w:rsidRPr="00E13552" w:rsidRDefault="00B165B5" w:rsidP="0039797B">
      <w:pPr>
        <w:spacing w:before="92" w:line="268" w:lineRule="auto"/>
        <w:ind w:right="117"/>
        <w:rPr>
          <w:rFonts w:ascii="Arial"/>
          <w:b/>
          <w:sz w:val="34"/>
          <w:lang w:val="fr-FR"/>
        </w:rPr>
      </w:pPr>
      <w:r w:rsidRPr="00073D23">
        <w:rPr>
          <w:lang w:val="fr-FR"/>
        </w:rPr>
        <w:t>Charles D. G. Burns</w:t>
      </w:r>
      <w:r w:rsidRPr="00073D23">
        <w:rPr>
          <w:rFonts w:ascii="PMingLiU" w:hAnsi="PMingLiU"/>
          <w:position w:val="9"/>
          <w:sz w:val="16"/>
          <w:lang w:val="fr-FR"/>
        </w:rPr>
        <w:t>1</w:t>
      </w:r>
      <w:r w:rsidRPr="00073D23">
        <w:rPr>
          <w:position w:val="5"/>
          <w:sz w:val="16"/>
          <w:lang w:val="fr-FR"/>
        </w:rPr>
        <w:t>*</w:t>
      </w:r>
      <w:r w:rsidRPr="00073D23">
        <w:rPr>
          <w:position w:val="9"/>
          <w:sz w:val="16"/>
          <w:lang w:val="fr-FR"/>
        </w:rPr>
        <w:t>†</w:t>
      </w:r>
      <w:r w:rsidRPr="00073D23">
        <w:rPr>
          <w:lang w:val="fr-FR"/>
        </w:rPr>
        <w:t>, Alessio Fracasso</w:t>
      </w:r>
      <w:r w:rsidRPr="00073D23">
        <w:rPr>
          <w:rFonts w:ascii="PMingLiU" w:hAnsi="PMingLiU"/>
          <w:position w:val="9"/>
          <w:sz w:val="16"/>
          <w:lang w:val="fr-FR"/>
        </w:rPr>
        <w:t xml:space="preserve">1 </w:t>
      </w:r>
      <w:r w:rsidRPr="00073D23">
        <w:rPr>
          <w:lang w:val="fr-FR"/>
        </w:rPr>
        <w:t>&amp; Guillaume A. Rousselet</w:t>
      </w:r>
      <w:r w:rsidRPr="00073D23">
        <w:rPr>
          <w:rFonts w:ascii="PMingLiU" w:hAnsi="PMingLiU"/>
          <w:position w:val="9"/>
          <w:sz w:val="16"/>
          <w:lang w:val="fr-FR"/>
        </w:rPr>
        <w:t>1</w:t>
      </w:r>
      <w:r w:rsidRPr="00073D23">
        <w:rPr>
          <w:position w:val="9"/>
          <w:sz w:val="16"/>
          <w:lang w:val="fr-FR"/>
        </w:rPr>
        <w:t>‡§</w:t>
      </w:r>
    </w:p>
    <w:p w14:paraId="581F96B0" w14:textId="77777777" w:rsidR="00E13552" w:rsidRDefault="00E13552" w:rsidP="00E13552">
      <w:pPr>
        <w:ind w:left="120"/>
        <w:rPr>
          <w:rFonts w:ascii="PMingLiU"/>
          <w:position w:val="9"/>
          <w:sz w:val="16"/>
          <w:lang w:val="fr-FR"/>
        </w:rPr>
      </w:pPr>
    </w:p>
    <w:p w14:paraId="06E25470" w14:textId="3ED04CD0" w:rsidR="005B54B1" w:rsidRPr="00E13552" w:rsidRDefault="00B165B5" w:rsidP="0039797B">
      <w:pPr>
        <w:rPr>
          <w:i/>
          <w:sz w:val="24"/>
          <w:lang w:val="en-GB"/>
        </w:rPr>
      </w:pPr>
      <w:r w:rsidRPr="00E262E3">
        <w:rPr>
          <w:rFonts w:ascii="PMingLiU"/>
          <w:position w:val="9"/>
          <w:sz w:val="16"/>
          <w:lang w:val="en-GB"/>
        </w:rPr>
        <w:t>1</w:t>
      </w:r>
      <w:r w:rsidRPr="00E262E3">
        <w:rPr>
          <w:i/>
          <w:sz w:val="24"/>
          <w:lang w:val="en-GB"/>
        </w:rPr>
        <w:t>School of Psychology and Neuroscience, University of Glasgow, Glasgow, G12 8QB</w:t>
      </w:r>
    </w:p>
    <w:p w14:paraId="62183D1B" w14:textId="77777777" w:rsidR="007A0BA6" w:rsidRDefault="007A0BA6" w:rsidP="005B54B1">
      <w:pPr>
        <w:pStyle w:val="Heading1"/>
      </w:pPr>
    </w:p>
    <w:p w14:paraId="0C8B2BB4" w14:textId="74BA5A06" w:rsidR="005B54B1" w:rsidRDefault="005B54B1" w:rsidP="007A0BA6">
      <w:pPr>
        <w:pStyle w:val="Heading1"/>
      </w:pPr>
      <w:r>
        <w:t xml:space="preserve">Can we adjust P values? </w:t>
      </w:r>
    </w:p>
    <w:p w14:paraId="31869568" w14:textId="514E994E" w:rsidR="005B54B1" w:rsidRDefault="005B54B1" w:rsidP="005B54B1">
      <w:pPr>
        <w:pStyle w:val="BodyText"/>
      </w:pPr>
      <w:r>
        <w:t xml:space="preserve">Based on the </w:t>
      </w:r>
      <w:r w:rsidR="007A0BA6">
        <w:t>compounding</w:t>
      </w:r>
      <w:r>
        <w:t xml:space="preserve"> sampling variability and nested gaussians discussed </w:t>
      </w:r>
      <w:r w:rsidR="007A0BA6">
        <w:t>in the main text</w:t>
      </w:r>
      <w:r>
        <w:t xml:space="preserve">, we consider calculating two-tailed </w:t>
      </w:r>
      <w:r w:rsidR="006A6DD4" w:rsidRPr="006A6DD4">
        <w:rPr>
          <w:i/>
          <w:iCs/>
        </w:rPr>
        <w:t>P</w:t>
      </w:r>
      <w:r>
        <w:t xml:space="preserve"> values using a parametric estimation of the resulting sampling distribution after resampling, approximated by </w:t>
      </w:r>
      <w:r w:rsidRPr="0577EF8D">
        <w:rPr>
          <w:i/>
          <w:iCs/>
        </w:rPr>
        <w:t>N</w:t>
      </w:r>
      <w:r>
        <w:t>(</w:t>
      </w:r>
      <w:r w:rsidRPr="0577EF8D">
        <w:rPr>
          <w:i/>
          <w:iCs/>
        </w:rPr>
        <w:t>µ</w:t>
      </w:r>
      <w:r>
        <w:t>,</w:t>
      </w:r>
      <w:r w:rsidRPr="0577EF8D">
        <w:rPr>
          <w:i/>
          <w:iCs/>
        </w:rPr>
        <w:t xml:space="preserve"> σ</w:t>
      </w:r>
      <w:r w:rsidRPr="0577EF8D">
        <w:rPr>
          <w:i/>
          <w:iCs/>
          <w:vertAlign w:val="subscript"/>
        </w:rPr>
        <w:t>1</w:t>
      </w:r>
      <w:r w:rsidRPr="0577EF8D">
        <w:rPr>
          <w:i/>
          <w:iCs/>
          <w:vertAlign w:val="superscript"/>
        </w:rPr>
        <w:t>2</w:t>
      </w:r>
      <w:r w:rsidRPr="0577EF8D">
        <w:rPr>
          <w:i/>
          <w:iCs/>
        </w:rPr>
        <w:t>+ σ</w:t>
      </w:r>
      <w:r w:rsidRPr="0577EF8D">
        <w:rPr>
          <w:i/>
          <w:iCs/>
          <w:vertAlign w:val="subscript"/>
        </w:rPr>
        <w:t>2</w:t>
      </w:r>
      <w:r w:rsidRPr="0577EF8D">
        <w:rPr>
          <w:i/>
          <w:iCs/>
          <w:vertAlign w:val="superscript"/>
        </w:rPr>
        <w:t>2</w:t>
      </w:r>
      <w:r>
        <w:t xml:space="preserve">). The primary variance, </w:t>
      </w:r>
      <w:r w:rsidRPr="0577EF8D">
        <w:rPr>
          <w:i/>
          <w:iCs/>
        </w:rPr>
        <w:t>σ</w:t>
      </w:r>
      <w:r w:rsidRPr="0577EF8D">
        <w:rPr>
          <w:vertAlign w:val="subscript"/>
        </w:rPr>
        <w:t>1</w:t>
      </w:r>
      <w:r w:rsidRPr="0577EF8D">
        <w:rPr>
          <w:vertAlign w:val="superscript"/>
        </w:rPr>
        <w:t>2</w:t>
      </w:r>
      <w:r>
        <w:t xml:space="preserve">, depends on the full sample size and secondary variance, </w:t>
      </w:r>
      <w:r w:rsidRPr="0577EF8D">
        <w:rPr>
          <w:i/>
          <w:iCs/>
        </w:rPr>
        <w:t>σ</w:t>
      </w:r>
      <w:r w:rsidRPr="0577EF8D">
        <w:rPr>
          <w:vertAlign w:val="subscript"/>
        </w:rPr>
        <w:t>2</w:t>
      </w:r>
      <w:r w:rsidRPr="0577EF8D">
        <w:rPr>
          <w:vertAlign w:val="superscript"/>
        </w:rPr>
        <w:t>2</w:t>
      </w:r>
      <w:r>
        <w:t xml:space="preserve">, depends on the resample size, each being derived from the variance of the null distribution of Pearson correlations for the full sample size and resample size respectively. For a given sample size </w:t>
      </w:r>
      <w:r w:rsidRPr="0577EF8D">
        <w:rPr>
          <w:i/>
          <w:iCs/>
        </w:rPr>
        <w:t>n</w:t>
      </w:r>
      <w:r>
        <w:t xml:space="preserve">, the null distribution of Pearson correlations, </w:t>
      </w:r>
      <w:r w:rsidRPr="0577EF8D">
        <w:rPr>
          <w:i/>
          <w:iCs/>
        </w:rPr>
        <w:t>r</w:t>
      </w:r>
      <w:r>
        <w:t xml:space="preserve">, is described by the probability density function </w:t>
      </w:r>
      <w:r w:rsidR="002C34F3">
        <w:rPr>
          <w:i/>
          <w:iCs/>
        </w:rPr>
        <w:t>P</w:t>
      </w:r>
      <w:r w:rsidRPr="0577EF8D">
        <w:rPr>
          <w:i/>
          <w:iCs/>
        </w:rPr>
        <w:t>(</w:t>
      </w:r>
      <w:proofErr w:type="spellStart"/>
      <w:r w:rsidRPr="0577EF8D">
        <w:rPr>
          <w:i/>
          <w:iCs/>
        </w:rPr>
        <w:t>r</w:t>
      </w:r>
      <w:r w:rsidR="002C34F3">
        <w:rPr>
          <w:i/>
          <w:iCs/>
        </w:rPr>
        <w:t>,n</w:t>
      </w:r>
      <w:proofErr w:type="spellEnd"/>
      <w:r w:rsidRPr="0577EF8D">
        <w:rPr>
          <w:i/>
          <w:iCs/>
        </w:rPr>
        <w:t>)</w:t>
      </w:r>
      <w:r>
        <w:t>:</w:t>
      </w:r>
    </w:p>
    <w:p w14:paraId="1AF349CF" w14:textId="6C777AAF" w:rsidR="007A0BA6" w:rsidRDefault="006A6DD4" w:rsidP="007A0BA6">
      <w:pPr>
        <w:pStyle w:val="BodyText"/>
        <w:ind w:firstLine="0"/>
      </w:pPr>
      <m:oMathPara>
        <m:oMath>
          <m:r>
            <w:rPr>
              <w:rFonts w:ascii="Cambria Math" w:hAnsi="Cambria Math"/>
            </w:rPr>
            <m:t>P(r,</m:t>
          </m:r>
          <m:r>
            <m:rPr>
              <m:sty m:val="p"/>
            </m:rPr>
            <w:rPr>
              <w:rFonts w:ascii="Cambria Math" w:hAnsi="Cambria Math"/>
            </w:rPr>
            <m:t>n</m:t>
          </m:r>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(1-</m:t>
                  </m:r>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m:t>
                  </m:r>
                </m:e>
                <m:sup>
                  <m:r>
                    <w:rPr>
                      <w:rFonts w:ascii="Cambria Math" w:hAnsi="Cambria Math"/>
                    </w:rPr>
                    <m:t>(n-4)/2</m:t>
                  </m:r>
                </m:sup>
              </m:sSup>
            </m:num>
            <m:den>
              <m:r>
                <w:rPr>
                  <w:rFonts w:ascii="Cambria Math" w:hAnsi="Cambria Math"/>
                </w:rPr>
                <m:t>Beta(1/2, (n-2)/2)</m:t>
              </m:r>
            </m:den>
          </m:f>
        </m:oMath>
      </m:oMathPara>
    </w:p>
    <w:p w14:paraId="7AF51474" w14:textId="3A72F216" w:rsidR="007A0BA6" w:rsidRDefault="007039E1" w:rsidP="00FD35A1">
      <w:pPr>
        <w:pStyle w:val="BodyText"/>
        <w:ind w:left="0" w:firstLine="120"/>
      </w:pPr>
      <w:r>
        <w:t xml:space="preserve">For each </w:t>
      </w:r>
      <w:r w:rsidRPr="007039E1">
        <w:rPr>
          <w:i/>
          <w:iCs/>
        </w:rPr>
        <w:t>n</w:t>
      </w:r>
      <w:r>
        <w:t xml:space="preserve"> w</w:t>
      </w:r>
      <w:r w:rsidR="005B54B1" w:rsidRPr="007039E1">
        <w:t>e</w:t>
      </w:r>
      <w:r w:rsidR="005B54B1">
        <w:t xml:space="preserve"> can then compute two-tailed </w:t>
      </w:r>
      <w:r w:rsidR="002C34F3" w:rsidRPr="002C34F3">
        <w:rPr>
          <w:i/>
          <w:iCs/>
        </w:rPr>
        <w:t>P</w:t>
      </w:r>
      <w:r w:rsidR="005B54B1">
        <w:t xml:space="preserve"> values for each correlation in our resample, r*, by: </w:t>
      </w:r>
    </w:p>
    <w:p w14:paraId="17B45280" w14:textId="0855B37C" w:rsidR="007039E1" w:rsidRPr="007039E1" w:rsidRDefault="00DF4345" w:rsidP="007039E1">
      <w:pPr>
        <w:pStyle w:val="BodyText"/>
        <w:ind w:firstLine="0"/>
      </w:pPr>
      <m:oMathPara>
        <m:oMath>
          <m:r>
            <w:rPr>
              <w:rFonts w:ascii="Cambria Math" w:hAnsi="Cambria Math"/>
            </w:rPr>
            <m:t>P</m:t>
          </m:r>
          <m:d>
            <m:dPr>
              <m:ctrlPr>
                <w:rPr>
                  <w:rFonts w:ascii="Cambria Math" w:hAnsi="Cambria Math"/>
                  <w:i/>
                </w:rPr>
              </m:ctrlPr>
            </m:dPr>
            <m:e>
              <m:r>
                <w:rPr>
                  <w:rFonts w:ascii="Cambria Math" w:hAnsi="Cambria Math"/>
                </w:rPr>
                <m:t>X&gt;</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r</m:t>
                      </m:r>
                    </m:e>
                    <m:sup>
                      <m:r>
                        <w:rPr>
                          <w:rFonts w:ascii="Cambria Math" w:hAnsi="Cambria Math"/>
                        </w:rPr>
                        <m:t>*</m:t>
                      </m:r>
                    </m:sup>
                  </m:sSup>
                </m:e>
              </m:d>
            </m:e>
          </m:d>
          <m:r>
            <w:rPr>
              <w:rFonts w:ascii="Cambria Math" w:hAnsi="Cambria Math"/>
            </w:rPr>
            <m:t>=2∙</m:t>
          </m:r>
          <m:nary>
            <m:naryPr>
              <m:limLoc m:val="subSup"/>
              <m:ctrlPr>
                <w:rPr>
                  <w:rFonts w:ascii="Cambria Math" w:hAnsi="Cambria Math"/>
                  <w:i/>
                </w:rPr>
              </m:ctrlPr>
            </m:naryPr>
            <m:sub>
              <m:d>
                <m:dPr>
                  <m:begChr m:val="|"/>
                  <m:endChr m:val="|"/>
                  <m:ctrlPr>
                    <w:rPr>
                      <w:rFonts w:ascii="Cambria Math" w:hAnsi="Cambria Math"/>
                      <w:i/>
                    </w:rPr>
                  </m:ctrlPr>
                </m:dPr>
                <m:e>
                  <m:r>
                    <w:rPr>
                      <w:rFonts w:ascii="Cambria Math" w:hAnsi="Cambria Math"/>
                    </w:rPr>
                    <m:t>r*</m:t>
                  </m:r>
                </m:e>
              </m:d>
            </m:sub>
            <m:sup>
              <m:r>
                <m:rPr>
                  <m:sty m:val="p"/>
                </m:rPr>
                <w:rPr>
                  <w:rFonts w:ascii="Cambria Math" w:hAnsi="Cambria Math"/>
                </w:rPr>
                <m:t>∞</m:t>
              </m:r>
            </m:sup>
            <m:e>
              <m:r>
                <w:rPr>
                  <w:rFonts w:ascii="Cambria Math" w:hAnsi="Cambria Math"/>
                </w:rPr>
                <m:t>N</m:t>
              </m:r>
              <m:d>
                <m:dPr>
                  <m:ctrlPr>
                    <w:rPr>
                      <w:rFonts w:ascii="Cambria Math" w:hAnsi="Cambria Math"/>
                      <w:i/>
                    </w:rPr>
                  </m:ctrlPr>
                </m:dPr>
                <m:e>
                  <m:r>
                    <w:rPr>
                      <w:rFonts w:ascii="Cambria Math" w:hAnsi="Cambria Math"/>
                    </w:rPr>
                    <m:t>0,</m:t>
                  </m:r>
                  <m:sSubSup>
                    <m:sSubSupPr>
                      <m:ctrlPr>
                        <w:rPr>
                          <w:rFonts w:ascii="Cambria Math" w:hAnsi="Cambria Math"/>
                          <w:i/>
                        </w:rPr>
                      </m:ctrlPr>
                    </m:sSubSupPr>
                    <m:e>
                      <m:r>
                        <m:rPr>
                          <m:sty m:val="p"/>
                        </m:rPr>
                        <w:rPr>
                          <w:rFonts w:ascii="Cambria Math" w:hAnsi="Cambria Math"/>
                        </w:rPr>
                        <m:t>σ</m:t>
                      </m:r>
                      <m:ctrlPr>
                        <w:rPr>
                          <w:rFonts w:ascii="Cambria Math" w:hAnsi="Cambria Math"/>
                        </w:rPr>
                      </m:ctrlP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m:rPr>
                          <m:sty m:val="p"/>
                        </m:rPr>
                        <w:rPr>
                          <w:rFonts w:ascii="Cambria Math" w:hAnsi="Cambria Math"/>
                        </w:rPr>
                        <m:t>σ</m:t>
                      </m:r>
                    </m:e>
                    <m:sub>
                      <m:r>
                        <w:rPr>
                          <w:rFonts w:ascii="Cambria Math" w:hAnsi="Cambria Math"/>
                        </w:rPr>
                        <m:t>2</m:t>
                      </m:r>
                    </m:sub>
                    <m:sup>
                      <m:r>
                        <w:rPr>
                          <w:rFonts w:ascii="Cambria Math" w:hAnsi="Cambria Math"/>
                        </w:rPr>
                        <m:t>2</m:t>
                      </m:r>
                    </m:sup>
                  </m:sSubSup>
                </m:e>
              </m:d>
              <m:r>
                <w:rPr>
                  <w:rFonts w:ascii="Cambria Math" w:hAnsi="Cambria Math"/>
                </w:rPr>
                <m:t>dx</m:t>
              </m:r>
            </m:e>
          </m:nary>
        </m:oMath>
      </m:oMathPara>
    </w:p>
    <w:p w14:paraId="59864818" w14:textId="73FE9533" w:rsidR="005B54B1" w:rsidRDefault="005B54B1" w:rsidP="007A0BA6">
      <w:pPr>
        <w:pStyle w:val="BodyText"/>
        <w:ind w:firstLine="0"/>
      </w:pPr>
      <w:r>
        <w:t xml:space="preserve">To visually check the adjusted </w:t>
      </w:r>
      <w:r w:rsidR="00B724B5" w:rsidRPr="00B724B5">
        <w:rPr>
          <w:i/>
          <w:iCs/>
        </w:rPr>
        <w:t>P</w:t>
      </w:r>
      <w:r>
        <w:t xml:space="preserve"> values and the validity of our gaussian approximation, we plot two sets of </w:t>
      </w:r>
      <w:r w:rsidR="006B7A20" w:rsidRPr="006B7A20">
        <w:rPr>
          <w:i/>
          <w:iCs/>
        </w:rPr>
        <w:t>P</w:t>
      </w:r>
      <w:r w:rsidR="006B7A20">
        <w:t xml:space="preserve"> </w:t>
      </w:r>
      <w:r>
        <w:t xml:space="preserve">value distributions, resampling from a full sample size of n = 1,000 at all the resample sizes, from n=25 up to the full sample size (Supplementary Figures 2 and 3). We do this separately for unadjusted </w:t>
      </w:r>
      <w:r w:rsidR="006A6DD4" w:rsidRPr="006A6DD4">
        <w:rPr>
          <w:i/>
          <w:iCs/>
        </w:rPr>
        <w:t>P</w:t>
      </w:r>
      <w:r>
        <w:t xml:space="preserve"> values, as these were calculated in Marek, </w:t>
      </w:r>
      <w:proofErr w:type="spellStart"/>
      <w:r>
        <w:t>Tervo-Clemmens</w:t>
      </w:r>
      <w:proofErr w:type="spellEnd"/>
      <w:r>
        <w:t xml:space="preserve"> </w:t>
      </w:r>
      <w:r w:rsidRPr="00757AA2">
        <w:rPr>
          <w:i/>
          <w:iCs/>
        </w:rPr>
        <w:t>et al.</w:t>
      </w:r>
      <w:r w:rsidR="00757AA2">
        <w:fldChar w:fldCharType="begin"/>
      </w:r>
      <w:r w:rsidR="00757AA2">
        <w:instrText xml:space="preserve"> ADDIN ZOTERO_ITEM CSL_CITATION {"citationID":"TJ3TKMdj","properties":{"formattedCitation":"\\super 1\\nosupersub{}","plainCitation":"1","noteIndex":0},"citationItems":[{"id":373,"uris":["http://zotero.org/users/9295473/items/5F7UL33V"],"itemData":{"id":373,"type":"article-journal","container-title":"Nature","DOI":"10.1038/s41586-022-04492-9","ISSN":"0028-0836, 1476-4687","issue":"7902","journalAbbreviation":"Nature","language":"en","page":"654-660","source":"DOI.org (Crossref)","title":"Reproducible brain-wide association studies require thousands of individuals","volume":"603","author":[{"family":"Marek","given":"Scott"},{"family":"Tervo-Clemmens","given":"Brenden"},{"family":"Calabro","given":"Finnegan J."},{"family":"Montez","given":"David F."},{"family":"Kay","given":"Benjamin P."},{"family":"Hatoum","given":"Alexander S."},{"family":"Donohue","given":"Meghan Rose"},{"family":"Foran","given":"William"},{"family":"Miller","given":"Ryland L."},{"family":"Hendrickson","given":"Timothy J."},{"family":"Malone","given":"Stephen M."},{"family":"Kandala","given":"Sridhar"},{"family":"Feczko","given":"Eric"},{"family":"Miranda-Dominguez","given":"Oscar"},{"family":"Graham","given":"Alice M."},{"family":"Earl","given":"Eric A."},{"family":"Perrone","given":"Anders J."},{"family":"Cordova","given":"Michaela"},{"family":"Doyle","given":"Olivia"},{"family":"Moore","given":"Lucille A."},{"family":"Conan","given":"Gregory M."},{"family":"Uriarte","given":"Johnny"},{"family":"Snider","given":"Kathy"},{"family":"Lynch","given":"Benjamin J."},{"family":"Wilgenbusch","given":"James C."},{"family":"Pengo","given":"Thomas"},{"family":"Tam","given":"Angela"},{"family":"Chen","given":"Jianzhong"},{"family":"Newbold","given":"Dillan J."},{"family":"Zheng","given":"Annie"},{"family":"Seider","given":"Nicole A."},{"family":"Van","given":"Andrew N."},{"family":"Metoki","given":"Athanasia"},{"family":"Chauvin","given":"Roselyne J."},{"family":"Laumann","given":"Timothy O."},{"family":"Greene","given":"Deanna J."},{"family":"Petersen","given":"Steven E."},{"family":"Garavan","given":"Hugh"},{"family":"Thompson","given":"Wesley K."},{"family":"Nichols","given":"Thomas E."},{"family":"Yeo","given":"B. T. Thomas"},{"family":"Barch","given":"Deanna M."},{"family":"Luna","given":"Beatriz"},{"family":"Fair","given":"Damien A."},{"family":"Dosenbach","given":"Nico U. F."}],"issued":{"date-parts":[["2022",3,24]]}}}],"schema":"https://github.com/citation-style-language/schema/raw/master/csl-citation.json"} </w:instrText>
      </w:r>
      <w:r w:rsidR="00757AA2">
        <w:fldChar w:fldCharType="separate"/>
      </w:r>
      <w:r w:rsidR="00757AA2" w:rsidRPr="00757AA2">
        <w:rPr>
          <w:vertAlign w:val="superscript"/>
        </w:rPr>
        <w:t>1</w:t>
      </w:r>
      <w:r w:rsidR="00757AA2">
        <w:fldChar w:fldCharType="end"/>
      </w:r>
      <w:r>
        <w:t xml:space="preserve"> and for the adjusted </w:t>
      </w:r>
      <w:r w:rsidR="006A6DD4" w:rsidRPr="006A6DD4">
        <w:rPr>
          <w:i/>
          <w:iCs/>
        </w:rPr>
        <w:t>P</w:t>
      </w:r>
      <w:r w:rsidR="006A6DD4">
        <w:t xml:space="preserve"> </w:t>
      </w:r>
      <w:r>
        <w:t>values calculated here.</w:t>
      </w:r>
    </w:p>
    <w:p w14:paraId="023FE3AD" w14:textId="77777777" w:rsidR="00757AA2" w:rsidRDefault="00757AA2" w:rsidP="007A0BA6">
      <w:pPr>
        <w:pStyle w:val="BodyText"/>
        <w:ind w:firstLine="0"/>
      </w:pPr>
      <w:r>
        <w:rPr>
          <w:noProof/>
          <w:lang w:val="en-US"/>
        </w:rPr>
        <w:lastRenderedPageBreak/>
        <w:drawing>
          <wp:inline distT="0" distB="0" distL="0" distR="0" wp14:anchorId="08086154" wp14:editId="448A9860">
            <wp:extent cx="5991225" cy="5991225"/>
            <wp:effectExtent l="0" t="0" r="0" b="0"/>
            <wp:docPr id="1" name="Picture 1" descr="_Pi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_Pic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91225" cy="5991225"/>
                    </a:xfrm>
                    <a:prstGeom prst="rect">
                      <a:avLst/>
                    </a:prstGeom>
                    <a:noFill/>
                    <a:ln>
                      <a:noFill/>
                    </a:ln>
                  </pic:spPr>
                </pic:pic>
              </a:graphicData>
            </a:graphic>
          </wp:inline>
        </w:drawing>
      </w:r>
    </w:p>
    <w:p w14:paraId="680E1872" w14:textId="3017F446" w:rsidR="00757AA2" w:rsidRDefault="00757AA2" w:rsidP="00757AA2">
      <w:pPr>
        <w:kinsoku w:val="0"/>
        <w:overflowPunct w:val="0"/>
        <w:spacing w:before="8" w:line="266" w:lineRule="exact"/>
        <w:ind w:left="144" w:right="72"/>
        <w:jc w:val="both"/>
        <w:textAlignment w:val="baseline"/>
      </w:pPr>
      <w:r>
        <w:t xml:space="preserve">Supplementary Figure 1: </w:t>
      </w:r>
      <w:r w:rsidRPr="0577EF8D">
        <w:rPr>
          <w:b/>
          <w:bCs/>
        </w:rPr>
        <w:t xml:space="preserve">Distributions of unadjusted </w:t>
      </w:r>
      <w:r w:rsidRPr="0577EF8D">
        <w:rPr>
          <w:b/>
          <w:bCs/>
          <w:i/>
          <w:iCs/>
          <w:sz w:val="23"/>
          <w:szCs w:val="23"/>
        </w:rPr>
        <w:t xml:space="preserve">P </w:t>
      </w:r>
      <w:r w:rsidRPr="0577EF8D">
        <w:rPr>
          <w:b/>
          <w:bCs/>
        </w:rPr>
        <w:t xml:space="preserve">values under different resample sizes. </w:t>
      </w:r>
      <w:r>
        <w:t xml:space="preserve">Note that the full sample size is </w:t>
      </w:r>
      <w:r w:rsidRPr="0577EF8D">
        <w:rPr>
          <w:i/>
          <w:iCs/>
        </w:rPr>
        <w:t xml:space="preserve">n </w:t>
      </w:r>
      <w:r>
        <w:t xml:space="preserve">= 1,000, hence we resample from 2.5% of the full sample size to 100%. The inflation of </w:t>
      </w:r>
      <w:r w:rsidRPr="0577EF8D">
        <w:rPr>
          <w:i/>
          <w:iCs/>
        </w:rPr>
        <w:t xml:space="preserve">P </w:t>
      </w:r>
      <w:r>
        <w:t>values around 0 emerges visibly when resampling at 50% of the full sample size.</w:t>
      </w:r>
    </w:p>
    <w:p w14:paraId="3CF83960" w14:textId="77777777" w:rsidR="00757AA2" w:rsidRDefault="00757AA2" w:rsidP="007A0BA6">
      <w:pPr>
        <w:pStyle w:val="BodyText"/>
        <w:ind w:firstLine="0"/>
        <w:rPr>
          <w:lang w:val="en-US"/>
        </w:rPr>
      </w:pPr>
    </w:p>
    <w:p w14:paraId="24F2020C" w14:textId="77777777" w:rsidR="00757AA2" w:rsidRDefault="00757AA2" w:rsidP="007A0BA6">
      <w:pPr>
        <w:pStyle w:val="BodyText"/>
        <w:ind w:firstLine="0"/>
        <w:rPr>
          <w:lang w:val="en-US"/>
        </w:rPr>
      </w:pPr>
    </w:p>
    <w:p w14:paraId="6FECE5CA" w14:textId="77777777" w:rsidR="00757AA2" w:rsidRDefault="00757AA2" w:rsidP="007A0BA6">
      <w:pPr>
        <w:pStyle w:val="BodyText"/>
        <w:ind w:firstLine="0"/>
        <w:rPr>
          <w:lang w:val="en-US"/>
        </w:rPr>
      </w:pPr>
      <w:r>
        <w:rPr>
          <w:noProof/>
          <w:lang w:val="en-US"/>
        </w:rPr>
        <w:lastRenderedPageBreak/>
        <w:drawing>
          <wp:inline distT="0" distB="0" distL="0" distR="0" wp14:anchorId="40C4E1AB" wp14:editId="5C123B3B">
            <wp:extent cx="5991225" cy="5991225"/>
            <wp:effectExtent l="0" t="0" r="0" b="0"/>
            <wp:docPr id="3" name="Picture 3" descr="_Pi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_Pic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91225" cy="5991225"/>
                    </a:xfrm>
                    <a:prstGeom prst="rect">
                      <a:avLst/>
                    </a:prstGeom>
                    <a:noFill/>
                    <a:ln>
                      <a:noFill/>
                    </a:ln>
                  </pic:spPr>
                </pic:pic>
              </a:graphicData>
            </a:graphic>
          </wp:inline>
        </w:drawing>
      </w:r>
    </w:p>
    <w:p w14:paraId="6A91445B" w14:textId="1E1C961C" w:rsidR="00757AA2" w:rsidRDefault="00757AA2" w:rsidP="00757AA2">
      <w:pPr>
        <w:kinsoku w:val="0"/>
        <w:overflowPunct w:val="0"/>
        <w:spacing w:line="266" w:lineRule="exact"/>
        <w:ind w:left="144" w:right="288"/>
        <w:textAlignment w:val="baseline"/>
      </w:pPr>
      <w:r>
        <w:t xml:space="preserve">Supplementary Figure 2: </w:t>
      </w:r>
      <w:r w:rsidRPr="0577EF8D">
        <w:rPr>
          <w:b/>
          <w:bCs/>
        </w:rPr>
        <w:t xml:space="preserve">Distributions of adjusted </w:t>
      </w:r>
      <w:r w:rsidRPr="0577EF8D">
        <w:rPr>
          <w:b/>
          <w:bCs/>
          <w:i/>
          <w:iCs/>
          <w:sz w:val="23"/>
          <w:szCs w:val="23"/>
        </w:rPr>
        <w:t xml:space="preserve">P </w:t>
      </w:r>
      <w:r w:rsidRPr="0577EF8D">
        <w:rPr>
          <w:b/>
          <w:bCs/>
        </w:rPr>
        <w:t xml:space="preserve">values under different resample sizes. </w:t>
      </w:r>
      <w:r>
        <w:t xml:space="preserve">Note that </w:t>
      </w:r>
      <w:r w:rsidR="007039E1">
        <w:rPr>
          <w:i/>
          <w:iCs/>
          <w:sz w:val="23"/>
          <w:szCs w:val="23"/>
        </w:rPr>
        <w:t>P</w:t>
      </w:r>
      <w:r w:rsidRPr="0577EF8D">
        <w:rPr>
          <w:i/>
          <w:iCs/>
          <w:sz w:val="23"/>
          <w:szCs w:val="23"/>
        </w:rPr>
        <w:t xml:space="preserve"> </w:t>
      </w:r>
      <w:r>
        <w:t>values are uniformly distributed across all resample sizes, as desired.</w:t>
      </w:r>
    </w:p>
    <w:p w14:paraId="10BBE196" w14:textId="77777777" w:rsidR="00757AA2" w:rsidRDefault="00757AA2" w:rsidP="00150408">
      <w:pPr>
        <w:pStyle w:val="BodyText"/>
        <w:ind w:left="0" w:firstLine="0"/>
        <w:rPr>
          <w:lang w:val="en-US"/>
        </w:rPr>
      </w:pPr>
    </w:p>
    <w:p w14:paraId="67D1F78E" w14:textId="782BC194" w:rsidR="0046786C" w:rsidRPr="0046786C" w:rsidRDefault="00757AA2" w:rsidP="0046786C">
      <w:pPr>
        <w:pStyle w:val="BodyText"/>
        <w:spacing w:line="360" w:lineRule="auto"/>
        <w:sectPr w:rsidR="0046786C" w:rsidRPr="0046786C" w:rsidSect="00F13EEB">
          <w:type w:val="continuous"/>
          <w:pgSz w:w="12240" w:h="15840"/>
          <w:pgMar w:top="1560" w:right="1297" w:bottom="1484" w:left="1303" w:header="720" w:footer="720" w:gutter="0"/>
          <w:cols w:space="720"/>
          <w:noEndnote/>
        </w:sectPr>
      </w:pPr>
      <w:r>
        <w:t>W</w:t>
      </w:r>
      <w:r w:rsidRPr="0046786C">
        <w:t xml:space="preserve">e show that we can correct inflation by adjusting </w:t>
      </w:r>
      <w:r w:rsidRPr="0046786C">
        <w:rPr>
          <w:i/>
          <w:iCs/>
        </w:rPr>
        <w:t>P</w:t>
      </w:r>
      <w:r w:rsidRPr="0046786C">
        <w:t xml:space="preserve"> values, but unfortunately this does not lead to a reliable control of biased statistical power estimates. If the discovery sample has low power the bias is under-corrected (Supplementary Figure 4), because random effects in the tails of the discovery are still more likely to be in the tails of a resample. On the other hand, if the discover</w:t>
      </w:r>
      <w:r w:rsidR="0046786C" w:rsidRPr="0046786C">
        <w:t xml:space="preserve">y </w:t>
      </w:r>
    </w:p>
    <w:p w14:paraId="7D12FC57" w14:textId="4B2659E6" w:rsidR="00757AA2" w:rsidRPr="0046786C" w:rsidRDefault="00757AA2" w:rsidP="0046786C">
      <w:pPr>
        <w:pStyle w:val="BodyText"/>
        <w:spacing w:line="360" w:lineRule="auto"/>
      </w:pPr>
      <w:r w:rsidRPr="0046786C">
        <w:lastRenderedPageBreak/>
        <w:t xml:space="preserve">sample has high power the bias is over-corrected (Supplementary Figure 5), because true effects are less likely to be significant in a resample after adjusting </w:t>
      </w:r>
      <w:r w:rsidRPr="0046786C">
        <w:rPr>
          <w:i/>
          <w:iCs/>
        </w:rPr>
        <w:t>P</w:t>
      </w:r>
      <w:r w:rsidRPr="0046786C">
        <w:t xml:space="preserve"> values.</w:t>
      </w:r>
    </w:p>
    <w:p w14:paraId="08C32EA7" w14:textId="77777777" w:rsidR="00757AA2" w:rsidRDefault="00757AA2" w:rsidP="00757AA2">
      <w:pPr>
        <w:pStyle w:val="BodyText"/>
        <w:ind w:left="0" w:firstLine="0"/>
        <w:rPr>
          <w:lang w:val="en-US"/>
        </w:rPr>
      </w:pPr>
    </w:p>
    <w:p w14:paraId="09E7E85D" w14:textId="4602A24D" w:rsidR="00757AA2" w:rsidRDefault="00757AA2" w:rsidP="00757AA2">
      <w:pPr>
        <w:pStyle w:val="Heading1"/>
      </w:pPr>
      <w:r w:rsidRPr="00757AA2">
        <w:t>Subject level estimates of bias in statistical power</w:t>
      </w:r>
      <w:r>
        <w:t xml:space="preserve"> under true effects</w:t>
      </w:r>
    </w:p>
    <w:p w14:paraId="0252BD17" w14:textId="5009001C" w:rsidR="00757AA2" w:rsidRDefault="00757AA2" w:rsidP="00757AA2">
      <w:pPr>
        <w:kinsoku w:val="0"/>
        <w:overflowPunct w:val="0"/>
        <w:spacing w:before="243" w:line="413" w:lineRule="exact"/>
        <w:ind w:left="144" w:right="144" w:firstLine="504"/>
        <w:jc w:val="both"/>
        <w:textAlignment w:val="baseline"/>
        <w:rPr>
          <w:sz w:val="24"/>
          <w:szCs w:val="24"/>
        </w:rPr>
      </w:pPr>
      <w:r w:rsidRPr="0577EF8D">
        <w:rPr>
          <w:sz w:val="24"/>
          <w:szCs w:val="24"/>
        </w:rPr>
        <w:t>In the main text we simulate null</w:t>
      </w:r>
      <w:r w:rsidR="44625259" w:rsidRPr="0577EF8D">
        <w:rPr>
          <w:sz w:val="24"/>
          <w:szCs w:val="24"/>
        </w:rPr>
        <w:t xml:space="preserve"> </w:t>
      </w:r>
      <w:r w:rsidRPr="0577EF8D">
        <w:rPr>
          <w:sz w:val="24"/>
          <w:szCs w:val="24"/>
        </w:rPr>
        <w:t xml:space="preserve">data at the subject level, with a brain measure and </w:t>
      </w:r>
      <w:proofErr w:type="spellStart"/>
      <w:r w:rsidRPr="0577EF8D">
        <w:rPr>
          <w:sz w:val="24"/>
          <w:szCs w:val="24"/>
        </w:rPr>
        <w:t>behavioural</w:t>
      </w:r>
      <w:proofErr w:type="spellEnd"/>
      <w:r w:rsidRPr="0577EF8D">
        <w:rPr>
          <w:sz w:val="24"/>
          <w:szCs w:val="24"/>
        </w:rPr>
        <w:t xml:space="preserve"> factor for each subject which is later correlated. Here we extend this approach to true effects by simulating non-gaussian multivariate data, so that simulated brain measures correlate with simulated </w:t>
      </w:r>
      <w:proofErr w:type="spellStart"/>
      <w:r w:rsidRPr="0577EF8D">
        <w:rPr>
          <w:sz w:val="24"/>
          <w:szCs w:val="24"/>
        </w:rPr>
        <w:t>behavioural</w:t>
      </w:r>
      <w:proofErr w:type="spellEnd"/>
      <w:r w:rsidRPr="0577EF8D">
        <w:rPr>
          <w:sz w:val="24"/>
          <w:szCs w:val="24"/>
        </w:rPr>
        <w:t xml:space="preserve"> factors across subjects. As this is relatively computationally expensive, in the main paper we take a computationally more efficient approach and simulate true data at the level of brain-</w:t>
      </w:r>
      <w:proofErr w:type="spellStart"/>
      <w:r w:rsidRPr="0577EF8D">
        <w:rPr>
          <w:sz w:val="24"/>
          <w:szCs w:val="24"/>
        </w:rPr>
        <w:t>behaviour</w:t>
      </w:r>
      <w:proofErr w:type="spellEnd"/>
      <w:r w:rsidRPr="0577EF8D">
        <w:rPr>
          <w:sz w:val="24"/>
          <w:szCs w:val="24"/>
        </w:rPr>
        <w:t xml:space="preserve"> correlations to consider a wider range of true effect scenarios.</w:t>
      </w:r>
    </w:p>
    <w:p w14:paraId="3B2CD6C6" w14:textId="1E323B8B" w:rsidR="00757AA2" w:rsidRDefault="00757AA2" w:rsidP="007039E1">
      <w:pPr>
        <w:pStyle w:val="BodyText"/>
        <w:spacing w:line="360" w:lineRule="auto"/>
      </w:pPr>
      <w:r>
        <w:t>To simulate data at the subject level, we generate two null</w:t>
      </w:r>
      <w:r w:rsidR="542177D5">
        <w:t xml:space="preserve"> </w:t>
      </w:r>
      <w:r>
        <w:t xml:space="preserve">samples as before (n = 1,000 subjects, resulting in 1,225 brain-behaviour correlations; see main text) but now further simulate 12 brain-behaviour correlations as true effects (in one case </w:t>
      </w:r>
      <w:r w:rsidRPr="0577EF8D">
        <w:rPr>
          <w:i/>
          <w:iCs/>
          <w:sz w:val="25"/>
          <w:szCs w:val="25"/>
        </w:rPr>
        <w:t xml:space="preserve">ρ </w:t>
      </w:r>
      <w:r>
        <w:t xml:space="preserve">= 0.2 and another case </w:t>
      </w:r>
      <w:r w:rsidRPr="0577EF8D">
        <w:rPr>
          <w:i/>
          <w:iCs/>
          <w:sz w:val="25"/>
          <w:szCs w:val="25"/>
        </w:rPr>
        <w:t xml:space="preserve">ρ </w:t>
      </w:r>
      <w:r>
        <w:t>= 0.4). The number of true effects here is arbitrarily chosen to be around 1% of all effects. To preserve the non-normal marginal distributions of brain connectivity estimates (edges being Pearson correlations bounded between -1 and 1) we simulate true effects via copula sampling (implementing methods described by Mathworks</w:t>
      </w:r>
      <w:r>
        <w:fldChar w:fldCharType="begin"/>
      </w:r>
      <w:r>
        <w:instrText xml:space="preserve"> ADDIN ZOTERO_ITEM CSL_CITATION {"citationID":"klDSF30K","properties":{"formattedCitation":"\\super 2\\nosupersub{}","plainCitation":"2","noteIndex":0},"citationItems":[{"id":131,"uris":["http://zotero.org/users/9295473/items/2YDY9WL9"],"itemData":{"id":131,"type":"webpage","title":"Copulas: Generate Correlated Samples - MATLAB &amp; Simulink","URL":"https://www.mathworks.com/help/stats/copulas-generate-correlated-samples.html","accessed":{"date-parts":[["2023",9,1]]}}}],"schema":"https://github.com/citation-style-language/schema/raw/master/csl-citation.json"} </w:instrText>
      </w:r>
      <w:r>
        <w:fldChar w:fldCharType="separate"/>
      </w:r>
      <w:r w:rsidRPr="00757AA2">
        <w:rPr>
          <w:vertAlign w:val="superscript"/>
        </w:rPr>
        <w:t>2</w:t>
      </w:r>
      <w:r>
        <w:fldChar w:fldCharType="end"/>
      </w:r>
      <w:r>
        <w:t xml:space="preserve"> in R). The main principle of copula sampling is to use a cumulative distribution function as a map between two given distributions, as this map conserves dependency structures</w:t>
      </w:r>
      <w:r>
        <w:fldChar w:fldCharType="begin"/>
      </w:r>
      <w:r>
        <w:instrText xml:space="preserve"> ADDIN ZOTERO_ITEM CSL_CITATION {"citationID":"oODxlb3e","properties":{"formattedCitation":"\\super 3\\nosupersub{}","plainCitation":"3","noteIndex":0},"citationItems":[{"id":128,"uris":["http://zotero.org/users/9295473/items/I9IWUWIQ"],"itemData":{"id":128,"type":"article-journal","container-title":"Publ. inst. statist. univ. Paris","page":"229–231","source":"Google Scholar","title":"Fonctions de répartition à N dimensions et leurs marges","volume":"8","author":[{"family":"Sklar","given":"M."}],"issued":{"date-parts":[["1959"]]}}}],"schema":"https://github.com/citation-style-language/schema/raw/master/csl-citation.json"} </w:instrText>
      </w:r>
      <w:r>
        <w:fldChar w:fldCharType="separate"/>
      </w:r>
      <w:r w:rsidRPr="00757AA2">
        <w:rPr>
          <w:vertAlign w:val="superscript"/>
        </w:rPr>
        <w:t>3</w:t>
      </w:r>
      <w:r>
        <w:fldChar w:fldCharType="end"/>
      </w:r>
      <w:r>
        <w:t>. We can then simulate data from a multivariate normal distribution (using the MASS package in R</w:t>
      </w:r>
      <w:r>
        <w:fldChar w:fldCharType="begin"/>
      </w:r>
      <w:r>
        <w:instrText xml:space="preserve"> ADDIN ZOTERO_ITEM CSL_CITATION {"citationID":"fdvvHrYr","properties":{"formattedCitation":"\\super 4\\nosupersub{}","plainCitation":"4","noteIndex":0},"citationItems":[{"id":353,"uris":["http://zotero.org/users/9295473/items/NVJRNTNU"],"itemData":{"id":353,"type":"software","abstract":"Functions and datasets to support Venables and Ripley, \"Modern Applied Statistics with S\" (4th edition, 2002).","license":"GPL-2 | GPL-3","source":"R-Packages","title":"MASS: Support Functions and Datasets for Venables and Ripley's MASS","title-short":"MASS","URL":"https://CRAN.R-project.org/package=MASS","version":"7.3-58.3","author":[{"family":"Ripley","given":"Brian"},{"family":"Venables","given":"Bill"},{"family":"Bates","given":"Douglas M."},{"family":"1998)","given":"Kurt Hornik (partial","non-dropping-particle":"ca","dropping-particle":"port"},{"family":"1998)","given":"Albrecht Gebhardt (partial","non-dropping-particle":"ca","dropping-particle":"port"},{"family":"Firth","given":"David"}],"accessed":{"date-parts":[["2023",3,17]]},"issued":{"date-parts":[["2023",3,7]]}}}],"schema":"https://github.com/citation-style-language/schema/raw/master/csl-citation.json"} </w:instrText>
      </w:r>
      <w:r>
        <w:fldChar w:fldCharType="separate"/>
      </w:r>
      <w:r w:rsidRPr="00757AA2">
        <w:rPr>
          <w:vertAlign w:val="superscript"/>
        </w:rPr>
        <w:t>4</w:t>
      </w:r>
      <w:r>
        <w:fldChar w:fldCharType="end"/>
      </w:r>
      <w:r>
        <w:t xml:space="preserve">) with a specified covariance structure (fixing </w:t>
      </w:r>
      <w:r w:rsidRPr="0577EF8D">
        <w:rPr>
          <w:i/>
          <w:iCs/>
          <w:sz w:val="25"/>
          <w:szCs w:val="25"/>
        </w:rPr>
        <w:t xml:space="preserve">ρ </w:t>
      </w:r>
      <w:r>
        <w:t xml:space="preserve">= 0.2 or </w:t>
      </w:r>
      <w:r w:rsidRPr="0577EF8D">
        <w:rPr>
          <w:i/>
          <w:iCs/>
          <w:sz w:val="25"/>
          <w:szCs w:val="25"/>
        </w:rPr>
        <w:t xml:space="preserve">ρ </w:t>
      </w:r>
      <w:r>
        <w:t>= 0.4 across all 12 true effects), lastly transforming the marginal distributions via the originally generated empirical null</w:t>
      </w:r>
      <w:r w:rsidR="71949D7D">
        <w:t xml:space="preserve"> </w:t>
      </w:r>
      <w:r>
        <w:t>samples. We visualise the resulting data in Supplementary Figure 3.</w:t>
      </w:r>
    </w:p>
    <w:p w14:paraId="42384558" w14:textId="77777777" w:rsidR="00757AA2" w:rsidRDefault="00757AA2" w:rsidP="00757AA2">
      <w:pPr>
        <w:adjustRightInd w:val="0"/>
        <w:rPr>
          <w:sz w:val="24"/>
          <w:szCs w:val="24"/>
        </w:rPr>
        <w:sectPr w:rsidR="00757AA2" w:rsidSect="00F13EEB">
          <w:type w:val="continuous"/>
          <w:pgSz w:w="12240" w:h="15840"/>
          <w:pgMar w:top="1360" w:right="1297" w:bottom="3924" w:left="1303" w:header="720" w:footer="720" w:gutter="0"/>
          <w:cols w:space="720"/>
          <w:noEndnote/>
        </w:sectPr>
      </w:pPr>
    </w:p>
    <w:p w14:paraId="03C92288" w14:textId="77777777" w:rsidR="00757AA2" w:rsidRDefault="00757AA2" w:rsidP="00757AA2">
      <w:pPr>
        <w:kinsoku w:val="0"/>
        <w:overflowPunct w:val="0"/>
        <w:spacing w:before="14" w:after="352"/>
        <w:ind w:left="125" w:right="68"/>
        <w:textAlignment w:val="baseline"/>
        <w:rPr>
          <w:sz w:val="24"/>
          <w:szCs w:val="24"/>
        </w:rPr>
      </w:pPr>
      <w:r>
        <w:rPr>
          <w:noProof/>
          <w:sz w:val="24"/>
          <w:szCs w:val="24"/>
        </w:rPr>
        <w:lastRenderedPageBreak/>
        <w:drawing>
          <wp:inline distT="0" distB="0" distL="0" distR="0" wp14:anchorId="7E78BBEF" wp14:editId="7EAD9362">
            <wp:extent cx="5724162" cy="4533900"/>
            <wp:effectExtent l="0" t="0" r="0" b="0"/>
            <wp:docPr id="7" name="Picture 7" descr="_Pi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_Pic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4780" cy="4542310"/>
                    </a:xfrm>
                    <a:prstGeom prst="rect">
                      <a:avLst/>
                    </a:prstGeom>
                    <a:noFill/>
                    <a:ln>
                      <a:noFill/>
                    </a:ln>
                  </pic:spPr>
                </pic:pic>
              </a:graphicData>
            </a:graphic>
          </wp:inline>
        </w:drawing>
      </w:r>
    </w:p>
    <w:p w14:paraId="563E5B8D" w14:textId="3E5A611D" w:rsidR="00757AA2" w:rsidRDefault="00757AA2" w:rsidP="00757AA2">
      <w:pPr>
        <w:kinsoku w:val="0"/>
        <w:overflowPunct w:val="0"/>
        <w:spacing w:before="7" w:line="265" w:lineRule="exact"/>
        <w:ind w:left="144" w:right="144"/>
        <w:textAlignment w:val="baseline"/>
        <w:rPr>
          <w:szCs w:val="24"/>
        </w:rPr>
      </w:pPr>
      <w:r>
        <w:rPr>
          <w:szCs w:val="24"/>
        </w:rPr>
        <w:t xml:space="preserve">Supplementary Figure 3: </w:t>
      </w:r>
      <w:r>
        <w:rPr>
          <w:b/>
          <w:szCs w:val="24"/>
        </w:rPr>
        <w:t>Visualising true effect simulations (</w:t>
      </w:r>
      <w:r>
        <w:rPr>
          <w:i/>
          <w:sz w:val="24"/>
          <w:szCs w:val="24"/>
        </w:rPr>
        <w:t xml:space="preserve">ρ </w:t>
      </w:r>
      <w:r>
        <w:rPr>
          <w:b/>
          <w:szCs w:val="24"/>
        </w:rPr>
        <w:t xml:space="preserve">= 0.2). </w:t>
      </w:r>
      <w:proofErr w:type="gramStart"/>
      <w:r>
        <w:rPr>
          <w:b/>
          <w:szCs w:val="24"/>
        </w:rPr>
        <w:t>a,</w:t>
      </w:r>
      <w:proofErr w:type="gramEnd"/>
      <w:r>
        <w:rPr>
          <w:b/>
          <w:szCs w:val="24"/>
        </w:rPr>
        <w:t xml:space="preserve"> </w:t>
      </w:r>
      <w:r>
        <w:rPr>
          <w:szCs w:val="24"/>
        </w:rPr>
        <w:t xml:space="preserve">Scatterplot of </w:t>
      </w:r>
      <w:proofErr w:type="spellStart"/>
      <w:r>
        <w:rPr>
          <w:szCs w:val="24"/>
        </w:rPr>
        <w:t>behavioural</w:t>
      </w:r>
      <w:proofErr w:type="spellEnd"/>
      <w:r>
        <w:rPr>
          <w:szCs w:val="24"/>
        </w:rPr>
        <w:t xml:space="preserve"> factor against edge 1 connectivity across all participants (</w:t>
      </w:r>
      <w:r>
        <w:rPr>
          <w:i/>
          <w:sz w:val="24"/>
          <w:szCs w:val="24"/>
        </w:rPr>
        <w:t xml:space="preserve">n </w:t>
      </w:r>
      <w:r>
        <w:rPr>
          <w:szCs w:val="24"/>
        </w:rPr>
        <w:t xml:space="preserve">= 1,000). The associated Pearson correlation estimate is R = 0.23, </w:t>
      </w:r>
      <w:r>
        <w:rPr>
          <w:i/>
          <w:sz w:val="24"/>
          <w:szCs w:val="24"/>
        </w:rPr>
        <w:t xml:space="preserve">P </w:t>
      </w:r>
      <w:r>
        <w:rPr>
          <w:szCs w:val="24"/>
        </w:rPr>
        <w:t xml:space="preserve">&lt; .001. The black line indicates the simple linear regression line. </w:t>
      </w:r>
      <w:r>
        <w:rPr>
          <w:b/>
          <w:szCs w:val="24"/>
        </w:rPr>
        <w:t xml:space="preserve">b, </w:t>
      </w:r>
      <w:proofErr w:type="gramStart"/>
      <w:r>
        <w:rPr>
          <w:szCs w:val="24"/>
        </w:rPr>
        <w:t>We</w:t>
      </w:r>
      <w:proofErr w:type="gramEnd"/>
      <w:r>
        <w:rPr>
          <w:szCs w:val="24"/>
        </w:rPr>
        <w:t xml:space="preserve"> check that the copula preserves the marginal distribution of edge 1 across participants as non-gaussian (bounded between -1 and 1). </w:t>
      </w:r>
      <w:r>
        <w:rPr>
          <w:b/>
          <w:szCs w:val="24"/>
        </w:rPr>
        <w:t xml:space="preserve">c, </w:t>
      </w:r>
      <w:r>
        <w:rPr>
          <w:szCs w:val="24"/>
        </w:rPr>
        <w:t>Distribution of all 1,225 brain-</w:t>
      </w:r>
      <w:proofErr w:type="spellStart"/>
      <w:r>
        <w:rPr>
          <w:szCs w:val="24"/>
        </w:rPr>
        <w:t>behaviour</w:t>
      </w:r>
      <w:proofErr w:type="spellEnd"/>
      <w:r>
        <w:rPr>
          <w:szCs w:val="24"/>
        </w:rPr>
        <w:t xml:space="preserve"> correlations: most (1,213) of these are random, varying around 0, while the 12 simulated true effects vary around 0.2.</w:t>
      </w:r>
    </w:p>
    <w:p w14:paraId="314B0724" w14:textId="77777777" w:rsidR="00757AA2" w:rsidRDefault="00757AA2" w:rsidP="00757AA2">
      <w:pPr>
        <w:kinsoku w:val="0"/>
        <w:overflowPunct w:val="0"/>
        <w:spacing w:before="782" w:line="272" w:lineRule="exact"/>
        <w:ind w:left="792"/>
        <w:jc w:val="both"/>
        <w:textAlignment w:val="baseline"/>
        <w:rPr>
          <w:i/>
          <w:sz w:val="24"/>
          <w:szCs w:val="24"/>
        </w:rPr>
      </w:pPr>
      <w:r>
        <w:rPr>
          <w:sz w:val="24"/>
          <w:szCs w:val="24"/>
        </w:rPr>
        <w:t xml:space="preserve">Using these true effect samples (simulated data containing 12 true effects at </w:t>
      </w:r>
      <w:r>
        <w:rPr>
          <w:i/>
          <w:sz w:val="24"/>
          <w:szCs w:val="24"/>
        </w:rPr>
        <w:t xml:space="preserve">ρ </w:t>
      </w:r>
      <w:r>
        <w:rPr>
          <w:sz w:val="24"/>
          <w:szCs w:val="24"/>
        </w:rPr>
        <w:t xml:space="preserve">= 0.2 or </w:t>
      </w:r>
      <w:r>
        <w:rPr>
          <w:i/>
          <w:sz w:val="24"/>
          <w:szCs w:val="24"/>
        </w:rPr>
        <w:t>ρ</w:t>
      </w:r>
    </w:p>
    <w:p w14:paraId="265DBE88" w14:textId="77777777" w:rsidR="00757AA2" w:rsidRDefault="00757AA2" w:rsidP="00757AA2">
      <w:pPr>
        <w:kinsoku w:val="0"/>
        <w:overflowPunct w:val="0"/>
        <w:spacing w:before="9" w:line="412" w:lineRule="exact"/>
        <w:ind w:left="72" w:right="72"/>
        <w:jc w:val="both"/>
        <w:textAlignment w:val="baseline"/>
        <w:rPr>
          <w:spacing w:val="-1"/>
          <w:sz w:val="24"/>
          <w:szCs w:val="24"/>
        </w:rPr>
      </w:pPr>
      <w:r>
        <w:rPr>
          <w:spacing w:val="-1"/>
          <w:sz w:val="24"/>
          <w:szCs w:val="24"/>
        </w:rPr>
        <w:t>= 0.4 respectively), we estimated statistical power under each significance threshold (</w:t>
      </w:r>
      <w:r>
        <w:rPr>
          <w:i/>
          <w:spacing w:val="-1"/>
          <w:sz w:val="24"/>
          <w:szCs w:val="24"/>
        </w:rPr>
        <w:t xml:space="preserve">α </w:t>
      </w:r>
      <w:r>
        <w:rPr>
          <w:spacing w:val="-1"/>
          <w:sz w:val="24"/>
          <w:szCs w:val="24"/>
        </w:rPr>
        <w:t xml:space="preserve">= .05, </w:t>
      </w:r>
      <w:proofErr w:type="gramStart"/>
      <w:r>
        <w:rPr>
          <w:spacing w:val="-1"/>
          <w:sz w:val="24"/>
          <w:szCs w:val="24"/>
        </w:rPr>
        <w:t>... ,</w:t>
      </w:r>
      <w:proofErr w:type="gramEnd"/>
      <w:r>
        <w:rPr>
          <w:spacing w:val="-1"/>
          <w:sz w:val="24"/>
          <w:szCs w:val="24"/>
        </w:rPr>
        <w:t xml:space="preserve"> 10</w:t>
      </w:r>
      <w:r>
        <w:rPr>
          <w:rFonts w:ascii="Arial" w:hAnsi="Arial"/>
          <w:spacing w:val="-1"/>
          <w:sz w:val="24"/>
          <w:szCs w:val="24"/>
          <w:vertAlign w:val="superscript"/>
        </w:rPr>
        <w:t>-7</w:t>
      </w:r>
      <w:r>
        <w:rPr>
          <w:spacing w:val="-1"/>
          <w:sz w:val="24"/>
          <w:szCs w:val="24"/>
        </w:rPr>
        <w:t xml:space="preserve">) by the proportion of significant effects in the discovery sample which are significant again in a replication sample, averaged across iterations. We first obtained ground truth estimates by repeatedly generating true effect samples as replication samples (n = 100 iterations at each sample size). We then compared these results to estimations obtained when resampling from a </w:t>
      </w:r>
      <w:proofErr w:type="gramStart"/>
      <w:r>
        <w:rPr>
          <w:spacing w:val="-1"/>
          <w:sz w:val="24"/>
          <w:szCs w:val="24"/>
        </w:rPr>
        <w:t>discovery</w:t>
      </w:r>
      <w:proofErr w:type="gramEnd"/>
    </w:p>
    <w:p w14:paraId="756321B3" w14:textId="77777777" w:rsidR="00757AA2" w:rsidRDefault="00757AA2" w:rsidP="00757AA2">
      <w:pPr>
        <w:adjustRightInd w:val="0"/>
        <w:rPr>
          <w:sz w:val="24"/>
          <w:szCs w:val="24"/>
        </w:rPr>
        <w:sectPr w:rsidR="00757AA2" w:rsidSect="00F13EEB">
          <w:pgSz w:w="12240" w:h="15840"/>
          <w:pgMar w:top="1560" w:right="1343" w:bottom="1304" w:left="1257" w:header="720" w:footer="720" w:gutter="0"/>
          <w:cols w:space="720"/>
          <w:noEndnote/>
        </w:sectPr>
      </w:pPr>
    </w:p>
    <w:p w14:paraId="7710B600" w14:textId="5317AED7" w:rsidR="00757AA2" w:rsidRDefault="00757AA2" w:rsidP="00757AA2">
      <w:pPr>
        <w:kinsoku w:val="0"/>
        <w:overflowPunct w:val="0"/>
        <w:spacing w:before="19" w:after="414" w:line="412" w:lineRule="exact"/>
        <w:ind w:left="72" w:right="72"/>
        <w:jc w:val="both"/>
        <w:textAlignment w:val="baseline"/>
        <w:rPr>
          <w:sz w:val="24"/>
          <w:szCs w:val="24"/>
        </w:rPr>
      </w:pPr>
      <w:r>
        <w:rPr>
          <w:sz w:val="24"/>
          <w:szCs w:val="24"/>
        </w:rPr>
        <w:lastRenderedPageBreak/>
        <w:t>sample, as in Marek et al.</w:t>
      </w:r>
      <w:r>
        <w:rPr>
          <w:sz w:val="24"/>
          <w:szCs w:val="24"/>
          <w:vertAlign w:val="superscript"/>
        </w:rPr>
        <w:t>1</w:t>
      </w:r>
      <w:r>
        <w:rPr>
          <w:sz w:val="24"/>
          <w:szCs w:val="24"/>
        </w:rPr>
        <w:t xml:space="preserve">. We also generated a true effect sample with </w:t>
      </w:r>
      <w:r>
        <w:rPr>
          <w:i/>
          <w:sz w:val="23"/>
          <w:szCs w:val="24"/>
        </w:rPr>
        <w:t xml:space="preserve">n </w:t>
      </w:r>
      <w:r>
        <w:rPr>
          <w:sz w:val="24"/>
          <w:szCs w:val="24"/>
        </w:rPr>
        <w:t>= 10,000 subjects and subsample up to 10% of full sample size (</w:t>
      </w:r>
      <w:r>
        <w:rPr>
          <w:i/>
          <w:sz w:val="23"/>
          <w:szCs w:val="24"/>
        </w:rPr>
        <w:t xml:space="preserve">n </w:t>
      </w:r>
      <w:r>
        <w:rPr>
          <w:sz w:val="24"/>
          <w:szCs w:val="24"/>
        </w:rPr>
        <w:t xml:space="preserve">= 1,000). Lastly, we computed estimates obtained when resampling and adjusting </w:t>
      </w:r>
      <w:r>
        <w:rPr>
          <w:i/>
          <w:sz w:val="23"/>
          <w:szCs w:val="24"/>
        </w:rPr>
        <w:t xml:space="preserve">P </w:t>
      </w:r>
      <w:r>
        <w:rPr>
          <w:sz w:val="24"/>
          <w:szCs w:val="24"/>
        </w:rPr>
        <w:t xml:space="preserve">values. Results for underlying true effects </w:t>
      </w:r>
      <w:r>
        <w:rPr>
          <w:i/>
          <w:sz w:val="23"/>
          <w:szCs w:val="24"/>
        </w:rPr>
        <w:t xml:space="preserve">ρ </w:t>
      </w:r>
      <w:r>
        <w:rPr>
          <w:sz w:val="24"/>
          <w:szCs w:val="24"/>
        </w:rPr>
        <w:t xml:space="preserve">= 0.2 and </w:t>
      </w:r>
      <w:r>
        <w:rPr>
          <w:i/>
          <w:sz w:val="23"/>
          <w:szCs w:val="24"/>
        </w:rPr>
        <w:t xml:space="preserve">ρ </w:t>
      </w:r>
      <w:r>
        <w:rPr>
          <w:sz w:val="24"/>
          <w:szCs w:val="24"/>
        </w:rPr>
        <w:t>= 0.4 are presented in Supplementary Figures 4 and 5 respectively.</w:t>
      </w:r>
    </w:p>
    <w:p w14:paraId="57232671" w14:textId="77777777" w:rsidR="00757AA2" w:rsidRDefault="00757AA2" w:rsidP="00757AA2">
      <w:pPr>
        <w:kinsoku w:val="0"/>
        <w:overflowPunct w:val="0"/>
        <w:spacing w:after="302"/>
        <w:ind w:left="253" w:right="589"/>
        <w:textAlignment w:val="baseline"/>
        <w:rPr>
          <w:sz w:val="24"/>
          <w:szCs w:val="24"/>
        </w:rPr>
      </w:pPr>
      <w:r>
        <w:rPr>
          <w:noProof/>
          <w:sz w:val="24"/>
          <w:szCs w:val="24"/>
        </w:rPr>
        <w:drawing>
          <wp:inline distT="0" distB="0" distL="0" distR="0" wp14:anchorId="2DA9C9E0" wp14:editId="65B26CEA">
            <wp:extent cx="5591175" cy="4476750"/>
            <wp:effectExtent l="0" t="0" r="0" b="0"/>
            <wp:docPr id="8" name="Picture 8" descr="_Pi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_Pic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91175" cy="4476750"/>
                    </a:xfrm>
                    <a:prstGeom prst="rect">
                      <a:avLst/>
                    </a:prstGeom>
                    <a:noFill/>
                    <a:ln>
                      <a:noFill/>
                    </a:ln>
                  </pic:spPr>
                </pic:pic>
              </a:graphicData>
            </a:graphic>
          </wp:inline>
        </w:drawing>
      </w:r>
    </w:p>
    <w:p w14:paraId="7A86B469" w14:textId="36F2D746" w:rsidR="00757AA2" w:rsidRDefault="00757AA2" w:rsidP="00757AA2">
      <w:pPr>
        <w:kinsoku w:val="0"/>
        <w:overflowPunct w:val="0"/>
        <w:spacing w:before="15" w:line="265" w:lineRule="exact"/>
        <w:ind w:left="216" w:right="144"/>
        <w:textAlignment w:val="baseline"/>
        <w:rPr>
          <w:spacing w:val="-1"/>
          <w:szCs w:val="24"/>
        </w:rPr>
      </w:pPr>
      <w:r>
        <w:rPr>
          <w:spacing w:val="-1"/>
          <w:szCs w:val="24"/>
        </w:rPr>
        <w:t xml:space="preserve">Supplementary Figure 4: </w:t>
      </w:r>
      <w:r>
        <w:rPr>
          <w:b/>
          <w:spacing w:val="-1"/>
          <w:szCs w:val="24"/>
        </w:rPr>
        <w:t>Statistical power estimates under true effects (</w:t>
      </w:r>
      <w:r>
        <w:rPr>
          <w:i/>
          <w:spacing w:val="-1"/>
          <w:sz w:val="23"/>
          <w:szCs w:val="24"/>
        </w:rPr>
        <w:t xml:space="preserve">ρ </w:t>
      </w:r>
      <w:r>
        <w:rPr>
          <w:b/>
          <w:spacing w:val="-1"/>
          <w:szCs w:val="24"/>
        </w:rPr>
        <w:t xml:space="preserve">= 0.2) a. </w:t>
      </w:r>
      <w:r>
        <w:rPr>
          <w:spacing w:val="-1"/>
          <w:szCs w:val="24"/>
        </w:rPr>
        <w:t>Ground truth of statistical power across sample sizes when 12 out of 1,225 brain-</w:t>
      </w:r>
      <w:proofErr w:type="spellStart"/>
      <w:r>
        <w:rPr>
          <w:spacing w:val="-1"/>
          <w:szCs w:val="24"/>
        </w:rPr>
        <w:t>behaviour</w:t>
      </w:r>
      <w:proofErr w:type="spellEnd"/>
      <w:r>
        <w:rPr>
          <w:spacing w:val="-1"/>
          <w:szCs w:val="24"/>
        </w:rPr>
        <w:t xml:space="preserve"> correlations with a true effect size of </w:t>
      </w:r>
      <w:r>
        <w:rPr>
          <w:i/>
          <w:spacing w:val="-1"/>
          <w:sz w:val="23"/>
          <w:szCs w:val="24"/>
        </w:rPr>
        <w:t xml:space="preserve">ρ </w:t>
      </w:r>
      <w:r>
        <w:rPr>
          <w:spacing w:val="-1"/>
          <w:szCs w:val="24"/>
        </w:rPr>
        <w:t>= 0.2. Notice that lenient significance thresholds (</w:t>
      </w:r>
      <w:r>
        <w:rPr>
          <w:i/>
          <w:spacing w:val="-1"/>
          <w:sz w:val="23"/>
          <w:szCs w:val="24"/>
        </w:rPr>
        <w:t xml:space="preserve">α </w:t>
      </w:r>
      <w:r>
        <w:rPr>
          <w:spacing w:val="-1"/>
          <w:szCs w:val="24"/>
        </w:rPr>
        <w:t xml:space="preserve">= .05, .01) do not reach 80% power even with </w:t>
      </w:r>
      <w:r>
        <w:rPr>
          <w:i/>
          <w:spacing w:val="-1"/>
          <w:sz w:val="23"/>
          <w:szCs w:val="24"/>
        </w:rPr>
        <w:t xml:space="preserve">n </w:t>
      </w:r>
      <w:r>
        <w:rPr>
          <w:spacing w:val="-1"/>
          <w:szCs w:val="24"/>
        </w:rPr>
        <w:t>= 1,000 subjects, but corrected thresholds do (</w:t>
      </w:r>
      <w:r>
        <w:rPr>
          <w:i/>
          <w:spacing w:val="-1"/>
          <w:sz w:val="23"/>
          <w:szCs w:val="24"/>
        </w:rPr>
        <w:t xml:space="preserve">α </w:t>
      </w:r>
      <w:r>
        <w:rPr>
          <w:spacing w:val="-1"/>
          <w:szCs w:val="24"/>
        </w:rPr>
        <w:t>= .001, ..., 10</w:t>
      </w:r>
      <w:r>
        <w:rPr>
          <w:spacing w:val="-1"/>
          <w:szCs w:val="24"/>
          <w:vertAlign w:val="superscript"/>
        </w:rPr>
        <w:t>-7</w:t>
      </w:r>
      <w:r>
        <w:rPr>
          <w:spacing w:val="-1"/>
          <w:szCs w:val="24"/>
        </w:rPr>
        <w:t xml:space="preserve">). This is because only 12 true effects were simulated, so at </w:t>
      </w:r>
      <w:r>
        <w:rPr>
          <w:i/>
          <w:spacing w:val="-1"/>
          <w:sz w:val="23"/>
          <w:szCs w:val="24"/>
        </w:rPr>
        <w:t xml:space="preserve">α </w:t>
      </w:r>
      <w:r>
        <w:rPr>
          <w:spacing w:val="-1"/>
          <w:szCs w:val="24"/>
        </w:rPr>
        <w:t xml:space="preserve">= .05 around 61 (5% of 1213) random effects will be significant in the discovery sample, so the true (reproducible) effects will only make up a small proportion of significant effects in a replication sample under lenient thresholds. </w:t>
      </w:r>
      <w:r>
        <w:rPr>
          <w:b/>
          <w:spacing w:val="-1"/>
          <w:szCs w:val="24"/>
        </w:rPr>
        <w:t xml:space="preserve">b. </w:t>
      </w:r>
      <w:r>
        <w:rPr>
          <w:spacing w:val="-1"/>
          <w:szCs w:val="24"/>
        </w:rPr>
        <w:t>When estimating statistical errors using Marek et al.’s</w:t>
      </w:r>
      <w:r>
        <w:rPr>
          <w:spacing w:val="-1"/>
          <w:szCs w:val="24"/>
          <w:vertAlign w:val="superscript"/>
        </w:rPr>
        <w:t>1</w:t>
      </w:r>
      <w:r>
        <w:rPr>
          <w:spacing w:val="-1"/>
          <w:szCs w:val="24"/>
        </w:rPr>
        <w:t xml:space="preserve"> methods we note that Bonferroni corrected estimates seem reliable, however uncorrected estimates are inflated (compared to </w:t>
      </w:r>
      <w:r>
        <w:rPr>
          <w:b/>
          <w:spacing w:val="-1"/>
          <w:szCs w:val="24"/>
        </w:rPr>
        <w:t>a</w:t>
      </w:r>
      <w:r>
        <w:rPr>
          <w:spacing w:val="-1"/>
          <w:szCs w:val="24"/>
        </w:rPr>
        <w:t xml:space="preserve">). </w:t>
      </w:r>
      <w:r>
        <w:rPr>
          <w:b/>
          <w:spacing w:val="-1"/>
          <w:szCs w:val="24"/>
        </w:rPr>
        <w:t xml:space="preserve">c. </w:t>
      </w:r>
      <w:r>
        <w:rPr>
          <w:spacing w:val="-1"/>
          <w:szCs w:val="24"/>
        </w:rPr>
        <w:t>When subsampling up to 10% of a large true effect sample (</w:t>
      </w:r>
      <w:r>
        <w:rPr>
          <w:i/>
          <w:spacing w:val="-1"/>
          <w:sz w:val="23"/>
          <w:szCs w:val="24"/>
        </w:rPr>
        <w:t xml:space="preserve">n </w:t>
      </w:r>
      <w:r>
        <w:rPr>
          <w:spacing w:val="-1"/>
          <w:szCs w:val="24"/>
        </w:rPr>
        <w:t xml:space="preserve">= 10,000), we note that estimates are reliable after Bonferroni correction, but also only slightly inflated for uncorrected estimates, providing the most reliable estimates. </w:t>
      </w:r>
      <w:r>
        <w:rPr>
          <w:b/>
          <w:spacing w:val="-1"/>
          <w:szCs w:val="24"/>
        </w:rPr>
        <w:t xml:space="preserve">d. </w:t>
      </w:r>
      <w:r>
        <w:rPr>
          <w:spacing w:val="-1"/>
          <w:szCs w:val="24"/>
        </w:rPr>
        <w:t>When resampling from a true sample (</w:t>
      </w:r>
      <w:r>
        <w:rPr>
          <w:i/>
          <w:spacing w:val="-1"/>
          <w:sz w:val="23"/>
          <w:szCs w:val="24"/>
        </w:rPr>
        <w:t xml:space="preserve">n </w:t>
      </w:r>
      <w:r>
        <w:rPr>
          <w:spacing w:val="-1"/>
          <w:szCs w:val="24"/>
        </w:rPr>
        <w:t xml:space="preserve">= 1,000) and computing adjusted </w:t>
      </w:r>
      <w:r>
        <w:rPr>
          <w:i/>
          <w:spacing w:val="-1"/>
          <w:sz w:val="23"/>
          <w:szCs w:val="24"/>
        </w:rPr>
        <w:t xml:space="preserve">P </w:t>
      </w:r>
      <w:r>
        <w:rPr>
          <w:spacing w:val="-1"/>
          <w:szCs w:val="24"/>
        </w:rPr>
        <w:t>values, we find that uncorrected error estimates are inflated while</w:t>
      </w:r>
    </w:p>
    <w:p w14:paraId="1CC4078C" w14:textId="77777777" w:rsidR="00757AA2" w:rsidRDefault="00757AA2" w:rsidP="00757AA2">
      <w:pPr>
        <w:adjustRightInd w:val="0"/>
        <w:rPr>
          <w:sz w:val="24"/>
          <w:szCs w:val="24"/>
        </w:rPr>
        <w:sectPr w:rsidR="00757AA2" w:rsidSect="00F13EEB">
          <w:pgSz w:w="12240" w:h="15840"/>
          <w:pgMar w:top="1360" w:right="1355" w:bottom="1384" w:left="1245" w:header="720" w:footer="720" w:gutter="0"/>
          <w:cols w:space="720"/>
          <w:noEndnote/>
        </w:sectPr>
      </w:pPr>
    </w:p>
    <w:p w14:paraId="276252D0" w14:textId="77777777" w:rsidR="00757AA2" w:rsidRDefault="00757AA2" w:rsidP="00757AA2">
      <w:pPr>
        <w:kinsoku w:val="0"/>
        <w:overflowPunct w:val="0"/>
        <w:spacing w:after="878" w:line="265" w:lineRule="exact"/>
        <w:ind w:left="144" w:right="288"/>
        <w:textAlignment w:val="baseline"/>
        <w:rPr>
          <w:szCs w:val="24"/>
        </w:rPr>
      </w:pPr>
      <w:r>
        <w:rPr>
          <w:szCs w:val="24"/>
        </w:rPr>
        <w:lastRenderedPageBreak/>
        <w:t xml:space="preserve">corrected error estimates are conservative, providing the least reliable statistical power estimates for true effects of size </w:t>
      </w:r>
      <w:r>
        <w:rPr>
          <w:i/>
          <w:szCs w:val="24"/>
        </w:rPr>
        <w:t xml:space="preserve">ρ </w:t>
      </w:r>
      <w:r>
        <w:rPr>
          <w:szCs w:val="24"/>
        </w:rPr>
        <w:t>= 0.2.</w:t>
      </w:r>
    </w:p>
    <w:p w14:paraId="020FBDF3" w14:textId="77777777" w:rsidR="00757AA2" w:rsidRDefault="00757AA2" w:rsidP="00757AA2">
      <w:pPr>
        <w:kinsoku w:val="0"/>
        <w:overflowPunct w:val="0"/>
        <w:spacing w:after="289"/>
        <w:ind w:left="231" w:right="582"/>
        <w:textAlignment w:val="baseline"/>
        <w:rPr>
          <w:sz w:val="24"/>
          <w:szCs w:val="24"/>
        </w:rPr>
      </w:pPr>
      <w:r>
        <w:rPr>
          <w:noProof/>
          <w:sz w:val="24"/>
          <w:szCs w:val="24"/>
        </w:rPr>
        <w:drawing>
          <wp:inline distT="0" distB="0" distL="0" distR="0" wp14:anchorId="09094559" wp14:editId="43B60FDE">
            <wp:extent cx="5600700" cy="4476750"/>
            <wp:effectExtent l="0" t="0" r="0" b="0"/>
            <wp:docPr id="9" name="Picture 9" descr="_Pi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_Pic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00700" cy="4476750"/>
                    </a:xfrm>
                    <a:prstGeom prst="rect">
                      <a:avLst/>
                    </a:prstGeom>
                    <a:noFill/>
                    <a:ln>
                      <a:noFill/>
                    </a:ln>
                  </pic:spPr>
                </pic:pic>
              </a:graphicData>
            </a:graphic>
          </wp:inline>
        </w:drawing>
      </w:r>
    </w:p>
    <w:p w14:paraId="30F6B239" w14:textId="6132194E" w:rsidR="00757AA2" w:rsidRDefault="00757AA2" w:rsidP="00757AA2">
      <w:pPr>
        <w:kinsoku w:val="0"/>
        <w:overflowPunct w:val="0"/>
        <w:spacing w:before="14" w:line="265" w:lineRule="exact"/>
        <w:ind w:left="144" w:right="144"/>
        <w:textAlignment w:val="baseline"/>
        <w:rPr>
          <w:spacing w:val="1"/>
          <w:szCs w:val="24"/>
        </w:rPr>
      </w:pPr>
      <w:r>
        <w:rPr>
          <w:spacing w:val="1"/>
          <w:szCs w:val="24"/>
        </w:rPr>
        <w:t xml:space="preserve">Supplementary Figure 5: </w:t>
      </w:r>
      <w:r>
        <w:rPr>
          <w:b/>
          <w:spacing w:val="1"/>
          <w:szCs w:val="24"/>
        </w:rPr>
        <w:t>Statistical power estimates under moderate true effects (</w:t>
      </w:r>
      <w:r>
        <w:rPr>
          <w:i/>
          <w:spacing w:val="1"/>
          <w:szCs w:val="24"/>
        </w:rPr>
        <w:t xml:space="preserve">ρ </w:t>
      </w:r>
      <w:r>
        <w:rPr>
          <w:b/>
          <w:spacing w:val="1"/>
          <w:szCs w:val="24"/>
        </w:rPr>
        <w:t xml:space="preserve">= 0.4). </w:t>
      </w:r>
      <w:proofErr w:type="gramStart"/>
      <w:r>
        <w:rPr>
          <w:b/>
          <w:spacing w:val="1"/>
          <w:szCs w:val="24"/>
        </w:rPr>
        <w:t>a,</w:t>
      </w:r>
      <w:proofErr w:type="gramEnd"/>
      <w:r>
        <w:rPr>
          <w:b/>
          <w:spacing w:val="1"/>
          <w:szCs w:val="24"/>
        </w:rPr>
        <w:t xml:space="preserve"> </w:t>
      </w:r>
      <w:r>
        <w:rPr>
          <w:spacing w:val="1"/>
          <w:szCs w:val="24"/>
        </w:rPr>
        <w:t>Ground truth statistical power obtained when generating true effect samples (</w:t>
      </w:r>
      <w:r>
        <w:rPr>
          <w:i/>
          <w:spacing w:val="1"/>
          <w:szCs w:val="24"/>
        </w:rPr>
        <w:t xml:space="preserve">ρ </w:t>
      </w:r>
      <w:r>
        <w:rPr>
          <w:spacing w:val="1"/>
          <w:szCs w:val="24"/>
        </w:rPr>
        <w:t xml:space="preserve">= 0.4). Notice that lenient thresholds achieve lower power due to the small proportion of true effects (n = 12) compared to other effects which randomly pass the lenient thresholds. </w:t>
      </w:r>
      <w:r>
        <w:rPr>
          <w:b/>
          <w:spacing w:val="1"/>
          <w:szCs w:val="24"/>
        </w:rPr>
        <w:t xml:space="preserve">b, </w:t>
      </w:r>
      <w:r>
        <w:rPr>
          <w:spacing w:val="1"/>
          <w:szCs w:val="24"/>
        </w:rPr>
        <w:t>statistical power estimates obtained when resampling from a single true effect sample, as in Marek et al.</w:t>
      </w:r>
      <w:r>
        <w:rPr>
          <w:spacing w:val="1"/>
          <w:szCs w:val="24"/>
          <w:vertAlign w:val="superscript"/>
        </w:rPr>
        <w:t>1</w:t>
      </w:r>
      <w:r>
        <w:rPr>
          <w:spacing w:val="1"/>
          <w:szCs w:val="24"/>
        </w:rPr>
        <w:t xml:space="preserve">. Notice that statistical power is inflated for uncorrected estimates. </w:t>
      </w:r>
      <w:r>
        <w:rPr>
          <w:b/>
          <w:spacing w:val="1"/>
          <w:szCs w:val="24"/>
        </w:rPr>
        <w:t xml:space="preserve">c, </w:t>
      </w:r>
      <w:r>
        <w:rPr>
          <w:spacing w:val="1"/>
          <w:szCs w:val="24"/>
        </w:rPr>
        <w:t xml:space="preserve">Subsampling from a large true effect sample (n = 10,000) up to 10% of full sample size. We note that these estimates deviate little from the ground truth results (panel </w:t>
      </w:r>
      <w:r>
        <w:rPr>
          <w:b/>
          <w:spacing w:val="1"/>
          <w:szCs w:val="24"/>
        </w:rPr>
        <w:t>a)</w:t>
      </w:r>
      <w:r>
        <w:rPr>
          <w:spacing w:val="1"/>
          <w:szCs w:val="24"/>
        </w:rPr>
        <w:t xml:space="preserve">. </w:t>
      </w:r>
      <w:r>
        <w:rPr>
          <w:b/>
          <w:spacing w:val="1"/>
          <w:szCs w:val="24"/>
        </w:rPr>
        <w:t xml:space="preserve">d, </w:t>
      </w:r>
      <w:r>
        <w:rPr>
          <w:spacing w:val="1"/>
          <w:szCs w:val="24"/>
        </w:rPr>
        <w:t xml:space="preserve">Adjusting </w:t>
      </w:r>
      <w:r>
        <w:rPr>
          <w:i/>
          <w:spacing w:val="1"/>
          <w:szCs w:val="24"/>
        </w:rPr>
        <w:t xml:space="preserve">P </w:t>
      </w:r>
      <w:r>
        <w:rPr>
          <w:spacing w:val="1"/>
          <w:szCs w:val="24"/>
        </w:rPr>
        <w:t>values after resampling from a single true effect sample. We notice that for lenient significance thresholds, there is still some inflation of statistical power, whereas Bonferroni corrected estimates are conservative relative to ground truth (i.e., suggests larger sample sizes for similar power – the power curves are shifted to the right in panel d relative to panel a). For instance, to achieve 90% power, the ground truth results suggest using around 265 participants at alpha = 10</w:t>
      </w:r>
      <w:r>
        <w:rPr>
          <w:spacing w:val="1"/>
          <w:szCs w:val="24"/>
          <w:vertAlign w:val="superscript"/>
        </w:rPr>
        <w:t>-7</w:t>
      </w:r>
      <w:r>
        <w:rPr>
          <w:spacing w:val="1"/>
          <w:szCs w:val="24"/>
        </w:rPr>
        <w:t xml:space="preserve">, whereas with adjusted </w:t>
      </w:r>
      <w:r>
        <w:rPr>
          <w:i/>
          <w:spacing w:val="1"/>
          <w:szCs w:val="24"/>
        </w:rPr>
        <w:t xml:space="preserve">P </w:t>
      </w:r>
      <w:r>
        <w:rPr>
          <w:spacing w:val="1"/>
          <w:szCs w:val="24"/>
        </w:rPr>
        <w:t>values the estimate is closer to 375 participants.</w:t>
      </w:r>
    </w:p>
    <w:p w14:paraId="03200F3A" w14:textId="77777777" w:rsidR="00757AA2" w:rsidRDefault="00757AA2" w:rsidP="00757AA2">
      <w:pPr>
        <w:adjustRightInd w:val="0"/>
        <w:rPr>
          <w:sz w:val="24"/>
          <w:szCs w:val="24"/>
        </w:rPr>
        <w:sectPr w:rsidR="00757AA2" w:rsidSect="00F13EEB">
          <w:pgSz w:w="12240" w:h="15840"/>
          <w:pgMar w:top="1500" w:right="1333" w:bottom="1664" w:left="1267" w:header="720" w:footer="720" w:gutter="0"/>
          <w:cols w:space="720"/>
          <w:noEndnote/>
        </w:sectPr>
      </w:pPr>
    </w:p>
    <w:p w14:paraId="13A7C6B8" w14:textId="77777777" w:rsidR="00861AF0" w:rsidRDefault="00861AF0" w:rsidP="00757AA2">
      <w:pPr>
        <w:kinsoku w:val="0"/>
        <w:overflowPunct w:val="0"/>
        <w:spacing w:before="19" w:line="413" w:lineRule="exact"/>
        <w:ind w:firstLine="720"/>
        <w:jc w:val="both"/>
        <w:textAlignment w:val="baseline"/>
        <w:rPr>
          <w:sz w:val="24"/>
          <w:szCs w:val="24"/>
        </w:rPr>
      </w:pPr>
    </w:p>
    <w:p w14:paraId="7FF4D85E" w14:textId="30C86A6E" w:rsidR="00757AA2" w:rsidRDefault="00757AA2" w:rsidP="00757AA2">
      <w:pPr>
        <w:kinsoku w:val="0"/>
        <w:overflowPunct w:val="0"/>
        <w:spacing w:before="19" w:line="413" w:lineRule="exact"/>
        <w:ind w:firstLine="720"/>
        <w:jc w:val="both"/>
        <w:textAlignment w:val="baseline"/>
        <w:rPr>
          <w:sz w:val="24"/>
          <w:szCs w:val="24"/>
        </w:rPr>
      </w:pPr>
      <w:r>
        <w:rPr>
          <w:sz w:val="24"/>
          <w:szCs w:val="24"/>
        </w:rPr>
        <w:lastRenderedPageBreak/>
        <w:t xml:space="preserve">Supplementary Figures 4 and 5 suggest that when underlying true effects (ρ = 0.2 and ρ = 0.4) are present in the sample, there is a noticeable difference between ground truth (generated) estimates and resampled estimates for uncorrected and lenient significance thresholds (compare panels </w:t>
      </w:r>
      <w:r>
        <w:rPr>
          <w:b/>
          <w:sz w:val="24"/>
          <w:szCs w:val="24"/>
        </w:rPr>
        <w:t xml:space="preserve">a </w:t>
      </w:r>
      <w:r>
        <w:rPr>
          <w:sz w:val="24"/>
          <w:szCs w:val="24"/>
        </w:rPr>
        <w:t xml:space="preserve">and </w:t>
      </w:r>
      <w:r>
        <w:rPr>
          <w:b/>
          <w:sz w:val="24"/>
          <w:szCs w:val="24"/>
        </w:rPr>
        <w:t xml:space="preserve">b </w:t>
      </w:r>
      <w:r>
        <w:rPr>
          <w:sz w:val="24"/>
          <w:szCs w:val="24"/>
        </w:rPr>
        <w:t xml:space="preserve">in Supplementary Figures 4 and 5). Subsampling up to 10% of full sample size gives reliable statistical power estimates when true effects are present (Supplementary Figures 4 and 5, panels </w:t>
      </w:r>
      <w:r>
        <w:rPr>
          <w:b/>
          <w:sz w:val="24"/>
          <w:szCs w:val="24"/>
        </w:rPr>
        <w:t>c</w:t>
      </w:r>
      <w:r>
        <w:rPr>
          <w:sz w:val="24"/>
          <w:szCs w:val="24"/>
        </w:rPr>
        <w:t xml:space="preserve">). On the other hand, we note that adjusting </w:t>
      </w:r>
      <w:r>
        <w:rPr>
          <w:i/>
          <w:sz w:val="25"/>
          <w:szCs w:val="24"/>
        </w:rPr>
        <w:t xml:space="preserve">P </w:t>
      </w:r>
      <w:r>
        <w:rPr>
          <w:sz w:val="24"/>
          <w:szCs w:val="24"/>
        </w:rPr>
        <w:t xml:space="preserve">values (Supplementary Figures 4 and 5, panels </w:t>
      </w:r>
      <w:r>
        <w:rPr>
          <w:b/>
          <w:sz w:val="24"/>
          <w:szCs w:val="24"/>
        </w:rPr>
        <w:t>d</w:t>
      </w:r>
      <w:r>
        <w:rPr>
          <w:sz w:val="24"/>
          <w:szCs w:val="24"/>
        </w:rPr>
        <w:t>) over-corrects Bonferroni estimates (α = .001, ..., 10</w:t>
      </w:r>
      <w:r>
        <w:rPr>
          <w:rFonts w:ascii="Symbol" w:eastAsia="Symbol" w:hAnsi="Symbol" w:cs="Symbol"/>
          <w:sz w:val="24"/>
          <w:szCs w:val="20"/>
          <w:vertAlign w:val="superscript"/>
        </w:rPr>
        <w:t>-</w:t>
      </w:r>
      <w:r>
        <w:rPr>
          <w:sz w:val="24"/>
          <w:szCs w:val="24"/>
          <w:vertAlign w:val="superscript"/>
        </w:rPr>
        <w:t>7</w:t>
      </w:r>
      <w:r>
        <w:rPr>
          <w:sz w:val="24"/>
          <w:szCs w:val="24"/>
        </w:rPr>
        <w:t>), leading to conservative statistical power estimates relative to ground truth estimates.</w:t>
      </w:r>
    </w:p>
    <w:p w14:paraId="5AAEC998" w14:textId="7CB23517" w:rsidR="00757AA2" w:rsidRDefault="00757AA2" w:rsidP="00757AA2">
      <w:pPr>
        <w:kinsoku w:val="0"/>
        <w:overflowPunct w:val="0"/>
        <w:spacing w:before="421" w:line="413" w:lineRule="exact"/>
        <w:ind w:firstLine="720"/>
        <w:jc w:val="both"/>
        <w:textAlignment w:val="baseline"/>
        <w:rPr>
          <w:sz w:val="24"/>
          <w:szCs w:val="24"/>
        </w:rPr>
      </w:pPr>
      <w:r>
        <w:rPr>
          <w:sz w:val="24"/>
          <w:szCs w:val="24"/>
        </w:rPr>
        <w:t>While these subject level simulations respect the bounded distribution of brain connectivity estimates (non-gaussian distribution between -1 and +1), these simulations are still limited in how accurately they model real world data. One could consider alternative methods for simulating non-gaussian multivariate data</w:t>
      </w:r>
      <w:r>
        <w:rPr>
          <w:sz w:val="24"/>
          <w:szCs w:val="24"/>
        </w:rPr>
        <w:fldChar w:fldCharType="begin"/>
      </w:r>
      <w:r>
        <w:rPr>
          <w:sz w:val="24"/>
          <w:szCs w:val="24"/>
        </w:rPr>
        <w:instrText xml:space="preserve"> ADDIN ZOTERO_ITEM CSL_CITATION {"citationID":"7E32HVn6","properties":{"formattedCitation":"\\super 5,6\\nosupersub{}","plainCitation":"5,6","noteIndex":0},"citationItems":[{"id":340,"uris":["http://zotero.org/users/9295473/items/9MBLJ4H6"],"itemData":{"id":340,"type":"article-journal","abstract":"Fleishman's power method is frequently used to simulate non-normal data with a desired skewness and kurtosis. Fleishman's method requires solving a system of nonlinear equations to find the third-order polynomial weights that transform a standard normal variable into a non-normal variable with desired moments. Most users of the power method seem unaware that Fleishman's equations have multiple solutions for typical combinations of skewness and kurtosis. Furthermore, researchers lack a simple method for exploring the multiple solutions of Fleishman's equations, so most applications only consider a single solution. In this paper, we propose novel methods for finding all real-valued solutions of Fleishman's equations. Additionally, we characterize the solutions in terms of differences in higher order moments. Our theoretical analysis of the power method reveals that there typically exists two solutions of Fleishman's equations that have noteworthy differences in higher order moments. Using simulated examples, we demonstrate that these differences can have remarkable effects on the shape of the non-normal distribution, as well as the sampling distributions of statistics calculated from the data. Some considerations for choosing a solution are discussed, and some recommendations for improved reporting standards are provided.","container-title":"British Journal of Mathematical and Statistical Psychology","DOI":"10.1111/bmsp.12259","ISSN":"2044-8317","issue":"2","language":"en","note":"_eprint: https://onlinelibrary.wiley.com/doi/pdf/10.1111/bmsp.12259","page":"319-333","source":"Wiley Online Library","title":"Computing the real solutions of Fleishman's equations for simulating non-normal data","volume":"75","author":[{"family":"Helwig","given":"Nathaniel E."}],"issued":{"date-parts":[["2022"]]}}},{"id":341,"uris":["http://zotero.org/users/9295473/items/YBJ7BEY6"],"itemData":{"id":341,"type":"article-journal","abstract":"The Tukey family of g-and-h distributions is often used to model univariate real-world data. There is a paucity of research demonstrating appropriate multivariate data generation using the g-and-h family of distributions with specified correlations. Therefore, the methodology and algorithms are presented to extend the g-and-h family from univariate to multivariate data generation. An example is provided along with a Monte Carlo simulation demonstrating the methodology. In addition, algorithms written in Mathematica 7.0 are available from the authors for implementing the procedure.","container-title":"British Journal of Mathematical and Statistical Psychology","DOI":"10.1348/000711009X423067","ISSN":"2044-8317","issue":"1","language":"en","note":"_eprint: https://onlinelibrary.wiley.com/doi/pdf/10.1348/000711009X423067","page":"63-74","source":"Wiley Online Library","title":"Simulating multivariate g-and-h distributions","volume":"63","author":[{"family":"Kowalchuk","given":"Rhonda K."},{"family":"Headrick","given":"Todd C."}],"issued":{"date-parts":[["2010"]]}}}],"schema":"https://github.com/citation-style-language/schema/raw/master/csl-citation.json"} </w:instrText>
      </w:r>
      <w:r>
        <w:rPr>
          <w:sz w:val="24"/>
          <w:szCs w:val="24"/>
        </w:rPr>
        <w:fldChar w:fldCharType="separate"/>
      </w:r>
      <w:r w:rsidRPr="00757AA2">
        <w:rPr>
          <w:sz w:val="24"/>
          <w:szCs w:val="24"/>
          <w:vertAlign w:val="superscript"/>
        </w:rPr>
        <w:t>5,6</w:t>
      </w:r>
      <w:r>
        <w:rPr>
          <w:sz w:val="24"/>
          <w:szCs w:val="24"/>
        </w:rPr>
        <w:fldChar w:fldCharType="end"/>
      </w:r>
      <w:r>
        <w:rPr>
          <w:sz w:val="24"/>
          <w:szCs w:val="24"/>
        </w:rPr>
        <w:t xml:space="preserve"> or more complete simulations of fMRI data</w:t>
      </w:r>
      <w:r>
        <w:rPr>
          <w:sz w:val="24"/>
          <w:szCs w:val="24"/>
        </w:rPr>
        <w:fldChar w:fldCharType="begin"/>
      </w:r>
      <w:r>
        <w:rPr>
          <w:sz w:val="24"/>
          <w:szCs w:val="24"/>
        </w:rPr>
        <w:instrText xml:space="preserve"> ADDIN ZOTERO_ITEM CSL_CITATION {"citationID":"F8TJBGdz","properties":{"formattedCitation":"\\super 7,8\\nosupersub{}","plainCitation":"7,8","noteIndex":0},"citationItems":[{"id":335,"uris":["http://zotero.org/users/9295473/items/3HN4UUCU"],"itemData":{"id":335,"type":"article-journal","container-title":"PloS one","issue":"7","note":"publisher: Public Library of Science San Francisco, USA","page":"e101953","source":"Google Scholar","title":"A review of fMRI simulation studies","volume":"9","author":[{"family":"Welvaert","given":"Marijke"},{"family":"Rosseel","given":"Yves"}],"issued":{"date-parts":[["2014"]]}}},{"id":336,"uris":["http://zotero.org/users/9295473/items/KL59PEVM"],"itemData":{"id":336,"type":"article-journal","container-title":"Journal of Statistical Software","issue":"10","page":"1–18","source":"Google Scholar","title":"neuRosim: An R package for generating fMRI data","title-short":"neuRosim","volume":"44","author":[{"family":"Welvaert","given":"Marijke"},{"family":"Durnez","given":"Joke"},{"family":"Moerkerke","given":"Beatrijs"},{"family":"Verdoolaege","given":"Geert"},{"family":"Rosseel","given":"Yves"}],"issued":{"date-parts":[["2011"]]}}}],"schema":"https://github.com/citation-style-language/schema/raw/master/csl-citation.json"} </w:instrText>
      </w:r>
      <w:r>
        <w:rPr>
          <w:sz w:val="24"/>
          <w:szCs w:val="24"/>
        </w:rPr>
        <w:fldChar w:fldCharType="separate"/>
      </w:r>
      <w:r w:rsidRPr="00757AA2">
        <w:rPr>
          <w:sz w:val="24"/>
          <w:szCs w:val="24"/>
          <w:vertAlign w:val="superscript"/>
        </w:rPr>
        <w:t>7,8</w:t>
      </w:r>
      <w:r>
        <w:rPr>
          <w:sz w:val="24"/>
          <w:szCs w:val="24"/>
        </w:rPr>
        <w:fldChar w:fldCharType="end"/>
      </w:r>
      <w:r>
        <w:rPr>
          <w:sz w:val="24"/>
          <w:szCs w:val="24"/>
        </w:rPr>
        <w:t xml:space="preserve">. </w:t>
      </w:r>
      <w:r w:rsidR="00861AF0">
        <w:rPr>
          <w:sz w:val="24"/>
          <w:szCs w:val="24"/>
        </w:rPr>
        <w:t>However, we instead chose to simplify our simulations as done in the main text.</w:t>
      </w:r>
    </w:p>
    <w:p w14:paraId="7109E043" w14:textId="20C9F60E" w:rsidR="00757AA2" w:rsidRPr="00757AA2" w:rsidRDefault="00757AA2" w:rsidP="00757AA2">
      <w:pPr>
        <w:pStyle w:val="BodyText"/>
        <w:ind w:left="0" w:firstLine="0"/>
        <w:rPr>
          <w:lang w:val="en-US"/>
        </w:rPr>
        <w:sectPr w:rsidR="00757AA2" w:rsidRPr="00757AA2" w:rsidSect="00F13EEB">
          <w:footerReference w:type="default" r:id="rId15"/>
          <w:type w:val="continuous"/>
          <w:pgSz w:w="12240" w:h="15840"/>
          <w:pgMar w:top="1280" w:right="1320" w:bottom="1660" w:left="1320" w:header="720" w:footer="1461" w:gutter="0"/>
          <w:pgNumType w:start="1"/>
          <w:cols w:space="720"/>
        </w:sectPr>
      </w:pPr>
    </w:p>
    <w:p w14:paraId="7E109DE7" w14:textId="65F73B73" w:rsidR="00101163" w:rsidRDefault="00757AA2" w:rsidP="00101163">
      <w:pPr>
        <w:pStyle w:val="Heading1"/>
      </w:pPr>
      <w:r>
        <w:rPr>
          <w:lang w:val="en-GB"/>
        </w:rPr>
        <w:lastRenderedPageBreak/>
        <w:t xml:space="preserve">Supplementary </w:t>
      </w:r>
      <w:r w:rsidR="00101163">
        <w:t>References</w:t>
      </w:r>
    </w:p>
    <w:p w14:paraId="2F163B18" w14:textId="77777777" w:rsidR="00101163" w:rsidRDefault="00101163" w:rsidP="00101163">
      <w:pPr>
        <w:pStyle w:val="Heading1"/>
      </w:pPr>
    </w:p>
    <w:p w14:paraId="249FC550" w14:textId="77777777" w:rsidR="00757AA2" w:rsidRPr="00757AA2" w:rsidRDefault="00101163" w:rsidP="00757AA2">
      <w:pPr>
        <w:pStyle w:val="Bibliography"/>
        <w:rPr>
          <w:sz w:val="24"/>
        </w:rPr>
      </w:pPr>
      <w:r>
        <w:fldChar w:fldCharType="begin"/>
      </w:r>
      <w:r w:rsidR="00757AA2">
        <w:instrText xml:space="preserve"> ADDIN ZOTERO_BIBL {"uncited":[],"omitted":[],"custom":[]} CSL_BIBLIOGRAPHY </w:instrText>
      </w:r>
      <w:r>
        <w:fldChar w:fldCharType="separate"/>
      </w:r>
      <w:r w:rsidR="00757AA2" w:rsidRPr="00757AA2">
        <w:rPr>
          <w:sz w:val="24"/>
        </w:rPr>
        <w:t>1.</w:t>
      </w:r>
      <w:r w:rsidR="00757AA2" w:rsidRPr="00757AA2">
        <w:rPr>
          <w:sz w:val="24"/>
        </w:rPr>
        <w:tab/>
        <w:t xml:space="preserve">Marek, S. </w:t>
      </w:r>
      <w:r w:rsidR="00757AA2" w:rsidRPr="00757AA2">
        <w:rPr>
          <w:i/>
          <w:iCs/>
          <w:sz w:val="24"/>
        </w:rPr>
        <w:t>et al.</w:t>
      </w:r>
      <w:r w:rsidR="00757AA2" w:rsidRPr="00757AA2">
        <w:rPr>
          <w:sz w:val="24"/>
        </w:rPr>
        <w:t xml:space="preserve"> Reproducible brain-wide association studies require thousands of individuals. </w:t>
      </w:r>
      <w:r w:rsidR="00757AA2" w:rsidRPr="00757AA2">
        <w:rPr>
          <w:i/>
          <w:iCs/>
          <w:sz w:val="24"/>
        </w:rPr>
        <w:t>Nature</w:t>
      </w:r>
      <w:r w:rsidR="00757AA2" w:rsidRPr="00757AA2">
        <w:rPr>
          <w:sz w:val="24"/>
        </w:rPr>
        <w:t xml:space="preserve"> </w:t>
      </w:r>
      <w:r w:rsidR="00757AA2" w:rsidRPr="00757AA2">
        <w:rPr>
          <w:b/>
          <w:bCs/>
          <w:sz w:val="24"/>
        </w:rPr>
        <w:t>603</w:t>
      </w:r>
      <w:r w:rsidR="00757AA2" w:rsidRPr="00757AA2">
        <w:rPr>
          <w:sz w:val="24"/>
        </w:rPr>
        <w:t>, 654–660 (2022).</w:t>
      </w:r>
    </w:p>
    <w:p w14:paraId="20614D4E" w14:textId="77777777" w:rsidR="00757AA2" w:rsidRPr="00757AA2" w:rsidRDefault="00757AA2" w:rsidP="00757AA2">
      <w:pPr>
        <w:pStyle w:val="Bibliography"/>
        <w:rPr>
          <w:sz w:val="24"/>
          <w:lang w:val="fr-FR"/>
        </w:rPr>
      </w:pPr>
      <w:r w:rsidRPr="00757AA2">
        <w:rPr>
          <w:sz w:val="24"/>
          <w:lang w:val="fr-FR"/>
        </w:rPr>
        <w:t>2.</w:t>
      </w:r>
      <w:r w:rsidRPr="00757AA2">
        <w:rPr>
          <w:sz w:val="24"/>
          <w:lang w:val="fr-FR"/>
        </w:rPr>
        <w:tab/>
        <w:t>Copulas: Generate Correlated Samples - MATLAB &amp; Simulink. https://www.mathworks.com/help/stats/copulas-generate-correlated-samples.html.</w:t>
      </w:r>
    </w:p>
    <w:p w14:paraId="4FDF6880" w14:textId="77777777" w:rsidR="00757AA2" w:rsidRPr="00757AA2" w:rsidRDefault="00757AA2" w:rsidP="00757AA2">
      <w:pPr>
        <w:pStyle w:val="Bibliography"/>
        <w:rPr>
          <w:sz w:val="24"/>
        </w:rPr>
      </w:pPr>
      <w:r w:rsidRPr="00757AA2">
        <w:rPr>
          <w:sz w:val="24"/>
          <w:lang w:val="fr-FR"/>
        </w:rPr>
        <w:t>3.</w:t>
      </w:r>
      <w:r w:rsidRPr="00757AA2">
        <w:rPr>
          <w:sz w:val="24"/>
          <w:lang w:val="fr-FR"/>
        </w:rPr>
        <w:tab/>
        <w:t xml:space="preserve">Sklar, M. Fonctions de répartition à N dimensions et leurs marges. </w:t>
      </w:r>
      <w:r w:rsidRPr="00757AA2">
        <w:rPr>
          <w:i/>
          <w:iCs/>
          <w:sz w:val="24"/>
        </w:rPr>
        <w:t>Publ Inst Stat. Univ Paris</w:t>
      </w:r>
      <w:r w:rsidRPr="00757AA2">
        <w:rPr>
          <w:sz w:val="24"/>
        </w:rPr>
        <w:t xml:space="preserve"> </w:t>
      </w:r>
      <w:r w:rsidRPr="00757AA2">
        <w:rPr>
          <w:b/>
          <w:bCs/>
          <w:sz w:val="24"/>
        </w:rPr>
        <w:t>8</w:t>
      </w:r>
      <w:r w:rsidRPr="00757AA2">
        <w:rPr>
          <w:sz w:val="24"/>
        </w:rPr>
        <w:t>, 229–231 (1959).</w:t>
      </w:r>
    </w:p>
    <w:p w14:paraId="48B8D50F" w14:textId="77777777" w:rsidR="00757AA2" w:rsidRPr="00757AA2" w:rsidRDefault="00757AA2" w:rsidP="00757AA2">
      <w:pPr>
        <w:pStyle w:val="Bibliography"/>
        <w:rPr>
          <w:sz w:val="24"/>
        </w:rPr>
      </w:pPr>
      <w:r w:rsidRPr="00757AA2">
        <w:rPr>
          <w:sz w:val="24"/>
        </w:rPr>
        <w:t>4.</w:t>
      </w:r>
      <w:r w:rsidRPr="00757AA2">
        <w:rPr>
          <w:sz w:val="24"/>
        </w:rPr>
        <w:tab/>
        <w:t xml:space="preserve">Ripley, B. </w:t>
      </w:r>
      <w:r w:rsidRPr="00757AA2">
        <w:rPr>
          <w:i/>
          <w:iCs/>
          <w:sz w:val="24"/>
        </w:rPr>
        <w:t>et al.</w:t>
      </w:r>
      <w:r w:rsidRPr="00757AA2">
        <w:rPr>
          <w:sz w:val="24"/>
        </w:rPr>
        <w:t xml:space="preserve"> MASS: Support Functions and Datasets for Venables and Ripley’s MASS. (2023).</w:t>
      </w:r>
    </w:p>
    <w:p w14:paraId="75D28320" w14:textId="77777777" w:rsidR="00757AA2" w:rsidRPr="00757AA2" w:rsidRDefault="00757AA2" w:rsidP="00757AA2">
      <w:pPr>
        <w:pStyle w:val="Bibliography"/>
        <w:rPr>
          <w:sz w:val="24"/>
        </w:rPr>
      </w:pPr>
      <w:r w:rsidRPr="00757AA2">
        <w:rPr>
          <w:sz w:val="24"/>
        </w:rPr>
        <w:t>5.</w:t>
      </w:r>
      <w:r w:rsidRPr="00757AA2">
        <w:rPr>
          <w:sz w:val="24"/>
        </w:rPr>
        <w:tab/>
        <w:t xml:space="preserve">Helwig, N. E. Computing the real solutions of Fleishman’s equations for simulating non-normal data. </w:t>
      </w:r>
      <w:r w:rsidRPr="00757AA2">
        <w:rPr>
          <w:i/>
          <w:iCs/>
          <w:sz w:val="24"/>
        </w:rPr>
        <w:t>Br. J. Math. Stat. Psychol.</w:t>
      </w:r>
      <w:r w:rsidRPr="00757AA2">
        <w:rPr>
          <w:sz w:val="24"/>
        </w:rPr>
        <w:t xml:space="preserve"> </w:t>
      </w:r>
      <w:r w:rsidRPr="00757AA2">
        <w:rPr>
          <w:b/>
          <w:bCs/>
          <w:sz w:val="24"/>
        </w:rPr>
        <w:t>75</w:t>
      </w:r>
      <w:r w:rsidRPr="00757AA2">
        <w:rPr>
          <w:sz w:val="24"/>
        </w:rPr>
        <w:t>, 319–333 (2022).</w:t>
      </w:r>
    </w:p>
    <w:p w14:paraId="27FD6B4C" w14:textId="77777777" w:rsidR="00757AA2" w:rsidRPr="00757AA2" w:rsidRDefault="00757AA2" w:rsidP="00757AA2">
      <w:pPr>
        <w:pStyle w:val="Bibliography"/>
        <w:rPr>
          <w:sz w:val="24"/>
        </w:rPr>
      </w:pPr>
      <w:r w:rsidRPr="00757AA2">
        <w:rPr>
          <w:sz w:val="24"/>
        </w:rPr>
        <w:t>6.</w:t>
      </w:r>
      <w:r w:rsidRPr="00757AA2">
        <w:rPr>
          <w:sz w:val="24"/>
        </w:rPr>
        <w:tab/>
        <w:t xml:space="preserve">Kowalchuk, R. K. &amp; Headrick, T. C. Simulating multivariate g-and-h distributions. </w:t>
      </w:r>
      <w:r w:rsidRPr="00757AA2">
        <w:rPr>
          <w:i/>
          <w:iCs/>
          <w:sz w:val="24"/>
        </w:rPr>
        <w:t>Br. J. Math. Stat. Psychol.</w:t>
      </w:r>
      <w:r w:rsidRPr="00757AA2">
        <w:rPr>
          <w:sz w:val="24"/>
        </w:rPr>
        <w:t xml:space="preserve"> </w:t>
      </w:r>
      <w:r w:rsidRPr="00757AA2">
        <w:rPr>
          <w:b/>
          <w:bCs/>
          <w:sz w:val="24"/>
        </w:rPr>
        <w:t>63</w:t>
      </w:r>
      <w:r w:rsidRPr="00757AA2">
        <w:rPr>
          <w:sz w:val="24"/>
        </w:rPr>
        <w:t>, 63–74 (2010).</w:t>
      </w:r>
    </w:p>
    <w:p w14:paraId="400A0213" w14:textId="77777777" w:rsidR="00757AA2" w:rsidRPr="00757AA2" w:rsidRDefault="00757AA2" w:rsidP="00757AA2">
      <w:pPr>
        <w:pStyle w:val="Bibliography"/>
        <w:rPr>
          <w:sz w:val="24"/>
        </w:rPr>
      </w:pPr>
      <w:r w:rsidRPr="00757AA2">
        <w:rPr>
          <w:sz w:val="24"/>
        </w:rPr>
        <w:t>7.</w:t>
      </w:r>
      <w:r w:rsidRPr="00757AA2">
        <w:rPr>
          <w:sz w:val="24"/>
        </w:rPr>
        <w:tab/>
        <w:t xml:space="preserve">Welvaert, M. &amp; Rosseel, Y. A review of fMRI simulation studies. </w:t>
      </w:r>
      <w:r w:rsidRPr="00757AA2">
        <w:rPr>
          <w:i/>
          <w:iCs/>
          <w:sz w:val="24"/>
        </w:rPr>
        <w:t>PloS One</w:t>
      </w:r>
      <w:r w:rsidRPr="00757AA2">
        <w:rPr>
          <w:sz w:val="24"/>
        </w:rPr>
        <w:t xml:space="preserve"> </w:t>
      </w:r>
      <w:r w:rsidRPr="00757AA2">
        <w:rPr>
          <w:b/>
          <w:bCs/>
          <w:sz w:val="24"/>
        </w:rPr>
        <w:t>9</w:t>
      </w:r>
      <w:r w:rsidRPr="00757AA2">
        <w:rPr>
          <w:sz w:val="24"/>
        </w:rPr>
        <w:t>, e101953 (2014).</w:t>
      </w:r>
    </w:p>
    <w:p w14:paraId="5AFE66F8" w14:textId="77777777" w:rsidR="00757AA2" w:rsidRPr="00757AA2" w:rsidRDefault="00757AA2" w:rsidP="00757AA2">
      <w:pPr>
        <w:pStyle w:val="Bibliography"/>
        <w:rPr>
          <w:sz w:val="24"/>
        </w:rPr>
      </w:pPr>
      <w:r w:rsidRPr="00757AA2">
        <w:rPr>
          <w:sz w:val="24"/>
        </w:rPr>
        <w:t>8.</w:t>
      </w:r>
      <w:r w:rsidRPr="00757AA2">
        <w:rPr>
          <w:sz w:val="24"/>
        </w:rPr>
        <w:tab/>
        <w:t xml:space="preserve">Welvaert, M., Durnez, J., Moerkerke, B., Verdoolaege, G. &amp; Rosseel, Y. neuRosim: An R package for generating fMRI data. </w:t>
      </w:r>
      <w:r w:rsidRPr="00757AA2">
        <w:rPr>
          <w:i/>
          <w:iCs/>
          <w:sz w:val="24"/>
        </w:rPr>
        <w:t>J. Stat. Softw.</w:t>
      </w:r>
      <w:r w:rsidRPr="00757AA2">
        <w:rPr>
          <w:sz w:val="24"/>
        </w:rPr>
        <w:t xml:space="preserve"> </w:t>
      </w:r>
      <w:r w:rsidRPr="00757AA2">
        <w:rPr>
          <w:b/>
          <w:bCs/>
          <w:sz w:val="24"/>
        </w:rPr>
        <w:t>44</w:t>
      </w:r>
      <w:r w:rsidRPr="00757AA2">
        <w:rPr>
          <w:sz w:val="24"/>
        </w:rPr>
        <w:t>, 1–18 (2011).</w:t>
      </w:r>
    </w:p>
    <w:p w14:paraId="70CF0547" w14:textId="6CC130A7" w:rsidR="00101163" w:rsidRPr="00E262E3" w:rsidRDefault="00101163" w:rsidP="00101163">
      <w:pPr>
        <w:pStyle w:val="Heading1"/>
        <w:ind w:left="0"/>
      </w:pPr>
      <w:r>
        <w:fldChar w:fldCharType="end"/>
      </w:r>
    </w:p>
    <w:sectPr w:rsidR="00101163" w:rsidRPr="00E262E3">
      <w:pgSz w:w="12240" w:h="15840"/>
      <w:pgMar w:top="1360" w:right="1320" w:bottom="1660" w:left="1320" w:header="0" w:footer="14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2D7024" w14:textId="77777777" w:rsidR="00F13EEB" w:rsidRDefault="00F13EEB">
      <w:r>
        <w:separator/>
      </w:r>
    </w:p>
  </w:endnote>
  <w:endnote w:type="continuationSeparator" w:id="0">
    <w:p w14:paraId="23868658" w14:textId="77777777" w:rsidR="00F13EEB" w:rsidRDefault="00F13EEB">
      <w:r>
        <w:continuationSeparator/>
      </w:r>
    </w:p>
  </w:endnote>
  <w:endnote w:type="continuationNotice" w:id="1">
    <w:p w14:paraId="7D7954EA" w14:textId="77777777" w:rsidR="00F13EEB" w:rsidRDefault="00F13E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A1D79" w14:textId="77777777" w:rsidR="00C84076" w:rsidRDefault="00C84076" w:rsidP="00E262E3">
    <w:pPr>
      <w:pStyle w:val="BodyText"/>
      <w:rPr>
        <w:sz w:val="20"/>
      </w:rPr>
    </w:pPr>
    <w:r>
      <w:rPr>
        <w:noProof/>
      </w:rPr>
      <mc:AlternateContent>
        <mc:Choice Requires="wps">
          <w:drawing>
            <wp:anchor distT="0" distB="0" distL="114300" distR="114300" simplePos="0" relativeHeight="251663360" behindDoc="1" locked="0" layoutInCell="1" allowOverlap="1" wp14:anchorId="3C77139A" wp14:editId="3F37C473">
              <wp:simplePos x="0" y="0"/>
              <wp:positionH relativeFrom="page">
                <wp:posOffset>3822700</wp:posOffset>
              </wp:positionH>
              <wp:positionV relativeFrom="page">
                <wp:posOffset>8990965</wp:posOffset>
              </wp:positionV>
              <wp:extent cx="127000" cy="208915"/>
              <wp:effectExtent l="0" t="0" r="0" b="0"/>
              <wp:wrapNone/>
              <wp:docPr id="100644545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7000" cy="208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7850E2" w14:textId="77777777" w:rsidR="00C84076" w:rsidRDefault="00C84076" w:rsidP="00E262E3">
                          <w:pPr>
                            <w:pStyle w:val="BodyText"/>
                          </w:pPr>
                          <w:r>
                            <w:fldChar w:fldCharType="begin"/>
                          </w:r>
                          <w:r>
                            <w:rPr>
                              <w:w w:val="99"/>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w14:anchorId="5BCBBDBE">
            <v:shapetype id="_x0000_t202" coordsize="21600,21600" o:spt="202" path="m,l,21600r21600,l21600,xe" w14:anchorId="3C77139A">
              <v:stroke joinstyle="miter"/>
              <v:path gradientshapeok="t" o:connecttype="rect"/>
            </v:shapetype>
            <v:shape id="Text Box 1" style="position:absolute;left:0;text-align:left;margin-left:301pt;margin-top:707.95pt;width:10pt;height:16.4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">
              <v:path arrowok="t"/>
              <v:textbox inset="0,0,0,0">
                <w:txbxContent>
                  <w:p w:rsidR="00C84076" w:rsidP="00E262E3" w:rsidRDefault="00C84076" w14:paraId="4590CB77" w14:textId="77777777">
                    <w:pPr>
                      <w:pStyle w:val="BodyText"/>
                    </w:pPr>
                    <w:r>
                      <w:fldChar w:fldCharType="begin"/>
                    </w:r>
                    <w:r>
                      <w:rPr>
                        <w:w w:val="99"/>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E66276" w14:textId="77777777" w:rsidR="00F13EEB" w:rsidRDefault="00F13EEB">
      <w:r>
        <w:separator/>
      </w:r>
    </w:p>
  </w:footnote>
  <w:footnote w:type="continuationSeparator" w:id="0">
    <w:p w14:paraId="5A359740" w14:textId="77777777" w:rsidR="00F13EEB" w:rsidRDefault="00F13EEB">
      <w:r>
        <w:continuationSeparator/>
      </w:r>
    </w:p>
  </w:footnote>
  <w:footnote w:type="continuationNotice" w:id="1">
    <w:p w14:paraId="58FB4CF1" w14:textId="77777777" w:rsidR="00F13EEB" w:rsidRDefault="00F13EEB"/>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doNotDisplayPageBoundaries/>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FB4"/>
    <w:rsid w:val="0000593C"/>
    <w:rsid w:val="00010334"/>
    <w:rsid w:val="000126F0"/>
    <w:rsid w:val="000138BA"/>
    <w:rsid w:val="0002210D"/>
    <w:rsid w:val="000242EC"/>
    <w:rsid w:val="00057000"/>
    <w:rsid w:val="0006114B"/>
    <w:rsid w:val="00072EC1"/>
    <w:rsid w:val="00073D23"/>
    <w:rsid w:val="00080811"/>
    <w:rsid w:val="0008273D"/>
    <w:rsid w:val="00084308"/>
    <w:rsid w:val="0009289E"/>
    <w:rsid w:val="000A3405"/>
    <w:rsid w:val="000E251C"/>
    <w:rsid w:val="000E746E"/>
    <w:rsid w:val="000F71FE"/>
    <w:rsid w:val="00101163"/>
    <w:rsid w:val="00106535"/>
    <w:rsid w:val="00114639"/>
    <w:rsid w:val="00114D8E"/>
    <w:rsid w:val="00135C84"/>
    <w:rsid w:val="00140E2F"/>
    <w:rsid w:val="00147AAD"/>
    <w:rsid w:val="00150408"/>
    <w:rsid w:val="001504AC"/>
    <w:rsid w:val="001557DA"/>
    <w:rsid w:val="0016150A"/>
    <w:rsid w:val="00165080"/>
    <w:rsid w:val="001721CA"/>
    <w:rsid w:val="0018492C"/>
    <w:rsid w:val="001C25A8"/>
    <w:rsid w:val="001C68AD"/>
    <w:rsid w:val="001D2DFD"/>
    <w:rsid w:val="001F7B10"/>
    <w:rsid w:val="0020679A"/>
    <w:rsid w:val="002167AE"/>
    <w:rsid w:val="00225FB4"/>
    <w:rsid w:val="0022795D"/>
    <w:rsid w:val="0024701F"/>
    <w:rsid w:val="00271A0B"/>
    <w:rsid w:val="00276615"/>
    <w:rsid w:val="00295A56"/>
    <w:rsid w:val="002A5044"/>
    <w:rsid w:val="002B29C5"/>
    <w:rsid w:val="002C07A3"/>
    <w:rsid w:val="002C34F3"/>
    <w:rsid w:val="002D375F"/>
    <w:rsid w:val="002D50E6"/>
    <w:rsid w:val="002E074C"/>
    <w:rsid w:val="002F403E"/>
    <w:rsid w:val="00311550"/>
    <w:rsid w:val="0031729F"/>
    <w:rsid w:val="00323172"/>
    <w:rsid w:val="003479E6"/>
    <w:rsid w:val="003619C1"/>
    <w:rsid w:val="00380A33"/>
    <w:rsid w:val="0038B117"/>
    <w:rsid w:val="00391C26"/>
    <w:rsid w:val="0039797B"/>
    <w:rsid w:val="003A20FA"/>
    <w:rsid w:val="003A275D"/>
    <w:rsid w:val="003A403E"/>
    <w:rsid w:val="003A4C1C"/>
    <w:rsid w:val="003D2902"/>
    <w:rsid w:val="003E2C9E"/>
    <w:rsid w:val="003E2E65"/>
    <w:rsid w:val="00411CFA"/>
    <w:rsid w:val="0042515C"/>
    <w:rsid w:val="00442BCF"/>
    <w:rsid w:val="0044383E"/>
    <w:rsid w:val="00445A2D"/>
    <w:rsid w:val="0046786C"/>
    <w:rsid w:val="00473CC6"/>
    <w:rsid w:val="00475156"/>
    <w:rsid w:val="00482664"/>
    <w:rsid w:val="004A1B39"/>
    <w:rsid w:val="004B568B"/>
    <w:rsid w:val="004C05D2"/>
    <w:rsid w:val="004D0C19"/>
    <w:rsid w:val="004D350D"/>
    <w:rsid w:val="004D72FF"/>
    <w:rsid w:val="004E4570"/>
    <w:rsid w:val="004E7C9D"/>
    <w:rsid w:val="004F3117"/>
    <w:rsid w:val="004F5922"/>
    <w:rsid w:val="00505683"/>
    <w:rsid w:val="0050614C"/>
    <w:rsid w:val="005247DA"/>
    <w:rsid w:val="005315D1"/>
    <w:rsid w:val="005357E5"/>
    <w:rsid w:val="00587831"/>
    <w:rsid w:val="005A71C0"/>
    <w:rsid w:val="005B0B3A"/>
    <w:rsid w:val="005B2FA3"/>
    <w:rsid w:val="005B54B1"/>
    <w:rsid w:val="005B6D15"/>
    <w:rsid w:val="005D0943"/>
    <w:rsid w:val="005D3945"/>
    <w:rsid w:val="005D5957"/>
    <w:rsid w:val="005F1615"/>
    <w:rsid w:val="005F2277"/>
    <w:rsid w:val="005F661B"/>
    <w:rsid w:val="005F669B"/>
    <w:rsid w:val="005F6ED7"/>
    <w:rsid w:val="00606B30"/>
    <w:rsid w:val="00644D84"/>
    <w:rsid w:val="006554B0"/>
    <w:rsid w:val="0067734C"/>
    <w:rsid w:val="006A02F8"/>
    <w:rsid w:val="006A396D"/>
    <w:rsid w:val="006A3FCB"/>
    <w:rsid w:val="006A6DD4"/>
    <w:rsid w:val="006B113F"/>
    <w:rsid w:val="006B7A20"/>
    <w:rsid w:val="006C7A8A"/>
    <w:rsid w:val="006D19EE"/>
    <w:rsid w:val="006D768B"/>
    <w:rsid w:val="006F1622"/>
    <w:rsid w:val="007039E1"/>
    <w:rsid w:val="00705ABB"/>
    <w:rsid w:val="0072353F"/>
    <w:rsid w:val="007472D3"/>
    <w:rsid w:val="00757AA2"/>
    <w:rsid w:val="00766540"/>
    <w:rsid w:val="007674B8"/>
    <w:rsid w:val="0078693C"/>
    <w:rsid w:val="00792718"/>
    <w:rsid w:val="00794436"/>
    <w:rsid w:val="0079786A"/>
    <w:rsid w:val="007A0BA6"/>
    <w:rsid w:val="007B18CE"/>
    <w:rsid w:val="007C4300"/>
    <w:rsid w:val="007D3C17"/>
    <w:rsid w:val="007E5688"/>
    <w:rsid w:val="0080278B"/>
    <w:rsid w:val="00803ACB"/>
    <w:rsid w:val="008101A9"/>
    <w:rsid w:val="00825868"/>
    <w:rsid w:val="00831836"/>
    <w:rsid w:val="00832F8A"/>
    <w:rsid w:val="008350C7"/>
    <w:rsid w:val="00835F98"/>
    <w:rsid w:val="00843F20"/>
    <w:rsid w:val="00860E2D"/>
    <w:rsid w:val="00861AF0"/>
    <w:rsid w:val="00875F48"/>
    <w:rsid w:val="0088604E"/>
    <w:rsid w:val="008A3C59"/>
    <w:rsid w:val="008C068F"/>
    <w:rsid w:val="008C19DE"/>
    <w:rsid w:val="00914624"/>
    <w:rsid w:val="00925F42"/>
    <w:rsid w:val="00933B8E"/>
    <w:rsid w:val="00942775"/>
    <w:rsid w:val="00962FFD"/>
    <w:rsid w:val="00973391"/>
    <w:rsid w:val="00984E24"/>
    <w:rsid w:val="00990548"/>
    <w:rsid w:val="009966D9"/>
    <w:rsid w:val="009A1E53"/>
    <w:rsid w:val="009A63D0"/>
    <w:rsid w:val="009A6B8D"/>
    <w:rsid w:val="009B0F24"/>
    <w:rsid w:val="009D75CB"/>
    <w:rsid w:val="009E17C2"/>
    <w:rsid w:val="00A01559"/>
    <w:rsid w:val="00A0596E"/>
    <w:rsid w:val="00A103E6"/>
    <w:rsid w:val="00A16715"/>
    <w:rsid w:val="00A16F6E"/>
    <w:rsid w:val="00A209C5"/>
    <w:rsid w:val="00A41E3D"/>
    <w:rsid w:val="00A50E70"/>
    <w:rsid w:val="00A648AB"/>
    <w:rsid w:val="00A6553F"/>
    <w:rsid w:val="00A85588"/>
    <w:rsid w:val="00AA5E63"/>
    <w:rsid w:val="00AA62CB"/>
    <w:rsid w:val="00AC169F"/>
    <w:rsid w:val="00AC6DF2"/>
    <w:rsid w:val="00AE452B"/>
    <w:rsid w:val="00AE5649"/>
    <w:rsid w:val="00AE56F4"/>
    <w:rsid w:val="00AE6D4E"/>
    <w:rsid w:val="00B13E70"/>
    <w:rsid w:val="00B165B5"/>
    <w:rsid w:val="00B206A8"/>
    <w:rsid w:val="00B257D5"/>
    <w:rsid w:val="00B30E7A"/>
    <w:rsid w:val="00B42FF3"/>
    <w:rsid w:val="00B44B68"/>
    <w:rsid w:val="00B47643"/>
    <w:rsid w:val="00B724B5"/>
    <w:rsid w:val="00B72D56"/>
    <w:rsid w:val="00B9428F"/>
    <w:rsid w:val="00BB13B4"/>
    <w:rsid w:val="00BB34CF"/>
    <w:rsid w:val="00BB755F"/>
    <w:rsid w:val="00BC447A"/>
    <w:rsid w:val="00BC5A31"/>
    <w:rsid w:val="00BE607F"/>
    <w:rsid w:val="00BE76E3"/>
    <w:rsid w:val="00BF35AE"/>
    <w:rsid w:val="00C12333"/>
    <w:rsid w:val="00C374A5"/>
    <w:rsid w:val="00C402DE"/>
    <w:rsid w:val="00C4483F"/>
    <w:rsid w:val="00C537CD"/>
    <w:rsid w:val="00C53914"/>
    <w:rsid w:val="00C652A8"/>
    <w:rsid w:val="00C67D68"/>
    <w:rsid w:val="00C7718E"/>
    <w:rsid w:val="00C77D44"/>
    <w:rsid w:val="00C84076"/>
    <w:rsid w:val="00C86D25"/>
    <w:rsid w:val="00C93988"/>
    <w:rsid w:val="00CB59E7"/>
    <w:rsid w:val="00CC1C06"/>
    <w:rsid w:val="00D02377"/>
    <w:rsid w:val="00D05D11"/>
    <w:rsid w:val="00D13498"/>
    <w:rsid w:val="00D16782"/>
    <w:rsid w:val="00D36483"/>
    <w:rsid w:val="00D51F48"/>
    <w:rsid w:val="00D6198E"/>
    <w:rsid w:val="00D630D4"/>
    <w:rsid w:val="00D6645F"/>
    <w:rsid w:val="00D75701"/>
    <w:rsid w:val="00D83D2C"/>
    <w:rsid w:val="00D938A5"/>
    <w:rsid w:val="00DC0198"/>
    <w:rsid w:val="00DC05D6"/>
    <w:rsid w:val="00DC13A4"/>
    <w:rsid w:val="00DC1D0A"/>
    <w:rsid w:val="00DD0B10"/>
    <w:rsid w:val="00DD3861"/>
    <w:rsid w:val="00DE0814"/>
    <w:rsid w:val="00DE195F"/>
    <w:rsid w:val="00DE3C6B"/>
    <w:rsid w:val="00DE4A3A"/>
    <w:rsid w:val="00DE5589"/>
    <w:rsid w:val="00DE6978"/>
    <w:rsid w:val="00DF4345"/>
    <w:rsid w:val="00DF522C"/>
    <w:rsid w:val="00DF5F6B"/>
    <w:rsid w:val="00DF6474"/>
    <w:rsid w:val="00E11BBD"/>
    <w:rsid w:val="00E13552"/>
    <w:rsid w:val="00E221A5"/>
    <w:rsid w:val="00E262E3"/>
    <w:rsid w:val="00E35803"/>
    <w:rsid w:val="00E43D91"/>
    <w:rsid w:val="00E44DE4"/>
    <w:rsid w:val="00E45C7F"/>
    <w:rsid w:val="00E469E7"/>
    <w:rsid w:val="00E633DB"/>
    <w:rsid w:val="00EC1DB0"/>
    <w:rsid w:val="00EC7A05"/>
    <w:rsid w:val="00ED44C8"/>
    <w:rsid w:val="00EF0A48"/>
    <w:rsid w:val="00EF6CCB"/>
    <w:rsid w:val="00F04B20"/>
    <w:rsid w:val="00F13EEB"/>
    <w:rsid w:val="00F30708"/>
    <w:rsid w:val="00F338DC"/>
    <w:rsid w:val="00F43D2B"/>
    <w:rsid w:val="00F55332"/>
    <w:rsid w:val="00F60A4E"/>
    <w:rsid w:val="00F61790"/>
    <w:rsid w:val="00F62B1C"/>
    <w:rsid w:val="00F6789B"/>
    <w:rsid w:val="00F726AF"/>
    <w:rsid w:val="00F77B17"/>
    <w:rsid w:val="00F82F91"/>
    <w:rsid w:val="00F947AD"/>
    <w:rsid w:val="00FA7AA5"/>
    <w:rsid w:val="00FB2E43"/>
    <w:rsid w:val="00FC0CCE"/>
    <w:rsid w:val="00FD19DC"/>
    <w:rsid w:val="00FD35A1"/>
    <w:rsid w:val="00FD5708"/>
    <w:rsid w:val="00FD6CBA"/>
    <w:rsid w:val="00FE6F1E"/>
    <w:rsid w:val="00FF0304"/>
    <w:rsid w:val="023DF0EB"/>
    <w:rsid w:val="0577EF8D"/>
    <w:rsid w:val="0746CAC3"/>
    <w:rsid w:val="08A2CDE3"/>
    <w:rsid w:val="13D25CFE"/>
    <w:rsid w:val="1798B0FB"/>
    <w:rsid w:val="19448D43"/>
    <w:rsid w:val="409C2CBA"/>
    <w:rsid w:val="44625259"/>
    <w:rsid w:val="4AA87472"/>
    <w:rsid w:val="4CC7F247"/>
    <w:rsid w:val="4E10EAE1"/>
    <w:rsid w:val="4FD213D9"/>
    <w:rsid w:val="53FF7664"/>
    <w:rsid w:val="542177D5"/>
    <w:rsid w:val="65221AF1"/>
    <w:rsid w:val="6563A165"/>
    <w:rsid w:val="716300E8"/>
    <w:rsid w:val="71949D7D"/>
    <w:rsid w:val="78B03701"/>
    <w:rsid w:val="7A5854A3"/>
    <w:rsid w:val="7CC89BE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DE5539"/>
  <w15:docId w15:val="{B3ADDAAA-7FF3-F140-B512-B14E3DAFC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spacing w:before="1"/>
      <w:ind w:left="1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E262E3"/>
    <w:pPr>
      <w:spacing w:before="116" w:line="570" w:lineRule="atLeast"/>
      <w:ind w:left="120" w:right="117" w:firstLine="561"/>
      <w:jc w:val="both"/>
    </w:pPr>
    <w:rPr>
      <w:sz w:val="24"/>
      <w:szCs w:val="24"/>
      <w:lang w:val="en-GB"/>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262E3"/>
    <w:pPr>
      <w:tabs>
        <w:tab w:val="center" w:pos="4513"/>
        <w:tab w:val="right" w:pos="9026"/>
      </w:tabs>
    </w:pPr>
  </w:style>
  <w:style w:type="character" w:customStyle="1" w:styleId="HeaderChar">
    <w:name w:val="Header Char"/>
    <w:basedOn w:val="DefaultParagraphFont"/>
    <w:link w:val="Header"/>
    <w:uiPriority w:val="99"/>
    <w:rsid w:val="00E262E3"/>
    <w:rPr>
      <w:rFonts w:ascii="Times New Roman" w:eastAsia="Times New Roman" w:hAnsi="Times New Roman" w:cs="Times New Roman"/>
      <w:lang w:bidi="en-US"/>
    </w:rPr>
  </w:style>
  <w:style w:type="paragraph" w:styleId="Footer">
    <w:name w:val="footer"/>
    <w:basedOn w:val="Normal"/>
    <w:link w:val="FooterChar"/>
    <w:uiPriority w:val="99"/>
    <w:unhideWhenUsed/>
    <w:rsid w:val="00E262E3"/>
    <w:pPr>
      <w:tabs>
        <w:tab w:val="center" w:pos="4513"/>
        <w:tab w:val="right" w:pos="9026"/>
      </w:tabs>
    </w:pPr>
  </w:style>
  <w:style w:type="character" w:customStyle="1" w:styleId="FooterChar">
    <w:name w:val="Footer Char"/>
    <w:basedOn w:val="DefaultParagraphFont"/>
    <w:link w:val="Footer"/>
    <w:uiPriority w:val="99"/>
    <w:rsid w:val="00E262E3"/>
    <w:rPr>
      <w:rFonts w:ascii="Times New Roman" w:eastAsia="Times New Roman" w:hAnsi="Times New Roman" w:cs="Times New Roman"/>
      <w:lang w:bidi="en-US"/>
    </w:rPr>
  </w:style>
  <w:style w:type="character" w:styleId="Hyperlink">
    <w:name w:val="Hyperlink"/>
    <w:basedOn w:val="DefaultParagraphFont"/>
    <w:uiPriority w:val="99"/>
    <w:unhideWhenUsed/>
    <w:rsid w:val="007C4300"/>
    <w:rPr>
      <w:color w:val="0000FF" w:themeColor="hyperlink"/>
      <w:u w:val="single"/>
    </w:rPr>
  </w:style>
  <w:style w:type="character" w:styleId="UnresolvedMention">
    <w:name w:val="Unresolved Mention"/>
    <w:basedOn w:val="DefaultParagraphFont"/>
    <w:uiPriority w:val="99"/>
    <w:semiHidden/>
    <w:unhideWhenUsed/>
    <w:rsid w:val="007C4300"/>
    <w:rPr>
      <w:color w:val="605E5C"/>
      <w:shd w:val="clear" w:color="auto" w:fill="E1DFDD"/>
    </w:rPr>
  </w:style>
  <w:style w:type="character" w:styleId="PlaceholderText">
    <w:name w:val="Placeholder Text"/>
    <w:basedOn w:val="DefaultParagraphFont"/>
    <w:uiPriority w:val="99"/>
    <w:semiHidden/>
    <w:rsid w:val="005357E5"/>
    <w:rPr>
      <w:color w:val="808080"/>
    </w:rPr>
  </w:style>
  <w:style w:type="character" w:styleId="FollowedHyperlink">
    <w:name w:val="FollowedHyperlink"/>
    <w:basedOn w:val="DefaultParagraphFont"/>
    <w:uiPriority w:val="99"/>
    <w:semiHidden/>
    <w:unhideWhenUsed/>
    <w:rsid w:val="002A5044"/>
    <w:rPr>
      <w:color w:val="800080" w:themeColor="followedHyperlink"/>
      <w:u w:val="single"/>
    </w:rPr>
  </w:style>
  <w:style w:type="paragraph" w:styleId="Bibliography">
    <w:name w:val="Bibliography"/>
    <w:basedOn w:val="Normal"/>
    <w:next w:val="Normal"/>
    <w:uiPriority w:val="37"/>
    <w:unhideWhenUsed/>
    <w:rsid w:val="00101163"/>
    <w:pPr>
      <w:tabs>
        <w:tab w:val="left" w:pos="384"/>
      </w:tabs>
      <w:spacing w:line="480" w:lineRule="auto"/>
      <w:ind w:left="384" w:hanging="384"/>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lang w:bidi="en-US"/>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6A6DD4"/>
    <w:rPr>
      <w:b/>
      <w:bCs/>
    </w:rPr>
  </w:style>
  <w:style w:type="character" w:customStyle="1" w:styleId="CommentSubjectChar">
    <w:name w:val="Comment Subject Char"/>
    <w:basedOn w:val="CommentTextChar"/>
    <w:link w:val="CommentSubject"/>
    <w:uiPriority w:val="99"/>
    <w:semiHidden/>
    <w:rsid w:val="006A6DD4"/>
    <w:rPr>
      <w:rFonts w:ascii="Times New Roman" w:eastAsia="Times New Roman" w:hAnsi="Times New Roman" w:cs="Times New Roman"/>
      <w:b/>
      <w:bCs/>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61262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89ce9266-4222-44ff-ab23-f14579402af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4035FEC39A3C341897504F824898C26" ma:contentTypeVersion="8" ma:contentTypeDescription="Create a new document." ma:contentTypeScope="" ma:versionID="adcb538369580eaccf2ea8dffc0ecf5e">
  <xsd:schema xmlns:xsd="http://www.w3.org/2001/XMLSchema" xmlns:xs="http://www.w3.org/2001/XMLSchema" xmlns:p="http://schemas.microsoft.com/office/2006/metadata/properties" xmlns:ns3="89ce9266-4222-44ff-ab23-f14579402af6" xmlns:ns4="2e0fe59d-5ad4-4d90-8462-987e093b1ebb" targetNamespace="http://schemas.microsoft.com/office/2006/metadata/properties" ma:root="true" ma:fieldsID="1ae450e48be853b065c40927df1c5f30" ns3:_="" ns4:_="">
    <xsd:import namespace="89ce9266-4222-44ff-ab23-f14579402af6"/>
    <xsd:import namespace="2e0fe59d-5ad4-4d90-8462-987e093b1eb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ce9266-4222-44ff-ab23-f14579402a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0fe59d-5ad4-4d90-8462-987e093b1eb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91F443F-A4C1-4920-B141-9EA25CE896BB}">
  <ds:schemaRefs>
    <ds:schemaRef ds:uri="http://schemas.microsoft.com/office/2006/metadata/properties"/>
    <ds:schemaRef ds:uri="http://schemas.microsoft.com/office/infopath/2007/PartnerControls"/>
    <ds:schemaRef ds:uri="89ce9266-4222-44ff-ab23-f14579402af6"/>
  </ds:schemaRefs>
</ds:datastoreItem>
</file>

<file path=customXml/itemProps2.xml><?xml version="1.0" encoding="utf-8"?>
<ds:datastoreItem xmlns:ds="http://schemas.openxmlformats.org/officeDocument/2006/customXml" ds:itemID="{88A47E55-F40A-44BF-90DF-F4D8693B5473}">
  <ds:schemaRefs>
    <ds:schemaRef ds:uri="http://schemas.microsoft.com/sharepoint/v3/contenttype/forms"/>
  </ds:schemaRefs>
</ds:datastoreItem>
</file>

<file path=customXml/itemProps3.xml><?xml version="1.0" encoding="utf-8"?>
<ds:datastoreItem xmlns:ds="http://schemas.openxmlformats.org/officeDocument/2006/customXml" ds:itemID="{D12E21B6-C00C-4647-987F-D4FD5CF1A96F}">
  <ds:schemaRefs>
    <ds:schemaRef ds:uri="http://schemas.openxmlformats.org/officeDocument/2006/bibliography"/>
  </ds:schemaRefs>
</ds:datastoreItem>
</file>

<file path=customXml/itemProps4.xml><?xml version="1.0" encoding="utf-8"?>
<ds:datastoreItem xmlns:ds="http://schemas.openxmlformats.org/officeDocument/2006/customXml" ds:itemID="{ABAA0EBD-F287-4C9B-A59F-BDE4290557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ce9266-4222-44ff-ab23-f14579402af6"/>
    <ds:schemaRef ds:uri="2e0fe59d-5ad4-4d90-8462-987e093b1e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3062</Words>
  <Characters>17456</Characters>
  <Application>Microsoft Office Word</Application>
  <DocSecurity>0</DocSecurity>
  <Lines>145</Lines>
  <Paragraphs>40</Paragraphs>
  <ScaleCrop>false</ScaleCrop>
  <Company/>
  <LinksUpToDate>false</LinksUpToDate>
  <CharactersWithSpaces>20478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Charles Burns</dc:creator>
  <cp:lastModifiedBy>Charles Burns</cp:lastModifiedBy>
  <cp:revision>6</cp:revision>
  <dcterms:created xsi:type="dcterms:W3CDTF">2024-03-08T14:28:00Z</dcterms:created>
  <dcterms:modified xsi:type="dcterms:W3CDTF">2024-03-08T16:05:00Z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Creator">
    <vt:lpwstr>TeX</vt:lpwstr>
  </property>
  <property fmtid="{D5CDD505-2E9C-101B-9397-08002B2CF9AE}" pid="4" name="LastSaved">
    <vt:filetime>2023-12-14T00:00:00Z</vt:filetime>
  </property>
  <property fmtid="{D5CDD505-2E9C-101B-9397-08002B2CF9AE}" pid="5" name="ZOTERO_PREF_1">
    <vt:lpwstr>&lt;data data-version="3" zotero-version="6.0.30"&gt;&lt;session id="93eUScvo"/&gt;&lt;style id="http://www.zotero.org/styles/nature" hasBibliography="1" bibliographyStyleHasBeenSet="1"/&gt;&lt;prefs&gt;&lt;pref name="fieldType" value="Field"/&gt;&lt;pref name="automaticJournalAbbreviati</vt:lpwstr>
  </property>
  <property fmtid="{D5CDD505-2E9C-101B-9397-08002B2CF9AE}" pid="6" name="ZOTERO_PREF_2">
    <vt:lpwstr>ons" value="true"/&gt;&lt;/prefs&gt;&lt;/data&gt;</vt:lpwstr>
  </property>
  <property fmtid="{D5CDD505-2E9C-101B-9397-08002B2CF9AE}" pid="7" name="ContentTypeId">
    <vt:lpwstr>0x01010054035FEC39A3C341897504F824898C26</vt:lpwstr>
  </property>
</Properties>
</file>