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20AAA" w14:textId="77777777" w:rsidR="005F7233" w:rsidRDefault="0026377B">
      <w:pPr>
        <w:spacing w:line="240" w:lineRule="auto"/>
        <w:ind w:left="-2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 figures</w:t>
      </w:r>
    </w:p>
    <w:p w14:paraId="6C020AAC" w14:textId="3F75762F" w:rsidR="005F7233" w:rsidRDefault="0026377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eFigure 1. Cumulative incidence of any cardiometabolic condition in individuals with and without </w:t>
      </w:r>
      <w:r>
        <w:rPr>
          <w:rFonts w:ascii="Arial" w:hAnsi="Arial" w:cs="Arial"/>
          <w:sz w:val="20"/>
          <w:szCs w:val="20"/>
        </w:rPr>
        <w:t xml:space="preserve">ASD </w:t>
      </w:r>
      <w:r>
        <w:rPr>
          <w:rFonts w:ascii="Arial" w:hAnsi="Arial" w:cs="Arial"/>
          <w:sz w:val="20"/>
          <w:szCs w:val="20"/>
          <w:lang w:val="en-US"/>
        </w:rPr>
        <w:t xml:space="preserve">accounting for death as a competing risk </w:t>
      </w:r>
    </w:p>
    <w:p w14:paraId="6C020AAD" w14:textId="790F8E65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eFigure 2. Baseline age-specific hazard ratios (HRs) with 95% confidence intervals (CIs) of developing cardiometabolic conditions among individuals with </w:t>
      </w:r>
      <w:r>
        <w:rPr>
          <w:rFonts w:ascii="Arial" w:hAnsi="Arial" w:cs="Arial"/>
          <w:sz w:val="20"/>
          <w:szCs w:val="20"/>
        </w:rPr>
        <w:t>ASD</w:t>
      </w:r>
      <w:r>
        <w:rPr>
          <w:rFonts w:ascii="Arial" w:hAnsi="Arial" w:cs="Arial"/>
          <w:sz w:val="20"/>
          <w:szCs w:val="20"/>
          <w:lang w:val="en-US"/>
        </w:rPr>
        <w:t xml:space="preserve">, compared to those without </w:t>
      </w:r>
      <w:r>
        <w:rPr>
          <w:rFonts w:ascii="Arial" w:hAnsi="Arial" w:cs="Arial"/>
          <w:sz w:val="20"/>
          <w:szCs w:val="20"/>
        </w:rPr>
        <w:t>ASD</w:t>
      </w:r>
    </w:p>
    <w:p w14:paraId="6C020AAE" w14:textId="1ACDEE65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eFigure 3. Sex-specific hazard ratios (HRs) with 95% confidence intervals (CIs) of developing cardiometabolic conditions among individuals with </w:t>
      </w:r>
      <w:r>
        <w:rPr>
          <w:rFonts w:ascii="Arial" w:hAnsi="Arial" w:cs="Arial"/>
          <w:sz w:val="20"/>
          <w:szCs w:val="20"/>
        </w:rPr>
        <w:t>ASD</w:t>
      </w:r>
      <w:r>
        <w:rPr>
          <w:rFonts w:ascii="Arial" w:hAnsi="Arial" w:cs="Arial"/>
          <w:sz w:val="20"/>
          <w:szCs w:val="20"/>
          <w:lang w:val="en-US"/>
        </w:rPr>
        <w:t xml:space="preserve">, compared to those without </w:t>
      </w:r>
      <w:r>
        <w:rPr>
          <w:rFonts w:ascii="Arial" w:hAnsi="Arial" w:cs="Arial"/>
          <w:sz w:val="20"/>
          <w:szCs w:val="20"/>
        </w:rPr>
        <w:t>ASD</w:t>
      </w:r>
    </w:p>
    <w:p w14:paraId="3F74F976" w14:textId="3D8D7175" w:rsidR="0026377B" w:rsidRDefault="0026377B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eFigure 4. </w:t>
      </w:r>
      <w:r>
        <w:rPr>
          <w:rFonts w:ascii="Arial" w:eastAsia="Arial" w:hAnsi="Arial" w:cs="Arial"/>
          <w:sz w:val="20"/>
          <w:szCs w:val="20"/>
          <w:lang w:val="en-US"/>
        </w:rPr>
        <w:t>Study design and accessible data used in the study</w:t>
      </w:r>
    </w:p>
    <w:p w14:paraId="40BD3657" w14:textId="77777777" w:rsidR="007E2CE7" w:rsidRDefault="007E2CE7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</w:p>
    <w:p w14:paraId="6B7816CD" w14:textId="7C55BD57" w:rsidR="007E2CE7" w:rsidRPr="007E2CE7" w:rsidRDefault="007E2CE7" w:rsidP="007E2CE7">
      <w:pPr>
        <w:spacing w:line="240" w:lineRule="auto"/>
        <w:ind w:left="-2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 tables</w:t>
      </w:r>
    </w:p>
    <w:p w14:paraId="3B788971" w14:textId="1FBC2E40" w:rsidR="007E2CE7" w:rsidRDefault="007E2CE7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 xml:space="preserve">eTable 1. </w:t>
      </w:r>
      <w:r w:rsidRPr="007E2CE7">
        <w:rPr>
          <w:rFonts w:ascii="Arial" w:eastAsia="Arial" w:hAnsi="Arial" w:cs="Arial"/>
          <w:sz w:val="20"/>
          <w:szCs w:val="20"/>
          <w:lang w:val="en-US"/>
        </w:rPr>
        <w:t>Cumulative incidence of cardiometabolic conditions and death till the end of follow-up in ASD and non-ASD groups, accounting for death as a competing risk</w:t>
      </w:r>
    </w:p>
    <w:p w14:paraId="1CB89A8D" w14:textId="54336D63" w:rsidR="007E2CE7" w:rsidRDefault="007E2CE7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>eTable 2.</w:t>
      </w:r>
      <w:r w:rsidR="00BB561D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BB561D" w:rsidRPr="00BB561D">
        <w:rPr>
          <w:rFonts w:ascii="Arial" w:eastAsia="Arial" w:hAnsi="Arial" w:cs="Arial"/>
          <w:sz w:val="20"/>
          <w:szCs w:val="20"/>
          <w:lang w:val="en-US"/>
        </w:rPr>
        <w:t>Hazard ratios (HR) with 95% confidence intervals (CI)  of developing cardiometabolic conditions in people with ASD, compared to those without ASD in Model 3</w:t>
      </w:r>
    </w:p>
    <w:p w14:paraId="69DB0629" w14:textId="6CCF47F7" w:rsidR="007E2CE7" w:rsidRDefault="007E2CE7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>eTable 3.</w:t>
      </w:r>
      <w:r w:rsidR="00BB561D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BB561D" w:rsidRPr="00BB561D">
        <w:rPr>
          <w:rFonts w:ascii="Arial" w:eastAsia="Arial" w:hAnsi="Arial" w:cs="Arial"/>
          <w:sz w:val="20"/>
          <w:szCs w:val="20"/>
          <w:lang w:val="en-US"/>
        </w:rPr>
        <w:t>Hazard ratios (HR) with 95% confidence intervals (CI) of developing cardiometabolic conditions in people with ASD, compared to those without ASD using ASD as a time-independent predictor</w:t>
      </w:r>
    </w:p>
    <w:p w14:paraId="689E16A9" w14:textId="77777777" w:rsidR="007E2CE7" w:rsidRDefault="007E2CE7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</w:p>
    <w:p w14:paraId="6C020AAF" w14:textId="77777777" w:rsidR="005F7233" w:rsidRDefault="0026377B">
      <w:pPr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br w:type="page"/>
      </w:r>
    </w:p>
    <w:p w14:paraId="6C020AB3" w14:textId="2EC996D1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eFigure 1. Cumulative incidence of any cardiometabolic condition in individuals with and without </w:t>
      </w:r>
      <w:r>
        <w:rPr>
          <w:rFonts w:ascii="Arial" w:hAnsi="Arial" w:cs="Arial"/>
          <w:sz w:val="20"/>
          <w:szCs w:val="20"/>
        </w:rPr>
        <w:t xml:space="preserve">ASD </w:t>
      </w:r>
      <w:r>
        <w:rPr>
          <w:rFonts w:ascii="Arial" w:hAnsi="Arial" w:cs="Arial"/>
          <w:sz w:val="20"/>
          <w:szCs w:val="20"/>
          <w:lang w:val="en-US"/>
        </w:rPr>
        <w:t xml:space="preserve">accounting for death as a competing risk </w:t>
      </w:r>
      <w:r w:rsidR="005D2479">
        <w:rPr>
          <w:noProof/>
        </w:rPr>
        <w:drawing>
          <wp:inline distT="0" distB="0" distL="0" distR="0" wp14:anchorId="099EFE3E" wp14:editId="1176F775">
            <wp:extent cx="5760720" cy="4869815"/>
            <wp:effectExtent l="0" t="0" r="0" b="6985"/>
            <wp:docPr id="2132352309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52309" name="Picture 4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0AB4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Abbreviations: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ASD, autism spectrum disorder.</w:t>
      </w: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2D0FE8CA" w14:textId="28D61188" w:rsidR="009614D5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eFigure 2. Baseline age-specific hazard ratios (HRs) with 95% confidence intervals (CIs) of developing cardiometabolic conditions among individuals with </w:t>
      </w:r>
      <w:r>
        <w:rPr>
          <w:rFonts w:ascii="Arial" w:hAnsi="Arial" w:cs="Arial"/>
          <w:sz w:val="20"/>
          <w:szCs w:val="20"/>
        </w:rPr>
        <w:t>ASD</w:t>
      </w:r>
      <w:r>
        <w:rPr>
          <w:rFonts w:ascii="Arial" w:hAnsi="Arial" w:cs="Arial"/>
          <w:sz w:val="20"/>
          <w:szCs w:val="20"/>
          <w:lang w:val="en-US"/>
        </w:rPr>
        <w:t xml:space="preserve">, compared to those without </w:t>
      </w:r>
      <w:r>
        <w:rPr>
          <w:rFonts w:ascii="Arial" w:hAnsi="Arial" w:cs="Arial"/>
          <w:sz w:val="20"/>
          <w:szCs w:val="20"/>
        </w:rPr>
        <w:t>ASD</w:t>
      </w:r>
      <w:r w:rsidR="009614D5">
        <w:rPr>
          <w:noProof/>
        </w:rPr>
        <w:drawing>
          <wp:inline distT="0" distB="0" distL="0" distR="0" wp14:anchorId="612C6CDF" wp14:editId="61740F48">
            <wp:extent cx="5760720" cy="5334635"/>
            <wp:effectExtent l="0" t="0" r="0" b="0"/>
            <wp:docPr id="159011206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12068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0AB7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Abbreviations: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HR, hazard ratio; CI, confidence interval</w:t>
      </w:r>
      <w:r>
        <w:rPr>
          <w:rFonts w:ascii="Arial" w:hAnsi="Arial" w:cs="Arial"/>
          <w:sz w:val="20"/>
          <w:szCs w:val="20"/>
        </w:rPr>
        <w:t>; ASD, autism spectrum disorder.</w:t>
      </w:r>
    </w:p>
    <w:p w14:paraId="6C020AB8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Model 1 was adjusted for birth year and sex.</w:t>
      </w:r>
    </w:p>
    <w:p w14:paraId="6C020AB9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Model 2 was further adjusted for socioeconomic classification and income. </w:t>
      </w:r>
    </w:p>
    <w:p w14:paraId="6C020ABA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6C020ABB" w14:textId="67163F8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eFigure 3. Sex-specific hazard ratios (HRs) with 95% confidence intervals (CIs) of developing cardiometabolic conditions among individuals with </w:t>
      </w:r>
      <w:r>
        <w:rPr>
          <w:rFonts w:ascii="Arial" w:hAnsi="Arial" w:cs="Arial"/>
          <w:sz w:val="20"/>
          <w:szCs w:val="20"/>
        </w:rPr>
        <w:t>ASD</w:t>
      </w:r>
      <w:r>
        <w:rPr>
          <w:rFonts w:ascii="Arial" w:hAnsi="Arial" w:cs="Arial"/>
          <w:sz w:val="20"/>
          <w:szCs w:val="20"/>
          <w:lang w:val="en-US"/>
        </w:rPr>
        <w:t xml:space="preserve">, compared to those without </w:t>
      </w:r>
      <w:r>
        <w:rPr>
          <w:rFonts w:ascii="Arial" w:hAnsi="Arial" w:cs="Arial"/>
          <w:sz w:val="20"/>
          <w:szCs w:val="20"/>
        </w:rPr>
        <w:t>ASD</w:t>
      </w:r>
    </w:p>
    <w:p w14:paraId="6C020ABC" w14:textId="2B81040B" w:rsidR="005F7233" w:rsidRDefault="0069120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9C77E7B" wp14:editId="3B2C86E6">
            <wp:extent cx="5760720" cy="4424045"/>
            <wp:effectExtent l="0" t="0" r="0" b="0"/>
            <wp:docPr id="766218000" name="Picture 2" descr="A black and white char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18000" name="Picture 2" descr="A black and white chart with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0ABD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Abbreviations: HR, hazard ratio; CI, confidence interval</w:t>
      </w:r>
      <w:r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  <w:lang w:val="en-US"/>
        </w:rPr>
        <w:t>ASD, autism spectrum disorder</w:t>
      </w:r>
      <w:r>
        <w:rPr>
          <w:rFonts w:ascii="Arial" w:hAnsi="Arial" w:cs="Arial"/>
          <w:sz w:val="20"/>
          <w:szCs w:val="20"/>
        </w:rPr>
        <w:t>.</w:t>
      </w:r>
    </w:p>
    <w:p w14:paraId="6C020ABE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Model 1 was adjusted for birth year and sex.</w:t>
      </w:r>
    </w:p>
    <w:p w14:paraId="6C020ABF" w14:textId="77777777" w:rsidR="005F7233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Model 2 was further adjusted for socioeconomic classification and income.</w:t>
      </w:r>
    </w:p>
    <w:p w14:paraId="17FBE277" w14:textId="77777777" w:rsidR="0026377B" w:rsidRDefault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14:paraId="49A96055" w14:textId="56B63A26" w:rsidR="0026377B" w:rsidRDefault="0026377B" w:rsidP="0026377B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eFigure 4. </w:t>
      </w:r>
      <w:r>
        <w:rPr>
          <w:rFonts w:ascii="Arial" w:eastAsia="Arial" w:hAnsi="Arial" w:cs="Arial"/>
          <w:sz w:val="20"/>
          <w:szCs w:val="20"/>
          <w:lang w:val="en-US"/>
        </w:rPr>
        <w:t>Study design and accessible data used in the study</w:t>
      </w:r>
    </w:p>
    <w:p w14:paraId="01E16CD5" w14:textId="4BFB5660" w:rsidR="00BB561D" w:rsidRDefault="0026377B" w:rsidP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018D396" wp14:editId="137A01C8">
            <wp:extent cx="5760720" cy="2240915"/>
            <wp:effectExtent l="0" t="0" r="0" b="6985"/>
            <wp:docPr id="3" name="Picture 3" descr="A black and white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white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74E0" w14:textId="77777777" w:rsidR="00BB561D" w:rsidRDefault="00BB561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19AB70FB" w14:textId="77777777" w:rsidR="00BF584D" w:rsidRDefault="00BF584D" w:rsidP="00BF584D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lastRenderedPageBreak/>
        <w:t xml:space="preserve">eTable 1. </w:t>
      </w:r>
      <w:r w:rsidRPr="007E2CE7">
        <w:rPr>
          <w:rFonts w:ascii="Arial" w:eastAsia="Arial" w:hAnsi="Arial" w:cs="Arial"/>
          <w:sz w:val="20"/>
          <w:szCs w:val="20"/>
          <w:lang w:val="en-US"/>
        </w:rPr>
        <w:t>Cumulative incidence of cardiometabolic conditions and death till the end of follow-up in ASD and non-ASD groups, accounting for death as a competing risk</w:t>
      </w:r>
    </w:p>
    <w:p w14:paraId="7EF56668" w14:textId="77777777" w:rsidR="00BF584D" w:rsidRDefault="00BF584D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8260" w:type="dxa"/>
        <w:tblLook w:val="04A0" w:firstRow="1" w:lastRow="0" w:firstColumn="1" w:lastColumn="0" w:noHBand="0" w:noVBand="1"/>
      </w:tblPr>
      <w:tblGrid>
        <w:gridCol w:w="1500"/>
        <w:gridCol w:w="1890"/>
        <w:gridCol w:w="1890"/>
        <w:gridCol w:w="1490"/>
        <w:gridCol w:w="1490"/>
      </w:tblGrid>
      <w:tr w:rsidR="00BF584D" w:rsidRPr="00BF584D" w14:paraId="418D12BE" w14:textId="77777777" w:rsidTr="00BF584D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B7810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 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B36AA" w14:textId="77777777" w:rsidR="004321D8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Cardiometabolic conditions, </w:t>
            </w:r>
          </w:p>
          <w:p w14:paraId="5BB9D1A8" w14:textId="0808CDC8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incidence (95% CI)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998FD" w14:textId="77777777" w:rsidR="004321D8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Death, </w:t>
            </w:r>
          </w:p>
          <w:p w14:paraId="02ACFDB1" w14:textId="12FCFCC4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incidence (95% CI)</w:t>
            </w:r>
          </w:p>
        </w:tc>
      </w:tr>
      <w:tr w:rsidR="00BF584D" w:rsidRPr="00BF584D" w14:paraId="73C9C2E7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4D9A4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E5886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Non-ASD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6CE65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ASD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8B7A3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Non-ASD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98B81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ASD</w:t>
            </w:r>
          </w:p>
        </w:tc>
      </w:tr>
      <w:tr w:rsidR="00BF584D" w:rsidRPr="00BF584D" w14:paraId="1CBC820E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1F77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Overall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E256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13.2 (13.2-13.3)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C95E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10.3 (10.1-10.5)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09F7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0.7 (0.7-0.7)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3B5E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0.7 (0.6-0.7)</w:t>
            </w:r>
          </w:p>
        </w:tc>
      </w:tr>
      <w:tr w:rsidR="00BF584D" w:rsidRPr="00BF584D" w14:paraId="472C6A25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2523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Sex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5F38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C754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AF25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D8CF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BF584D" w:rsidRPr="00BF584D" w14:paraId="6ECFFF4F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EB7B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Male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7F95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12.0 (12.0-12.0)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7648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9.0 (8.8-9.2)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8B71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0.8 (0.8-0.8)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1504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0.7 (0.7-0.8)</w:t>
            </w:r>
          </w:p>
        </w:tc>
      </w:tr>
      <w:tr w:rsidR="00BF584D" w:rsidRPr="00BF584D" w14:paraId="28B54AD8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7721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Female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10986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14.5 (14.5-14.6)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4008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14.0 (13.6-14.4)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518B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0.6 (0.6-0.6)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04C7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0.5 (0.4-0.6)</w:t>
            </w:r>
          </w:p>
        </w:tc>
      </w:tr>
      <w:tr w:rsidR="00BF584D" w:rsidRPr="00BF584D" w14:paraId="44117CAC" w14:textId="77777777" w:rsidTr="00BF584D">
        <w:trPr>
          <w:trHeight w:val="300"/>
        </w:trPr>
        <w:tc>
          <w:tcPr>
            <w:tcW w:w="3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0062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Age at baseline (years)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871E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69BA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10FC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BF584D" w:rsidRPr="00BF584D" w14:paraId="4AAB96A0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A640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12-17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E84E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6.0 (5.9-6.0)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9FF9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6.8 (6.6-7.1)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F0AB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 (0.1-0.1)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A876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0.2 (0.2-0.3)</w:t>
            </w:r>
          </w:p>
        </w:tc>
      </w:tr>
      <w:tr w:rsidR="00BF584D" w:rsidRPr="00BF584D" w14:paraId="41978620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5736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18-30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795A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7.0 (7.0-7.0)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3728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9.0 (8.8-9.3)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BB9F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0.2 (0.2-0.2)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7E2F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0.6 (0.5-0.7)</w:t>
            </w:r>
          </w:p>
        </w:tc>
      </w:tr>
      <w:tr w:rsidR="00BF584D" w:rsidRPr="00BF584D" w14:paraId="07DEEDAB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442D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31-40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6848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9.3 (9.3-9.4)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8EC4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12.3 (11.7-12.9)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AB4D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0.3 (0.3-0.3)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885C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0.8 (0.6-1.0)</w:t>
            </w:r>
          </w:p>
        </w:tc>
      </w:tr>
      <w:tr w:rsidR="00BF584D" w:rsidRPr="00BF584D" w14:paraId="7E8C14C6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6E19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41-50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78AB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15.8 (15.7-15.9)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0BD2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18.6 (17.8-19.3)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26A4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0.7 (0.7-0.7)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59FC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1.5 (1.2-1.7)</w:t>
            </w:r>
          </w:p>
        </w:tc>
      </w:tr>
      <w:tr w:rsidR="00BF584D" w:rsidRPr="00BF584D" w14:paraId="4624FA7A" w14:textId="77777777" w:rsidTr="00BF584D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5F646" w14:textId="77777777" w:rsidR="00BF584D" w:rsidRPr="00BF584D" w:rsidRDefault="00BF584D" w:rsidP="00BF58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 51-65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CF7F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25.9 (25.9-26.0)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5FC79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25.7 (24.6-26.8)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396C8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2.0 (2.0-2.1)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BEA" w14:textId="77777777" w:rsidR="00BF584D" w:rsidRPr="00BF584D" w:rsidRDefault="00BF584D" w:rsidP="00BF58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F584D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2.6 (2.2-3.0)</w:t>
            </w:r>
          </w:p>
        </w:tc>
      </w:tr>
    </w:tbl>
    <w:p w14:paraId="573CA10D" w14:textId="77777777" w:rsidR="0026377B" w:rsidRDefault="0026377B" w:rsidP="0026377B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14:paraId="73326425" w14:textId="3713BE7A" w:rsidR="00E12FBB" w:rsidRDefault="00E12FBB" w:rsidP="00E12FBB">
      <w:pPr>
        <w:spacing w:line="240" w:lineRule="auto"/>
        <w:ind w:right="-20"/>
        <w:rPr>
          <w:rFonts w:ascii="Arial" w:eastAsia="Arial" w:hAnsi="Arial" w:cs="Arial"/>
          <w:sz w:val="20"/>
          <w:szCs w:val="20"/>
          <w:lang w:val="en-US"/>
        </w:rPr>
      </w:pPr>
      <w:r w:rsidRPr="00531967">
        <w:rPr>
          <w:rFonts w:ascii="Arial" w:eastAsia="Arial" w:hAnsi="Arial" w:cs="Arial"/>
          <w:sz w:val="20"/>
          <w:szCs w:val="20"/>
          <w:lang w:val="en-US"/>
        </w:rPr>
        <w:t>Abbreviations:</w:t>
      </w:r>
      <w:r w:rsidR="00517033" w:rsidRPr="00517033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517033" w:rsidRPr="00531967">
        <w:rPr>
          <w:rFonts w:ascii="Arial" w:eastAsia="Arial" w:hAnsi="Arial" w:cs="Arial"/>
          <w:sz w:val="20"/>
          <w:szCs w:val="20"/>
          <w:lang w:val="en-US"/>
        </w:rPr>
        <w:t>ASD, autism spectrum disorder</w:t>
      </w:r>
      <w:r w:rsidR="00517033">
        <w:rPr>
          <w:rFonts w:ascii="Arial" w:eastAsia="Arial" w:hAnsi="Arial" w:cs="Arial"/>
          <w:sz w:val="20"/>
          <w:szCs w:val="20"/>
          <w:lang w:val="en-US"/>
        </w:rPr>
        <w:t>;</w:t>
      </w:r>
      <w:r w:rsidRPr="00531967">
        <w:rPr>
          <w:rFonts w:ascii="Arial" w:eastAsia="Arial" w:hAnsi="Arial" w:cs="Arial"/>
          <w:sz w:val="20"/>
          <w:szCs w:val="20"/>
          <w:lang w:val="en-US"/>
        </w:rPr>
        <w:t xml:space="preserve"> CI, confidence interval.</w:t>
      </w:r>
    </w:p>
    <w:p w14:paraId="66737010" w14:textId="77777777" w:rsidR="00565AD8" w:rsidRDefault="00565AD8">
      <w:pPr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br w:type="page"/>
      </w:r>
    </w:p>
    <w:p w14:paraId="72A68E6D" w14:textId="77777777" w:rsidR="00565AD8" w:rsidRDefault="00565AD8" w:rsidP="00BF584D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  <w:sectPr w:rsidR="00565AD8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69958C" w14:textId="0B3687EF" w:rsidR="00BF584D" w:rsidRDefault="00BF584D" w:rsidP="00BF584D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lastRenderedPageBreak/>
        <w:t xml:space="preserve">eTable 2. </w:t>
      </w:r>
      <w:r w:rsidRPr="00BB561D">
        <w:rPr>
          <w:rFonts w:ascii="Arial" w:eastAsia="Arial" w:hAnsi="Arial" w:cs="Arial"/>
          <w:sz w:val="20"/>
          <w:szCs w:val="20"/>
          <w:lang w:val="en-US"/>
        </w:rPr>
        <w:t>Hazard ratios (HR) with 95% confidence intervals (CI) of developing cardiometabolic conditions in people with ASD, compared to those without ASD in Model 3</w:t>
      </w:r>
    </w:p>
    <w:tbl>
      <w:tblPr>
        <w:tblW w:w="14100" w:type="dxa"/>
        <w:tblLook w:val="04A0" w:firstRow="1" w:lastRow="0" w:firstColumn="1" w:lastColumn="0" w:noHBand="0" w:noVBand="1"/>
      </w:tblPr>
      <w:tblGrid>
        <w:gridCol w:w="2880"/>
        <w:gridCol w:w="1960"/>
        <w:gridCol w:w="1020"/>
        <w:gridCol w:w="1740"/>
        <w:gridCol w:w="940"/>
        <w:gridCol w:w="1860"/>
        <w:gridCol w:w="940"/>
        <w:gridCol w:w="1820"/>
        <w:gridCol w:w="940"/>
      </w:tblGrid>
      <w:tr w:rsidR="00A45E37" w:rsidRPr="00A45E37" w14:paraId="1F167DAF" w14:textId="77777777" w:rsidTr="005E6D28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67F19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6DCBD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F25D5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B6126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b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AE9E9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C7A4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c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B6ED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772B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d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7A235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A45E37" w:rsidRPr="00A45E37" w14:paraId="3E61E873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05F6B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Outcomes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9523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46A6B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33B3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2F36F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1D659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8D2D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CAED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D0F5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</w:tr>
      <w:tr w:rsidR="00A45E37" w:rsidRPr="00A45E37" w14:paraId="52449094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62F0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Any cardiometabolic condition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5EE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1.07 (1.04-1.09)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122B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BE15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1.07 (1.05-1.09)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09E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36A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(1.05-1.10)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D7A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92E8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(1.05-1.10)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B07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A45E37" w:rsidRPr="00A45E37" w14:paraId="37CA7F0C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5A14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Hypertension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82B6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1.05 (1.02-1.08)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6AF7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6051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1.05 (1.02-1.08)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F46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836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1.06 (1.03-1.08)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4B7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7C95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1.06 (1.03-1.08)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443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A45E37" w:rsidRPr="00A45E37" w14:paraId="07002E11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D39C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Diabetes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B0939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0.98 (0.92-1.04)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ABCB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0.610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6DA6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0.99 (0.93-1.05)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708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0.781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516B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0.99 (0.93-1.06)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4B37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528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1.01 (0.95-1.08)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AF56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0.625</w:t>
            </w:r>
          </w:p>
        </w:tc>
      </w:tr>
      <w:tr w:rsidR="00A45E37" w:rsidRPr="00A45E37" w14:paraId="157C89DE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0204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Dyslipidemia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2401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0.99 (0.94-1.04)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F7F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0.849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3152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1.01 (0.97-1.07)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DCEB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0.460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242D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1.00 (0.95-1.05)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8F1D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0.771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314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1.03 (0.98-1.08)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B0F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0.216</w:t>
            </w:r>
          </w:p>
        </w:tc>
      </w:tr>
      <w:tr w:rsidR="00A45E37" w:rsidRPr="00A45E37" w14:paraId="6C48EA27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C6B7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Stroke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35BE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1.05 (0.97-1.14)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9D02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0.197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072E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1.06 (0.98-1.15)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450E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0.132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FFA8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1.05 (0.97-1.14)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942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0.189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073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1.05 (0.97-1.14)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9BAC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0.186</w:t>
            </w:r>
          </w:p>
        </w:tc>
      </w:tr>
      <w:tr w:rsidR="00A45E37" w:rsidRPr="00A45E37" w14:paraId="77872540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BDBF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Angina pectoris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31A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0.87 (0.77-0.98)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021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0.030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73E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0.90 (0.79-1.01)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C08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0.094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E41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0.89 (0.79-1.01)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136D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0.068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1FB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0.91 (0.81-1.03)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0853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0.155</w:t>
            </w:r>
          </w:p>
        </w:tc>
      </w:tr>
      <w:tr w:rsidR="00A45E37" w:rsidRPr="00A45E37" w14:paraId="7041CAF8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04EF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Myocardial infarction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01E5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0.78 (0.67-0.91)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6317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4C56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0.79 (0.68-0.92)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570F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AFCB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0.79 (0.68-0.92)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D451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EB8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0.79 (0.68-0.92)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C4E1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0.004</w:t>
            </w:r>
          </w:p>
        </w:tc>
      </w:tr>
      <w:tr w:rsidR="00A45E37" w:rsidRPr="00A45E37" w14:paraId="2933A494" w14:textId="77777777" w:rsidTr="005E6D28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48721" w14:textId="77777777" w:rsidR="00A45E37" w:rsidRPr="00A45E37" w:rsidRDefault="00A45E37" w:rsidP="00A45E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Heart failure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0BA5A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1.02 (0.85-1.22)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A05D5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E8EE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1.02 (0.85-1.23)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C00B0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0.769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34D8F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1.01 (0.84-1.21)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336D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B0841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1.02 (0.85-1.22)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88A04" w14:textId="77777777" w:rsidR="00A45E37" w:rsidRPr="00A45E37" w:rsidRDefault="00A45E37" w:rsidP="00A45E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0.828</w:t>
            </w:r>
          </w:p>
        </w:tc>
      </w:tr>
    </w:tbl>
    <w:p w14:paraId="0312D91F" w14:textId="7D9B8318" w:rsidR="00273B86" w:rsidRDefault="00273B86" w:rsidP="00666D1E">
      <w:pPr>
        <w:spacing w:line="240" w:lineRule="auto"/>
        <w:ind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>(Continued)</w:t>
      </w:r>
    </w:p>
    <w:tbl>
      <w:tblPr>
        <w:tblW w:w="15210" w:type="dxa"/>
        <w:tblLook w:val="04A0" w:firstRow="1" w:lastRow="0" w:firstColumn="1" w:lastColumn="0" w:noHBand="0" w:noVBand="1"/>
      </w:tblPr>
      <w:tblGrid>
        <w:gridCol w:w="2790"/>
        <w:gridCol w:w="1800"/>
        <w:gridCol w:w="900"/>
        <w:gridCol w:w="1530"/>
        <w:gridCol w:w="900"/>
        <w:gridCol w:w="1530"/>
        <w:gridCol w:w="900"/>
        <w:gridCol w:w="1530"/>
        <w:gridCol w:w="900"/>
        <w:gridCol w:w="1530"/>
        <w:gridCol w:w="900"/>
      </w:tblGrid>
      <w:tr w:rsidR="004503DF" w:rsidRPr="00761D11" w14:paraId="32CAE212" w14:textId="77777777" w:rsidTr="00210E64">
        <w:trPr>
          <w:trHeight w:val="360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168C8B" w14:textId="1D0B112C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31CD7" w14:textId="34AF95E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6310E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4D4D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5B4B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19E7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g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8BC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81224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C9A4F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8C17C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3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bscript"/>
                <w:lang w:val="en-US"/>
                <w14:ligatures w14:val="none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3846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4503DF" w:rsidRPr="00761D11" w14:paraId="2326A0C7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13F1EF" w14:textId="4C9E978E" w:rsidR="00761D11" w:rsidRPr="00761D11" w:rsidRDefault="00761D11" w:rsidP="004503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Outcomes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F9C0A" w14:textId="6F44B656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1FAC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DB72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7078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11F7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627B8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E8268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D8AF9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95F5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AF06F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761D1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</w:tr>
      <w:tr w:rsidR="004503DF" w:rsidRPr="00761D11" w14:paraId="5F246B92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03563" w14:textId="6EA19D37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Any cardiometabolic</w:t>
            </w:r>
            <w:r w:rsidR="004503DF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condition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AC97" w14:textId="77F378DA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1.09 (1.06-1.11)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DC78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C99A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1.10 (1.07-1.12)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E2E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761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1.10 (1.08-1.12)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E10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5648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1.10 (1.07-1.12)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E8D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6598A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1.09 (1.07-1.12)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E52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4503DF" w:rsidRPr="00761D11" w14:paraId="04883ECF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C0CF7" w14:textId="6F5FE825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Hypertension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A38C" w14:textId="1359A6AE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1.07 (1.04-1.10)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EDBB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D76E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(1.06-1.11)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6F26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FCFE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(1.05-1.11)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5D3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B324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(1.05-1.11)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5EF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2EE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(1.05-1.11)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F8BE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4503DF" w:rsidRPr="00761D11" w14:paraId="2FF63E85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6A523" w14:textId="4D59CA0D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Diabetes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3DFF" w14:textId="7681BE18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1.01 (0.94-1.07)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65AF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0.765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C2C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0.97 (0.91-1.04)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AB0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0.448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EC82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1.00 (0.94-1.07)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FD48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ACF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1.00 (0.93-1.06)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4D17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2366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0.98 (0.92-1.04)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FB29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0.546</w:t>
            </w:r>
          </w:p>
        </w:tc>
      </w:tr>
      <w:tr w:rsidR="004503DF" w:rsidRPr="00761D11" w14:paraId="71AF73CC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13524" w14:textId="08A9433F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Dyslipidemia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3A14" w14:textId="69E9A56D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</w:t>
            </w:r>
            <w:r w:rsidR="006B6D69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3</w:t>
            </w: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 (0.97-1.07)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C8DE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0.323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9794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1.02 (0.97-1.07)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0C0A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0.296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BE77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1.04 (0.99-1.09)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A51B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00C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1.04 (0.99-1.09)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E76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0.100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F9A2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1.03 (0.98-1.08)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98B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0.195</w:t>
            </w:r>
          </w:p>
        </w:tc>
      </w:tr>
      <w:tr w:rsidR="004503DF" w:rsidRPr="00761D11" w14:paraId="3286E2EF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237B9" w14:textId="6085784A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Stroke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4D78" w14:textId="5AE64A6E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1.06 (0.97-1.15)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F83F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0.155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41E9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(1.01-1.18)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43E2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36C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(0.99-1.17)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408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22C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(1.00-1.17)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E41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0.050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58F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1.07 (0.98-1.16)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A7B6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0.102</w:t>
            </w:r>
          </w:p>
        </w:tc>
      </w:tr>
      <w:tr w:rsidR="004503DF" w:rsidRPr="00761D11" w14:paraId="4B039316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680B0" w14:textId="7B6495C2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Angina pectoris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C14A" w14:textId="373B2A6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0.91 (0.81-1.03)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254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DB59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0.94 (0.83-1.06)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A9AB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0.320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D1C6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0.92 (0.82-1.04)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6BC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0.226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6D44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0.92 (0.81-1.04)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A2B7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0.204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3E98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0.91 (0.81-1.03)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0736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0.176</w:t>
            </w:r>
          </w:p>
        </w:tc>
      </w:tr>
      <w:tr w:rsidR="004503DF" w:rsidRPr="00761D11" w14:paraId="3D5FF615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35872" w14:textId="5CD21C60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Myocardial infarction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7F31" w14:textId="448A372B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0.79 (0.67-0.92)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7097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1902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0.80 (0.69-0.94)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5EDB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DE7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0.80 (0.68-0.93)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313A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3CF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0.79 (0.68-0.93)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85E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0.004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AF2E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0.80 (0.68-0.93)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3227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0.005</w:t>
            </w:r>
          </w:p>
        </w:tc>
      </w:tr>
      <w:tr w:rsidR="004503DF" w:rsidRPr="00761D11" w14:paraId="384A2B17" w14:textId="77777777" w:rsidTr="00210E64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543798" w14:textId="0397741B" w:rsidR="00761D11" w:rsidRPr="00761D11" w:rsidRDefault="00761D11" w:rsidP="000C348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A45E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Heart failure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05D65" w14:textId="3346FC92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1.00 (0.83-1.19)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BB665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0.982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11E33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1.01 (0.85-1.21)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07EBF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0.855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B0E4D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1.03 (0.86-1.24)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05A31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0.698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0F44F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1.03 (0.86-1.23)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96F7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0.720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4F560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1.00 (0.84-1.20)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64DF9" w14:textId="77777777" w:rsidR="00761D11" w:rsidRPr="00761D11" w:rsidRDefault="00761D11" w:rsidP="00761D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761D11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0.919</w:t>
            </w:r>
          </w:p>
        </w:tc>
      </w:tr>
    </w:tbl>
    <w:p w14:paraId="395AFD2B" w14:textId="77777777" w:rsidR="00666D1E" w:rsidRDefault="00666D1E" w:rsidP="00666D1E">
      <w:pPr>
        <w:spacing w:line="240" w:lineRule="auto"/>
        <w:ind w:right="-20"/>
        <w:rPr>
          <w:rFonts w:ascii="Arial" w:eastAsia="Arial" w:hAnsi="Arial" w:cs="Arial"/>
          <w:sz w:val="20"/>
          <w:szCs w:val="20"/>
          <w:lang w:val="en-US"/>
        </w:rPr>
      </w:pPr>
    </w:p>
    <w:p w14:paraId="116C4FA0" w14:textId="2EE0ED39" w:rsidR="00666D1E" w:rsidRDefault="00531967" w:rsidP="00666D1E">
      <w:pPr>
        <w:spacing w:line="240" w:lineRule="auto"/>
        <w:ind w:right="-20"/>
        <w:rPr>
          <w:rFonts w:ascii="Arial" w:eastAsia="Arial" w:hAnsi="Arial" w:cs="Arial"/>
          <w:sz w:val="20"/>
          <w:szCs w:val="20"/>
          <w:lang w:val="en-US"/>
        </w:rPr>
      </w:pPr>
      <w:r w:rsidRPr="00531967">
        <w:rPr>
          <w:rFonts w:ascii="Arial" w:eastAsia="Arial" w:hAnsi="Arial" w:cs="Arial"/>
          <w:sz w:val="20"/>
          <w:szCs w:val="20"/>
          <w:lang w:val="en-US"/>
        </w:rPr>
        <w:t>Abbreviations: HR, hazard ratio; CI, confidence interval; ASD, autism spectrum disorder.</w:t>
      </w:r>
    </w:p>
    <w:p w14:paraId="0DDAE1D1" w14:textId="68B3ABA8" w:rsidR="00531967" w:rsidRDefault="00531967" w:rsidP="00666D1E">
      <w:pPr>
        <w:spacing w:line="240" w:lineRule="auto"/>
        <w:ind w:right="-20"/>
        <w:rPr>
          <w:rFonts w:ascii="Arial" w:eastAsia="Arial" w:hAnsi="Arial" w:cs="Arial"/>
          <w:sz w:val="20"/>
          <w:szCs w:val="20"/>
          <w:lang w:val="en-US"/>
        </w:rPr>
      </w:pPr>
      <w:r w:rsidRPr="00531967">
        <w:rPr>
          <w:rFonts w:ascii="Arial" w:eastAsia="Arial" w:hAnsi="Arial" w:cs="Arial"/>
          <w:sz w:val="20"/>
          <w:szCs w:val="20"/>
          <w:lang w:val="en-US"/>
        </w:rPr>
        <w:t xml:space="preserve">Models 3a-3i were adjusted for birth year, sex, socioeconomic classification, income, and each psychiatric comorbidity in each model.  </w:t>
      </w:r>
    </w:p>
    <w:p w14:paraId="4AAB731F" w14:textId="7B63D994" w:rsidR="00531967" w:rsidRDefault="00531967" w:rsidP="00666D1E">
      <w:pPr>
        <w:spacing w:line="240" w:lineRule="auto"/>
        <w:ind w:right="-20"/>
        <w:rPr>
          <w:rFonts w:ascii="Arial" w:eastAsia="Arial" w:hAnsi="Arial" w:cs="Arial"/>
          <w:sz w:val="20"/>
          <w:szCs w:val="20"/>
          <w:lang w:val="en-US"/>
        </w:rPr>
      </w:pPr>
      <w:r w:rsidRPr="00531967">
        <w:rPr>
          <w:rFonts w:ascii="Arial" w:eastAsia="Arial" w:hAnsi="Arial" w:cs="Arial"/>
          <w:sz w:val="20"/>
          <w:szCs w:val="20"/>
          <w:lang w:val="en-US"/>
        </w:rPr>
        <w:t>Specifically,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a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depressive disorders;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b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anxiety disorders;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c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personality disorders;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d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ADHD;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e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substance use disorders;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f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schizophrenia;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g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bipolar disorders;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h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eating disorders; Model 3</w:t>
      </w:r>
      <w:r w:rsidRPr="00A200B8">
        <w:rPr>
          <w:rFonts w:ascii="Arial" w:eastAsia="Arial" w:hAnsi="Arial" w:cs="Arial"/>
          <w:sz w:val="20"/>
          <w:szCs w:val="20"/>
          <w:vertAlign w:val="subscript"/>
          <w:lang w:val="en-US"/>
        </w:rPr>
        <w:t>i</w:t>
      </w:r>
      <w:r w:rsidRPr="00531967">
        <w:rPr>
          <w:rFonts w:ascii="Arial" w:eastAsia="Arial" w:hAnsi="Arial" w:cs="Arial"/>
          <w:sz w:val="20"/>
          <w:szCs w:val="20"/>
          <w:lang w:val="en-US"/>
        </w:rPr>
        <w:t>: intellectual disability.</w:t>
      </w:r>
    </w:p>
    <w:p w14:paraId="009AF999" w14:textId="77777777" w:rsidR="00BF584D" w:rsidRDefault="00BF584D" w:rsidP="00BF584D">
      <w:pPr>
        <w:spacing w:line="240" w:lineRule="auto"/>
        <w:ind w:left="-20" w:right="-20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lastRenderedPageBreak/>
        <w:t xml:space="preserve">eTable 3. </w:t>
      </w:r>
      <w:r w:rsidRPr="00BB561D">
        <w:rPr>
          <w:rFonts w:ascii="Arial" w:eastAsia="Arial" w:hAnsi="Arial" w:cs="Arial"/>
          <w:sz w:val="20"/>
          <w:szCs w:val="20"/>
          <w:lang w:val="en-US"/>
        </w:rPr>
        <w:t>Hazard ratios (HR) with 95% confidence intervals (CI) of developing cardiometabolic conditions in people with ASD, compared to those without ASD using ASD as a time-independent predictor</w:t>
      </w:r>
    </w:p>
    <w:tbl>
      <w:tblPr>
        <w:tblW w:w="9090" w:type="dxa"/>
        <w:tblLook w:val="04A0" w:firstRow="1" w:lastRow="0" w:firstColumn="1" w:lastColumn="0" w:noHBand="0" w:noVBand="1"/>
      </w:tblPr>
      <w:tblGrid>
        <w:gridCol w:w="3100"/>
        <w:gridCol w:w="2210"/>
        <w:gridCol w:w="1170"/>
        <w:gridCol w:w="1710"/>
        <w:gridCol w:w="900"/>
      </w:tblGrid>
      <w:tr w:rsidR="00D44173" w:rsidRPr="00E403D5" w14:paraId="11F90DA7" w14:textId="77777777" w:rsidTr="00E403D5">
        <w:trPr>
          <w:trHeight w:val="300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55BA7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Outcomes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9F354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8B94E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9AC5E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Model 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6737B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D44173" w:rsidRPr="00E403D5" w14:paraId="1D59A879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D7C96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153D2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96427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3DCE0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HR (95% CI)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D3365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E403D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value</w:t>
            </w:r>
          </w:p>
        </w:tc>
      </w:tr>
      <w:tr w:rsidR="00D44173" w:rsidRPr="00E403D5" w14:paraId="010D6CAE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EA53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Any cardiometabolic condition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26C1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1.28 (1.25-1.30)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8138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29A5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1.18 (1.16-1.21)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72CA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D44173" w:rsidRPr="00E403D5" w14:paraId="4A470331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F2A6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Hypertension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C74A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1.23 (1.16-1.30)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1FFF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69BB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1.03 (0.97-1.09)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FA96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0.315</w:t>
            </w:r>
          </w:p>
        </w:tc>
      </w:tr>
      <w:tr w:rsidR="00D44173" w:rsidRPr="00E403D5" w14:paraId="650FCE1B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3935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Dyslipidemia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67E4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1.26 (1.23-1.28)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7429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3D09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1.18 (1.16-1.21)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4A93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D44173" w:rsidRPr="00E403D5" w14:paraId="66F64FB2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C072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Diabetes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98B4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1.20 (1.15-1.25)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E936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A2D3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1.08 (1.03-1.12)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22D6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</w:tr>
      <w:tr w:rsidR="00D44173" w:rsidRPr="00E403D5" w14:paraId="1BD6285B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457F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Stroke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C6D7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1.24 (1.16-1.34)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1EAB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&lt;.001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43A3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1.10 (1.02-1.19)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A2EC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0.007</w:t>
            </w:r>
          </w:p>
        </w:tc>
      </w:tr>
      <w:tr w:rsidR="00D44173" w:rsidRPr="00E403D5" w14:paraId="7E765AFC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DEC3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Angina pectoris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9F0E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1.00 (0.89-1.12)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A91D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A3E4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0.92 (0.83-1.04)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19F4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0.186</w:t>
            </w:r>
          </w:p>
        </w:tc>
      </w:tr>
      <w:tr w:rsidR="00D44173" w:rsidRPr="00E403D5" w14:paraId="6E0A9746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8257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Myocardial infarction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02C5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0.90 (0.78-1.03)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1E20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0.108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944F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0.82 (0.72-0.94)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56B8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0.005</w:t>
            </w:r>
          </w:p>
        </w:tc>
      </w:tr>
      <w:tr w:rsidR="00D44173" w:rsidRPr="00E403D5" w14:paraId="371952B3" w14:textId="77777777" w:rsidTr="00E403D5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A4EBE" w14:textId="77777777" w:rsidR="00D44173" w:rsidRPr="00E403D5" w:rsidRDefault="00D44173" w:rsidP="00D4417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Heart failure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BA1AB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1.32 (1.13-1.55)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6045F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0.001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295E5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1.09 (0.93-1.28)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D1C73" w14:textId="77777777" w:rsidR="00D44173" w:rsidRPr="00E403D5" w:rsidRDefault="00D44173" w:rsidP="00D441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 w:rsidRPr="00E403D5">
              <w:rPr>
                <w:rFonts w:ascii="Calibri" w:eastAsia="Times New Roman" w:hAnsi="Calibri" w:cs="Calibri"/>
                <w:kern w:val="0"/>
                <w:sz w:val="20"/>
                <w:szCs w:val="20"/>
                <w:lang w:val="en-US"/>
                <w14:ligatures w14:val="none"/>
              </w:rPr>
              <w:t>0.278</w:t>
            </w:r>
          </w:p>
        </w:tc>
      </w:tr>
    </w:tbl>
    <w:p w14:paraId="6C020AC0" w14:textId="77777777" w:rsidR="005F7233" w:rsidRDefault="005F7233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14:paraId="7F5942D1" w14:textId="31B13B57" w:rsidR="00D44173" w:rsidRDefault="00D44173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44173">
        <w:rPr>
          <w:rFonts w:ascii="Arial" w:hAnsi="Arial" w:cs="Arial"/>
          <w:sz w:val="20"/>
          <w:szCs w:val="20"/>
          <w:lang w:val="en-US"/>
        </w:rPr>
        <w:t xml:space="preserve">Abbreviations: HR, hazard ratio; CI, confidence interval; ASD, </w:t>
      </w:r>
      <w:r w:rsidR="004C59FB">
        <w:rPr>
          <w:rFonts w:ascii="Arial" w:hAnsi="Arial" w:cs="Arial"/>
          <w:sz w:val="20"/>
          <w:szCs w:val="20"/>
          <w:lang w:val="en-US"/>
        </w:rPr>
        <w:t>a</w:t>
      </w:r>
      <w:r w:rsidRPr="00D44173">
        <w:rPr>
          <w:rFonts w:ascii="Arial" w:hAnsi="Arial" w:cs="Arial"/>
          <w:sz w:val="20"/>
          <w:szCs w:val="20"/>
          <w:lang w:val="en-US"/>
        </w:rPr>
        <w:t xml:space="preserve">utism </w:t>
      </w:r>
      <w:r w:rsidR="004C59FB">
        <w:rPr>
          <w:rFonts w:ascii="Arial" w:hAnsi="Arial" w:cs="Arial"/>
          <w:sz w:val="20"/>
          <w:szCs w:val="20"/>
          <w:lang w:val="en-US"/>
        </w:rPr>
        <w:t>s</w:t>
      </w:r>
      <w:r w:rsidRPr="00D44173">
        <w:rPr>
          <w:rFonts w:ascii="Arial" w:hAnsi="Arial" w:cs="Arial"/>
          <w:sz w:val="20"/>
          <w:szCs w:val="20"/>
          <w:lang w:val="en-US"/>
        </w:rPr>
        <w:t xml:space="preserve">pectrum </w:t>
      </w:r>
      <w:r w:rsidR="004C59FB">
        <w:rPr>
          <w:rFonts w:ascii="Arial" w:hAnsi="Arial" w:cs="Arial"/>
          <w:sz w:val="20"/>
          <w:szCs w:val="20"/>
          <w:lang w:val="en-US"/>
        </w:rPr>
        <w:t>d</w:t>
      </w:r>
      <w:r w:rsidRPr="00D44173">
        <w:rPr>
          <w:rFonts w:ascii="Arial" w:hAnsi="Arial" w:cs="Arial"/>
          <w:sz w:val="20"/>
          <w:szCs w:val="20"/>
          <w:lang w:val="en-US"/>
        </w:rPr>
        <w:t>isorder.</w:t>
      </w:r>
    </w:p>
    <w:p w14:paraId="6581D67A" w14:textId="1BE41B57" w:rsidR="00D44173" w:rsidRDefault="00D44173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44173">
        <w:rPr>
          <w:rFonts w:ascii="Arial" w:hAnsi="Arial" w:cs="Arial"/>
          <w:sz w:val="20"/>
          <w:szCs w:val="20"/>
          <w:lang w:val="en-US"/>
        </w:rPr>
        <w:t>Model 1 was adjusted for birth year and sex;</w:t>
      </w:r>
    </w:p>
    <w:p w14:paraId="399986A1" w14:textId="7A1E9100" w:rsidR="00D44173" w:rsidRDefault="00D44173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44173">
        <w:rPr>
          <w:rFonts w:ascii="Arial" w:hAnsi="Arial" w:cs="Arial"/>
          <w:sz w:val="20"/>
          <w:szCs w:val="20"/>
          <w:lang w:val="en-US"/>
        </w:rPr>
        <w:t>Model 2 was adjusted for birth year, sex, socioeconomic classification, and income.</w:t>
      </w:r>
    </w:p>
    <w:sectPr w:rsidR="00D44173" w:rsidSect="00565AD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AE561" w14:textId="77777777" w:rsidR="00451BC3" w:rsidRDefault="00451BC3">
      <w:pPr>
        <w:spacing w:after="0" w:line="240" w:lineRule="auto"/>
      </w:pPr>
      <w:r>
        <w:separator/>
      </w:r>
    </w:p>
  </w:endnote>
  <w:endnote w:type="continuationSeparator" w:id="0">
    <w:p w14:paraId="12B03ED8" w14:textId="77777777" w:rsidR="00451BC3" w:rsidRDefault="00451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189681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82417B" w14:textId="49DB209B" w:rsidR="001D5D8E" w:rsidRDefault="001D5D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020AD2" w14:textId="77777777" w:rsidR="005F7233" w:rsidRDefault="005F7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37EC3" w14:textId="77777777" w:rsidR="00451BC3" w:rsidRDefault="00451BC3">
      <w:pPr>
        <w:spacing w:after="0" w:line="240" w:lineRule="auto"/>
      </w:pPr>
      <w:r>
        <w:separator/>
      </w:r>
    </w:p>
  </w:footnote>
  <w:footnote w:type="continuationSeparator" w:id="0">
    <w:p w14:paraId="6AA85DEA" w14:textId="77777777" w:rsidR="00451BC3" w:rsidRDefault="00451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5F7233" w14:paraId="6C020ACC" w14:textId="77777777">
      <w:trPr>
        <w:trHeight w:val="300"/>
      </w:trPr>
      <w:tc>
        <w:tcPr>
          <w:tcW w:w="3020" w:type="dxa"/>
        </w:tcPr>
        <w:p w14:paraId="6C020AC9" w14:textId="77777777" w:rsidR="005F7233" w:rsidRDefault="005F7233">
          <w:pPr>
            <w:pStyle w:val="Header"/>
            <w:ind w:left="-115"/>
          </w:pPr>
        </w:p>
      </w:tc>
      <w:tc>
        <w:tcPr>
          <w:tcW w:w="3020" w:type="dxa"/>
        </w:tcPr>
        <w:p w14:paraId="6C020ACA" w14:textId="77777777" w:rsidR="005F7233" w:rsidRDefault="005F7233">
          <w:pPr>
            <w:pStyle w:val="Header"/>
            <w:jc w:val="center"/>
          </w:pPr>
        </w:p>
      </w:tc>
      <w:tc>
        <w:tcPr>
          <w:tcW w:w="3020" w:type="dxa"/>
        </w:tcPr>
        <w:p w14:paraId="6C020ACB" w14:textId="77777777" w:rsidR="005F7233" w:rsidRDefault="005F7233">
          <w:pPr>
            <w:pStyle w:val="Header"/>
            <w:ind w:right="-115"/>
            <w:jc w:val="right"/>
          </w:pPr>
        </w:p>
      </w:tc>
    </w:tr>
  </w:tbl>
  <w:p w14:paraId="6C020ACD" w14:textId="77777777" w:rsidR="005F7233" w:rsidRDefault="005F72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C7F"/>
    <w:rsid w:val="AF538DBA"/>
    <w:rsid w:val="AFEB9EFB"/>
    <w:rsid w:val="FEFDFB26"/>
    <w:rsid w:val="0004679A"/>
    <w:rsid w:val="00082554"/>
    <w:rsid w:val="000C3481"/>
    <w:rsid w:val="000F16A3"/>
    <w:rsid w:val="001157ED"/>
    <w:rsid w:val="001427E4"/>
    <w:rsid w:val="00166908"/>
    <w:rsid w:val="001A38A4"/>
    <w:rsid w:val="001D5D8E"/>
    <w:rsid w:val="00210E64"/>
    <w:rsid w:val="00257281"/>
    <w:rsid w:val="0026377B"/>
    <w:rsid w:val="00273B86"/>
    <w:rsid w:val="002E037B"/>
    <w:rsid w:val="002E0EE5"/>
    <w:rsid w:val="00301FB9"/>
    <w:rsid w:val="00306DC4"/>
    <w:rsid w:val="00313306"/>
    <w:rsid w:val="00321840"/>
    <w:rsid w:val="00345568"/>
    <w:rsid w:val="003A0D23"/>
    <w:rsid w:val="003C553A"/>
    <w:rsid w:val="003C6989"/>
    <w:rsid w:val="00401E8C"/>
    <w:rsid w:val="004321D8"/>
    <w:rsid w:val="004346B2"/>
    <w:rsid w:val="004503DF"/>
    <w:rsid w:val="00451BC3"/>
    <w:rsid w:val="00495C7F"/>
    <w:rsid w:val="004C59FB"/>
    <w:rsid w:val="00517033"/>
    <w:rsid w:val="00531967"/>
    <w:rsid w:val="00536CD1"/>
    <w:rsid w:val="00552656"/>
    <w:rsid w:val="00556CA2"/>
    <w:rsid w:val="00565AD8"/>
    <w:rsid w:val="005BCEFE"/>
    <w:rsid w:val="005D2479"/>
    <w:rsid w:val="005E6A9C"/>
    <w:rsid w:val="005E6D28"/>
    <w:rsid w:val="005F7233"/>
    <w:rsid w:val="00601FE4"/>
    <w:rsid w:val="00636BC4"/>
    <w:rsid w:val="00666D1E"/>
    <w:rsid w:val="00671206"/>
    <w:rsid w:val="006870FB"/>
    <w:rsid w:val="00691206"/>
    <w:rsid w:val="006A2E61"/>
    <w:rsid w:val="006B6D69"/>
    <w:rsid w:val="00711498"/>
    <w:rsid w:val="00717750"/>
    <w:rsid w:val="0072097C"/>
    <w:rsid w:val="007344DD"/>
    <w:rsid w:val="0076144E"/>
    <w:rsid w:val="00761D11"/>
    <w:rsid w:val="00764D49"/>
    <w:rsid w:val="00766D94"/>
    <w:rsid w:val="00784DA6"/>
    <w:rsid w:val="007A5321"/>
    <w:rsid w:val="007E0276"/>
    <w:rsid w:val="007E2CE7"/>
    <w:rsid w:val="00854A2E"/>
    <w:rsid w:val="00857CC2"/>
    <w:rsid w:val="00880C21"/>
    <w:rsid w:val="00886DAD"/>
    <w:rsid w:val="00892042"/>
    <w:rsid w:val="008B3BB3"/>
    <w:rsid w:val="008B5D6B"/>
    <w:rsid w:val="00936D8E"/>
    <w:rsid w:val="0095171F"/>
    <w:rsid w:val="009614D5"/>
    <w:rsid w:val="009A13BB"/>
    <w:rsid w:val="009A1B9D"/>
    <w:rsid w:val="009B2651"/>
    <w:rsid w:val="009E11A7"/>
    <w:rsid w:val="009F2995"/>
    <w:rsid w:val="00A10E60"/>
    <w:rsid w:val="00A200B8"/>
    <w:rsid w:val="00A453A9"/>
    <w:rsid w:val="00A45E37"/>
    <w:rsid w:val="00A56B10"/>
    <w:rsid w:val="00A56F8A"/>
    <w:rsid w:val="00A63D74"/>
    <w:rsid w:val="00A6608E"/>
    <w:rsid w:val="00AB39F2"/>
    <w:rsid w:val="00B049B1"/>
    <w:rsid w:val="00B30FA4"/>
    <w:rsid w:val="00BB561D"/>
    <w:rsid w:val="00BC1C34"/>
    <w:rsid w:val="00BF0F4C"/>
    <w:rsid w:val="00BF584D"/>
    <w:rsid w:val="00C0314A"/>
    <w:rsid w:val="00C15D06"/>
    <w:rsid w:val="00C85982"/>
    <w:rsid w:val="00CA36F8"/>
    <w:rsid w:val="00CF3F9C"/>
    <w:rsid w:val="00D06772"/>
    <w:rsid w:val="00D06BE0"/>
    <w:rsid w:val="00D14592"/>
    <w:rsid w:val="00D4037A"/>
    <w:rsid w:val="00D44173"/>
    <w:rsid w:val="00D70FC2"/>
    <w:rsid w:val="00DB55E7"/>
    <w:rsid w:val="00DD3287"/>
    <w:rsid w:val="00E12FBB"/>
    <w:rsid w:val="00E403D5"/>
    <w:rsid w:val="00EE6954"/>
    <w:rsid w:val="00F229C7"/>
    <w:rsid w:val="00F45681"/>
    <w:rsid w:val="00F82E91"/>
    <w:rsid w:val="00FB2F9A"/>
    <w:rsid w:val="00FF684B"/>
    <w:rsid w:val="080096F7"/>
    <w:rsid w:val="0B61FF07"/>
    <w:rsid w:val="0C36118F"/>
    <w:rsid w:val="0C7D88E1"/>
    <w:rsid w:val="20158A7F"/>
    <w:rsid w:val="22685801"/>
    <w:rsid w:val="2651EA11"/>
    <w:rsid w:val="2EB4AC86"/>
    <w:rsid w:val="3AEB2220"/>
    <w:rsid w:val="3CDB97CF"/>
    <w:rsid w:val="3D6B6524"/>
    <w:rsid w:val="403EE5C4"/>
    <w:rsid w:val="4340D23D"/>
    <w:rsid w:val="494C4D2C"/>
    <w:rsid w:val="4AE81D8D"/>
    <w:rsid w:val="4BAA4F16"/>
    <w:rsid w:val="4C83EDEE"/>
    <w:rsid w:val="4D7E2ED3"/>
    <w:rsid w:val="4E913918"/>
    <w:rsid w:val="52653A7B"/>
    <w:rsid w:val="577313CA"/>
    <w:rsid w:val="676E992C"/>
    <w:rsid w:val="7F67F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20AAA"/>
  <w15:docId w15:val="{2C4BFBD1-B4B1-440E-96D5-255F7B0B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FBB"/>
    <w:rPr>
      <w:kern w:val="2"/>
      <w:sz w:val="22"/>
      <w:szCs w:val="2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3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SimHei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SimSun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1048</Words>
  <Characters>5977</Characters>
  <Application>Microsoft Office Word</Application>
  <DocSecurity>0</DocSecurity>
  <Lines>49</Lines>
  <Paragraphs>14</Paragraphs>
  <ScaleCrop>false</ScaleCrop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Y (psy)</dc:creator>
  <cp:lastModifiedBy>Li, Y (psy)</cp:lastModifiedBy>
  <cp:revision>34</cp:revision>
  <dcterms:created xsi:type="dcterms:W3CDTF">2024-05-21T14:11:00Z</dcterms:created>
  <dcterms:modified xsi:type="dcterms:W3CDTF">2025-01-07T14:57:00Z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011cfcf090a84c47ac6b25ae1f5be293a3286148ec81eca7a62fd071c246b4f1</vt:lpwstr>
  </property>
  <property fmtid="{D5CDD505-2E9C-101B-9397-08002B2CF9AE}" pid="3" name="KSOProductBuildVer">
    <vt:lpwstr>1033-3.6.2.5883</vt:lpwstr>
  </property>
</Properties>
</file>