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F908A" w14:textId="77777777" w:rsidR="00074074" w:rsidRDefault="00074074" w:rsidP="00074074">
      <w:pPr>
        <w:pStyle w:val="ManuscriptBody"/>
      </w:pPr>
    </w:p>
    <w:p w14:paraId="6D08DB91" w14:textId="77777777" w:rsidR="00074074" w:rsidRDefault="00074074" w:rsidP="00074074">
      <w:pPr>
        <w:pStyle w:val="ManuscriptBody"/>
        <w:jc w:val="center"/>
      </w:pPr>
      <w:r>
        <w:rPr>
          <w:noProof/>
        </w:rPr>
        <w:drawing>
          <wp:inline distT="0" distB="0" distL="0" distR="0" wp14:anchorId="3AFD267F" wp14:editId="1CBABBD1">
            <wp:extent cx="5943600" cy="4532671"/>
            <wp:effectExtent l="0" t="0" r="0" b="1270"/>
            <wp:docPr id="250929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2936" name="Picture 10"/>
                    <pic:cNvPicPr/>
                  </pic:nvPicPr>
                  <pic:blipFill rotWithShape="1">
                    <a:blip r:embed="rId4" cstate="print">
                      <a:extLst>
                        <a:ext uri="{28A0092B-C50C-407E-A947-70E740481C1C}">
                          <a14:useLocalDpi xmlns:a14="http://schemas.microsoft.com/office/drawing/2010/main" val="0"/>
                        </a:ext>
                      </a:extLst>
                    </a:blip>
                    <a:srcRect l="-1" r="1" b="42724"/>
                    <a:stretch/>
                  </pic:blipFill>
                  <pic:spPr bwMode="auto">
                    <a:xfrm>
                      <a:off x="0" y="0"/>
                      <a:ext cx="5943600" cy="4532671"/>
                    </a:xfrm>
                    <a:prstGeom prst="rect">
                      <a:avLst/>
                    </a:prstGeom>
                    <a:ln>
                      <a:noFill/>
                    </a:ln>
                    <a:extLst>
                      <a:ext uri="{53640926-AAD7-44D8-BBD7-CCE9431645EC}">
                        <a14:shadowObscured xmlns:a14="http://schemas.microsoft.com/office/drawing/2010/main"/>
                      </a:ext>
                    </a:extLst>
                  </pic:spPr>
                </pic:pic>
              </a:graphicData>
            </a:graphic>
          </wp:inline>
        </w:drawing>
      </w:r>
    </w:p>
    <w:p w14:paraId="07DC36ED" w14:textId="77777777" w:rsidR="00074074" w:rsidRPr="002919C4" w:rsidRDefault="00074074" w:rsidP="00074074">
      <w:pPr>
        <w:pStyle w:val="ManuscriptBody"/>
        <w:rPr>
          <w:b/>
          <w:sz w:val="12"/>
          <w:szCs w:val="12"/>
        </w:rPr>
      </w:pPr>
      <w:r w:rsidRPr="002919C4">
        <w:rPr>
          <w:b/>
          <w:sz w:val="12"/>
          <w:szCs w:val="12"/>
        </w:rPr>
        <w:t xml:space="preserve">Supplementary Figure 1 – Quantification of white matter and hippocampal subfield AD pathology burden </w:t>
      </w:r>
      <w:r w:rsidRPr="002919C4">
        <w:rPr>
          <w:sz w:val="12"/>
          <w:szCs w:val="12"/>
        </w:rPr>
        <w:t xml:space="preserve">QuPath quantification of STG </w:t>
      </w:r>
      <w:r w:rsidRPr="002919C4">
        <w:rPr>
          <w:b/>
          <w:sz w:val="12"/>
          <w:szCs w:val="12"/>
        </w:rPr>
        <w:t>(A-B)</w:t>
      </w:r>
      <w:r w:rsidRPr="002919C4">
        <w:rPr>
          <w:sz w:val="12"/>
          <w:szCs w:val="12"/>
        </w:rPr>
        <w:t xml:space="preserve"> and MFG </w:t>
      </w:r>
      <w:r w:rsidRPr="002919C4">
        <w:rPr>
          <w:b/>
          <w:sz w:val="12"/>
          <w:szCs w:val="12"/>
        </w:rPr>
        <w:t xml:space="preserve">(C-D) </w:t>
      </w:r>
      <w:r w:rsidRPr="002919C4">
        <w:rPr>
          <w:sz w:val="12"/>
          <w:szCs w:val="12"/>
        </w:rPr>
        <w:t xml:space="preserve">white matter coverage by Ab5 and 7F2 in Pre-2020 (N = ), Non-COVID (N = ), and COVID (N = ) cohort groups. </w:t>
      </w:r>
      <w:bookmarkStart w:id="0" w:name="OLE_LINK1"/>
      <w:r w:rsidRPr="002919C4">
        <w:rPr>
          <w:sz w:val="12"/>
          <w:szCs w:val="12"/>
        </w:rPr>
        <w:t>Comparisons were performed using an ordinary one-way ANOVA with Tukey’s multiple comparisons test, with a single pooled variance.</w:t>
      </w:r>
      <w:bookmarkEnd w:id="0"/>
      <w:r w:rsidRPr="002919C4">
        <w:rPr>
          <w:sz w:val="12"/>
          <w:szCs w:val="12"/>
        </w:rPr>
        <w:t xml:space="preserve"> Hippocampal subfields were separated by annotation and analyzed in a similar manner for Ab5 coverage </w:t>
      </w:r>
      <w:r w:rsidRPr="002919C4">
        <w:rPr>
          <w:b/>
          <w:sz w:val="12"/>
          <w:szCs w:val="12"/>
        </w:rPr>
        <w:t xml:space="preserve">(E) </w:t>
      </w:r>
      <w:r w:rsidRPr="002919C4">
        <w:rPr>
          <w:sz w:val="12"/>
          <w:szCs w:val="12"/>
        </w:rPr>
        <w:t xml:space="preserve">and 7F2 coverage </w:t>
      </w:r>
      <w:r w:rsidRPr="002919C4">
        <w:rPr>
          <w:b/>
          <w:sz w:val="12"/>
          <w:szCs w:val="12"/>
        </w:rPr>
        <w:t>(F)</w:t>
      </w:r>
      <w:r w:rsidRPr="002919C4">
        <w:rPr>
          <w:sz w:val="12"/>
          <w:szCs w:val="12"/>
        </w:rPr>
        <w:t>. Subfield comparisons were made using an ordinary two-way ANOVA with Tukey’s multiple comparisons test, with a single pooled variance. “ns” = no significance, *p &lt; 0.05, **p &lt; 0.01, ***p &lt; 0.001. Any comparisons lacking asterisks are non-significant.</w:t>
      </w:r>
    </w:p>
    <w:p w14:paraId="2633CF48" w14:textId="77777777" w:rsidR="00074074" w:rsidRDefault="00074074" w:rsidP="00074074">
      <w:pPr>
        <w:pStyle w:val="ManuscriptBody"/>
      </w:pPr>
      <w:r>
        <w:rPr>
          <w:noProof/>
        </w:rPr>
        <w:lastRenderedPageBreak/>
        <w:drawing>
          <wp:inline distT="0" distB="0" distL="0" distR="0" wp14:anchorId="42C4070F" wp14:editId="754FA4E2">
            <wp:extent cx="5943600" cy="7010400"/>
            <wp:effectExtent l="0" t="0" r="0" b="0"/>
            <wp:docPr id="1112055909" name="Picture 11" descr="A collage of graph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55909" name="Picture 11" descr="A collage of graphs and numbers&#10;&#10;Description automatically generated"/>
                    <pic:cNvPicPr/>
                  </pic:nvPicPr>
                  <pic:blipFill rotWithShape="1">
                    <a:blip r:embed="rId5" cstate="print">
                      <a:extLst>
                        <a:ext uri="{28A0092B-C50C-407E-A947-70E740481C1C}">
                          <a14:useLocalDpi xmlns:a14="http://schemas.microsoft.com/office/drawing/2010/main" val="0"/>
                        </a:ext>
                      </a:extLst>
                    </a:blip>
                    <a:srcRect b="11539"/>
                    <a:stretch/>
                  </pic:blipFill>
                  <pic:spPr bwMode="auto">
                    <a:xfrm>
                      <a:off x="0" y="0"/>
                      <a:ext cx="5943600" cy="7010400"/>
                    </a:xfrm>
                    <a:prstGeom prst="rect">
                      <a:avLst/>
                    </a:prstGeom>
                    <a:ln>
                      <a:noFill/>
                    </a:ln>
                    <a:extLst>
                      <a:ext uri="{53640926-AAD7-44D8-BBD7-CCE9431645EC}">
                        <a14:shadowObscured xmlns:a14="http://schemas.microsoft.com/office/drawing/2010/main"/>
                      </a:ext>
                    </a:extLst>
                  </pic:spPr>
                </pic:pic>
              </a:graphicData>
            </a:graphic>
          </wp:inline>
        </w:drawing>
      </w:r>
    </w:p>
    <w:p w14:paraId="2CA3C4F0" w14:textId="77777777" w:rsidR="00074074" w:rsidRPr="002919C4" w:rsidRDefault="00074074" w:rsidP="00074074">
      <w:pPr>
        <w:pStyle w:val="ManuscriptBody"/>
        <w:rPr>
          <w:sz w:val="12"/>
          <w:szCs w:val="12"/>
        </w:rPr>
      </w:pPr>
      <w:r w:rsidRPr="002919C4">
        <w:rPr>
          <w:b/>
          <w:sz w:val="12"/>
          <w:szCs w:val="12"/>
        </w:rPr>
        <w:t xml:space="preserve">Supplementary Figure 2 – Regression analysis of IHC quantifications against plaque coverage in matched regions </w:t>
      </w:r>
      <w:r w:rsidRPr="002919C4">
        <w:rPr>
          <w:sz w:val="12"/>
          <w:szCs w:val="12"/>
        </w:rPr>
        <w:t xml:space="preserve">Linear regressions comparing cortical and grey matter quantifications of Iba1 </w:t>
      </w:r>
      <w:r w:rsidRPr="002919C4">
        <w:rPr>
          <w:b/>
          <w:sz w:val="12"/>
          <w:szCs w:val="12"/>
        </w:rPr>
        <w:t>(A-D)</w:t>
      </w:r>
      <w:r w:rsidRPr="002919C4">
        <w:rPr>
          <w:sz w:val="12"/>
          <w:szCs w:val="12"/>
        </w:rPr>
        <w:t xml:space="preserve">, P2RY12 (E-H), CD68 </w:t>
      </w:r>
      <w:r w:rsidRPr="002919C4">
        <w:rPr>
          <w:b/>
          <w:sz w:val="12"/>
          <w:szCs w:val="12"/>
        </w:rPr>
        <w:t>(I-L)</w:t>
      </w:r>
      <w:r w:rsidRPr="002919C4">
        <w:rPr>
          <w:sz w:val="12"/>
          <w:szCs w:val="12"/>
        </w:rPr>
        <w:t xml:space="preserve">, ferritin </w:t>
      </w:r>
      <w:r w:rsidRPr="002919C4">
        <w:rPr>
          <w:b/>
          <w:sz w:val="12"/>
          <w:szCs w:val="12"/>
        </w:rPr>
        <w:t>(M-P)</w:t>
      </w:r>
      <w:r w:rsidRPr="002919C4">
        <w:rPr>
          <w:sz w:val="12"/>
          <w:szCs w:val="12"/>
        </w:rPr>
        <w:t xml:space="preserve">, GFAP </w:t>
      </w:r>
      <w:r w:rsidRPr="002919C4">
        <w:rPr>
          <w:b/>
          <w:sz w:val="12"/>
          <w:szCs w:val="12"/>
        </w:rPr>
        <w:t>(Q)</w:t>
      </w:r>
      <w:r w:rsidRPr="002919C4">
        <w:rPr>
          <w:sz w:val="12"/>
          <w:szCs w:val="12"/>
        </w:rPr>
        <w:t xml:space="preserve">, ALDH1L1, and Olig2 </w:t>
      </w:r>
      <w:r w:rsidRPr="002919C4">
        <w:rPr>
          <w:b/>
          <w:sz w:val="12"/>
          <w:szCs w:val="12"/>
        </w:rPr>
        <w:t>(S)</w:t>
      </w:r>
      <w:r w:rsidRPr="002919C4">
        <w:rPr>
          <w:sz w:val="12"/>
          <w:szCs w:val="12"/>
        </w:rPr>
        <w:t xml:space="preserve"> positive cells per mm</w:t>
      </w:r>
      <w:r w:rsidRPr="002919C4">
        <w:rPr>
          <w:sz w:val="12"/>
          <w:szCs w:val="12"/>
          <w:vertAlign w:val="superscript"/>
        </w:rPr>
        <w:t xml:space="preserve">2 </w:t>
      </w:r>
      <w:r w:rsidRPr="002919C4">
        <w:rPr>
          <w:sz w:val="12"/>
          <w:szCs w:val="12"/>
        </w:rPr>
        <w:t xml:space="preserve">or percent coverage of ROI by PLP1 </w:t>
      </w:r>
      <w:r w:rsidRPr="002919C4">
        <w:rPr>
          <w:b/>
          <w:sz w:val="12"/>
          <w:szCs w:val="12"/>
        </w:rPr>
        <w:t>(T)</w:t>
      </w:r>
      <w:r w:rsidRPr="002919C4">
        <w:rPr>
          <w:sz w:val="12"/>
          <w:szCs w:val="12"/>
        </w:rPr>
        <w:t xml:space="preserve"> assessed against Ab5 ROI coverage in the same patients and brain regions (hippocampus, FG + ITG, STG, and MFG). Patients from our three cohort groups were combined (N = 35) for analysis. Regressions were performed to assess correlations between Aβ pathological burden and our observed glial profile changes and to rule out </w:t>
      </w:r>
      <w:r w:rsidRPr="002919C4">
        <w:rPr>
          <w:sz w:val="12"/>
          <w:szCs w:val="12"/>
        </w:rPr>
        <w:lastRenderedPageBreak/>
        <w:t xml:space="preserve">patient-to-patient variances in pathology as driving forces for these differences. Analysis was performed via simple linear regression, with the only significant association existing between Iba1 and Ab5 in the MFG cortex (p = 0.012) </w:t>
      </w:r>
      <w:r w:rsidRPr="002919C4">
        <w:rPr>
          <w:b/>
          <w:sz w:val="12"/>
          <w:szCs w:val="12"/>
        </w:rPr>
        <w:t>(D)</w:t>
      </w:r>
      <w:r w:rsidRPr="002919C4">
        <w:rPr>
          <w:sz w:val="12"/>
          <w:szCs w:val="12"/>
        </w:rPr>
        <w:t>.</w:t>
      </w:r>
    </w:p>
    <w:p w14:paraId="21C7057A" w14:textId="77777777" w:rsidR="00074074" w:rsidRDefault="00074074" w:rsidP="00074074">
      <w:pPr>
        <w:pStyle w:val="ManuscriptBody"/>
      </w:pPr>
      <w:r>
        <w:rPr>
          <w:noProof/>
        </w:rPr>
        <w:lastRenderedPageBreak/>
        <w:drawing>
          <wp:inline distT="0" distB="0" distL="0" distR="0" wp14:anchorId="0B757B86" wp14:editId="35107C40">
            <wp:extent cx="5943600" cy="7924800"/>
            <wp:effectExtent l="0" t="0" r="0" b="0"/>
            <wp:docPr id="5554352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35273" name="Picture 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6B29EE70" w14:textId="77777777" w:rsidR="00074074" w:rsidRPr="002919C4" w:rsidRDefault="00074074" w:rsidP="00074074">
      <w:pPr>
        <w:rPr>
          <w:rFonts w:ascii="Arial" w:eastAsia="Arial Nova" w:hAnsi="Arial" w:cs="Arial"/>
          <w:sz w:val="12"/>
          <w:szCs w:val="12"/>
        </w:rPr>
      </w:pPr>
      <w:r w:rsidRPr="002919C4">
        <w:rPr>
          <w:rFonts w:ascii="Arial" w:hAnsi="Arial" w:cs="Arial"/>
          <w:b/>
          <w:sz w:val="12"/>
          <w:szCs w:val="12"/>
        </w:rPr>
        <w:lastRenderedPageBreak/>
        <w:t xml:space="preserve">Supplementary Figure 3 – Quantification of white matter and hippocampal subfield microglia and astrocyte profiles </w:t>
      </w:r>
      <w:r w:rsidRPr="002919C4">
        <w:rPr>
          <w:rFonts w:ascii="Arial" w:hAnsi="Arial" w:cs="Arial"/>
          <w:sz w:val="12"/>
          <w:szCs w:val="12"/>
        </w:rPr>
        <w:t xml:space="preserve">Measurements for Iba1-positive </w:t>
      </w:r>
      <w:r w:rsidRPr="002919C4">
        <w:rPr>
          <w:rFonts w:ascii="Arial" w:hAnsi="Arial" w:cs="Arial"/>
          <w:b/>
          <w:sz w:val="12"/>
          <w:szCs w:val="12"/>
        </w:rPr>
        <w:t>(A-B)</w:t>
      </w:r>
      <w:r w:rsidRPr="002919C4">
        <w:rPr>
          <w:rFonts w:ascii="Arial" w:hAnsi="Arial" w:cs="Arial"/>
          <w:sz w:val="12"/>
          <w:szCs w:val="12"/>
        </w:rPr>
        <w:t xml:space="preserve">, P2RY12-positive </w:t>
      </w:r>
      <w:r w:rsidRPr="002919C4">
        <w:rPr>
          <w:rFonts w:ascii="Arial" w:hAnsi="Arial" w:cs="Arial"/>
          <w:b/>
          <w:sz w:val="12"/>
          <w:szCs w:val="12"/>
        </w:rPr>
        <w:t>(C-D)</w:t>
      </w:r>
      <w:r w:rsidRPr="002919C4">
        <w:rPr>
          <w:rFonts w:ascii="Arial" w:hAnsi="Arial" w:cs="Arial"/>
          <w:sz w:val="12"/>
          <w:szCs w:val="12"/>
        </w:rPr>
        <w:t xml:space="preserve">, CD68-positive </w:t>
      </w:r>
      <w:r w:rsidRPr="002919C4">
        <w:rPr>
          <w:rFonts w:ascii="Arial" w:hAnsi="Arial" w:cs="Arial"/>
          <w:b/>
          <w:sz w:val="12"/>
          <w:szCs w:val="12"/>
        </w:rPr>
        <w:t>(E-F)</w:t>
      </w:r>
      <w:r w:rsidRPr="002919C4">
        <w:rPr>
          <w:rFonts w:ascii="Arial" w:hAnsi="Arial" w:cs="Arial"/>
          <w:sz w:val="12"/>
          <w:szCs w:val="12"/>
        </w:rPr>
        <w:t xml:space="preserve">, and ferritin-positive </w:t>
      </w:r>
      <w:r w:rsidRPr="002919C4">
        <w:rPr>
          <w:rFonts w:ascii="Arial" w:hAnsi="Arial" w:cs="Arial"/>
          <w:b/>
          <w:sz w:val="12"/>
          <w:szCs w:val="12"/>
        </w:rPr>
        <w:t>(G-H)</w:t>
      </w:r>
      <w:r w:rsidRPr="002919C4">
        <w:rPr>
          <w:rFonts w:ascii="Arial" w:hAnsi="Arial" w:cs="Arial"/>
          <w:sz w:val="12"/>
          <w:szCs w:val="12"/>
        </w:rPr>
        <w:t>, microglia per mm</w:t>
      </w:r>
      <w:r w:rsidRPr="002919C4">
        <w:rPr>
          <w:rFonts w:ascii="Arial" w:hAnsi="Arial" w:cs="Arial"/>
          <w:sz w:val="12"/>
          <w:szCs w:val="12"/>
          <w:vertAlign w:val="superscript"/>
        </w:rPr>
        <w:t>2</w:t>
      </w:r>
      <w:r w:rsidRPr="002919C4">
        <w:rPr>
          <w:rFonts w:ascii="Arial" w:hAnsi="Arial" w:cs="Arial"/>
          <w:sz w:val="12"/>
          <w:szCs w:val="12"/>
        </w:rPr>
        <w:t xml:space="preserve"> in the STG and MFG white matter of Pre-2020 (N = 12), Non-COVID (N = 12), and COVID (N = 11) patients. Comparisons were made using an ordinary one-way ANOVA with Tukey’s multiple comparisons test, with a single pooled variance. We also performed hippocampal subfield quantification of Iba1-positive </w:t>
      </w:r>
      <w:r w:rsidRPr="002919C4">
        <w:rPr>
          <w:rFonts w:ascii="Arial" w:hAnsi="Arial" w:cs="Arial"/>
          <w:b/>
          <w:sz w:val="12"/>
          <w:szCs w:val="12"/>
        </w:rPr>
        <w:t>(I)</w:t>
      </w:r>
      <w:r w:rsidRPr="002919C4">
        <w:rPr>
          <w:rFonts w:ascii="Arial" w:hAnsi="Arial" w:cs="Arial"/>
          <w:sz w:val="12"/>
          <w:szCs w:val="12"/>
        </w:rPr>
        <w:t xml:space="preserve">, P2RY12-positive </w:t>
      </w:r>
      <w:r w:rsidRPr="002919C4">
        <w:rPr>
          <w:rFonts w:ascii="Arial" w:hAnsi="Arial" w:cs="Arial"/>
          <w:b/>
          <w:sz w:val="12"/>
          <w:szCs w:val="12"/>
        </w:rPr>
        <w:t>(J)</w:t>
      </w:r>
      <w:r w:rsidRPr="002919C4">
        <w:rPr>
          <w:rFonts w:ascii="Arial" w:hAnsi="Arial" w:cs="Arial"/>
          <w:sz w:val="12"/>
          <w:szCs w:val="12"/>
        </w:rPr>
        <w:t xml:space="preserve">, CD68-positive </w:t>
      </w:r>
      <w:r w:rsidRPr="002919C4">
        <w:rPr>
          <w:rFonts w:ascii="Arial" w:hAnsi="Arial" w:cs="Arial"/>
          <w:b/>
          <w:sz w:val="12"/>
          <w:szCs w:val="12"/>
        </w:rPr>
        <w:t>(K)</w:t>
      </w:r>
      <w:r w:rsidRPr="002919C4">
        <w:rPr>
          <w:rFonts w:ascii="Arial" w:hAnsi="Arial" w:cs="Arial"/>
          <w:sz w:val="12"/>
          <w:szCs w:val="12"/>
        </w:rPr>
        <w:t xml:space="preserve">, and ferritin-positive </w:t>
      </w:r>
      <w:r w:rsidRPr="002919C4">
        <w:rPr>
          <w:rFonts w:ascii="Arial" w:hAnsi="Arial" w:cs="Arial"/>
          <w:b/>
          <w:sz w:val="12"/>
          <w:szCs w:val="12"/>
        </w:rPr>
        <w:t>(L)</w:t>
      </w:r>
      <w:r w:rsidRPr="002919C4">
        <w:rPr>
          <w:rFonts w:ascii="Arial" w:hAnsi="Arial" w:cs="Arial"/>
          <w:sz w:val="12"/>
          <w:szCs w:val="12"/>
        </w:rPr>
        <w:t xml:space="preserve"> microglia, as well as GFAP-positive </w:t>
      </w:r>
      <w:r w:rsidRPr="002919C4">
        <w:rPr>
          <w:rFonts w:ascii="Arial" w:hAnsi="Arial" w:cs="Arial"/>
          <w:b/>
          <w:sz w:val="12"/>
          <w:szCs w:val="12"/>
        </w:rPr>
        <w:t>(M)</w:t>
      </w:r>
      <w:r w:rsidRPr="002919C4">
        <w:rPr>
          <w:rFonts w:ascii="Arial" w:hAnsi="Arial" w:cs="Arial"/>
          <w:sz w:val="12"/>
          <w:szCs w:val="12"/>
        </w:rPr>
        <w:t xml:space="preserve"> and ALDH1L1-positive </w:t>
      </w:r>
      <w:r w:rsidRPr="002919C4">
        <w:rPr>
          <w:rFonts w:ascii="Arial" w:hAnsi="Arial" w:cs="Arial"/>
          <w:b/>
          <w:sz w:val="12"/>
          <w:szCs w:val="12"/>
        </w:rPr>
        <w:t>(N)</w:t>
      </w:r>
      <w:r w:rsidRPr="002919C4">
        <w:rPr>
          <w:rFonts w:ascii="Arial" w:hAnsi="Arial" w:cs="Arial"/>
          <w:sz w:val="12"/>
          <w:szCs w:val="12"/>
        </w:rPr>
        <w:t xml:space="preserve"> astrocytes. Subfield comparisons were made using an ordinary two-way ANOVA with Tukey’s multiple comparisons test, with a single pooled variance. “ns” = no significance, *p &lt; 0.05, **p &lt; 0.01, ***p &lt; 0.001. Any comparisons lacking asterisks are non-significant.</w:t>
      </w:r>
    </w:p>
    <w:p w14:paraId="42AD25B7" w14:textId="77777777" w:rsidR="00074074" w:rsidRDefault="00074074" w:rsidP="00074074">
      <w:r>
        <w:rPr>
          <w:noProof/>
        </w:rPr>
        <w:lastRenderedPageBreak/>
        <w:drawing>
          <wp:inline distT="0" distB="0" distL="0" distR="0" wp14:anchorId="547B8268" wp14:editId="2146C3D9">
            <wp:extent cx="5943600" cy="7924800"/>
            <wp:effectExtent l="0" t="0" r="0" b="0"/>
            <wp:docPr id="557041068" name="Picture 2"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41068" name="Picture 2" descr="A collage of graphs and char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078CAE08" w14:textId="77777777" w:rsidR="00074074" w:rsidRPr="002919C4" w:rsidRDefault="00074074" w:rsidP="00074074">
      <w:pPr>
        <w:spacing w:before="240"/>
        <w:rPr>
          <w:rFonts w:ascii="Arial" w:hAnsi="Arial" w:cs="Arial"/>
          <w:sz w:val="12"/>
          <w:szCs w:val="12"/>
        </w:rPr>
      </w:pPr>
      <w:r w:rsidRPr="002919C4">
        <w:rPr>
          <w:rFonts w:ascii="Arial" w:hAnsi="Arial" w:cs="Arial"/>
          <w:b/>
          <w:sz w:val="12"/>
          <w:szCs w:val="12"/>
        </w:rPr>
        <w:lastRenderedPageBreak/>
        <w:t>Supplementary Figure 4 – Bulk mRNA analysis of oligodendrocyte and myelin changes associated with COVID-AD</w:t>
      </w:r>
      <w:r w:rsidRPr="002919C4">
        <w:rPr>
          <w:rFonts w:ascii="Arial" w:hAnsi="Arial" w:cs="Arial"/>
          <w:sz w:val="12"/>
          <w:szCs w:val="12"/>
        </w:rPr>
        <w:t xml:space="preserve"> NanoString nCounter® Bulk mRNA data analysis of whole FFPE tissue sections from the hippocampus and MFG of COVID (N = 11) vs. Non-COVID (N = 12) patients. The top 25 DEGs based on significance and their fold changes from hippocampus </w:t>
      </w:r>
      <w:r w:rsidRPr="002919C4">
        <w:rPr>
          <w:rFonts w:ascii="Arial" w:hAnsi="Arial" w:cs="Arial"/>
          <w:b/>
          <w:sz w:val="12"/>
          <w:szCs w:val="12"/>
        </w:rPr>
        <w:t>(A)</w:t>
      </w:r>
      <w:r w:rsidRPr="002919C4">
        <w:rPr>
          <w:rFonts w:ascii="Arial" w:hAnsi="Arial" w:cs="Arial"/>
          <w:sz w:val="12"/>
          <w:szCs w:val="12"/>
        </w:rPr>
        <w:t xml:space="preserve"> and MFG </w:t>
      </w:r>
      <w:r w:rsidRPr="002919C4">
        <w:rPr>
          <w:rFonts w:ascii="Arial" w:hAnsi="Arial" w:cs="Arial"/>
          <w:b/>
          <w:sz w:val="12"/>
          <w:szCs w:val="12"/>
        </w:rPr>
        <w:t>(B)</w:t>
      </w:r>
      <w:r w:rsidRPr="002919C4">
        <w:rPr>
          <w:rFonts w:ascii="Arial" w:hAnsi="Arial" w:cs="Arial"/>
          <w:sz w:val="12"/>
          <w:szCs w:val="12"/>
        </w:rPr>
        <w:t xml:space="preserve"> are listed from 1-25 with the most significant DEGs being located at the bottom of the graph. Volcano plots for the DEGs making up the Oligodendrocyte Markers </w:t>
      </w:r>
      <w:r w:rsidRPr="002919C4">
        <w:rPr>
          <w:rFonts w:ascii="Arial" w:hAnsi="Arial" w:cs="Arial"/>
          <w:b/>
          <w:sz w:val="12"/>
          <w:szCs w:val="12"/>
        </w:rPr>
        <w:t>(C)</w:t>
      </w:r>
      <w:r w:rsidRPr="002919C4">
        <w:rPr>
          <w:rFonts w:ascii="Arial" w:hAnsi="Arial" w:cs="Arial"/>
          <w:sz w:val="12"/>
          <w:szCs w:val="12"/>
        </w:rPr>
        <w:t xml:space="preserve">, Oligodendrocyte Differentiation/Maturation </w:t>
      </w:r>
      <w:r w:rsidRPr="002919C4">
        <w:rPr>
          <w:rFonts w:ascii="Arial" w:hAnsi="Arial" w:cs="Arial"/>
          <w:b/>
          <w:sz w:val="12"/>
          <w:szCs w:val="12"/>
        </w:rPr>
        <w:t>(D)</w:t>
      </w:r>
      <w:r w:rsidRPr="002919C4">
        <w:rPr>
          <w:rFonts w:ascii="Arial" w:hAnsi="Arial" w:cs="Arial"/>
          <w:sz w:val="12"/>
          <w:szCs w:val="12"/>
        </w:rPr>
        <w:t xml:space="preserve">, and Myelogenesis </w:t>
      </w:r>
      <w:r w:rsidRPr="002919C4">
        <w:rPr>
          <w:rFonts w:ascii="Arial" w:hAnsi="Arial" w:cs="Arial"/>
          <w:b/>
          <w:sz w:val="12"/>
          <w:szCs w:val="12"/>
        </w:rPr>
        <w:t>(E)</w:t>
      </w:r>
      <w:r w:rsidRPr="002919C4">
        <w:rPr>
          <w:rFonts w:ascii="Arial" w:hAnsi="Arial" w:cs="Arial"/>
          <w:sz w:val="12"/>
          <w:szCs w:val="12"/>
        </w:rPr>
        <w:t xml:space="preserve"> pathways in the hippocampus with a baseline of Non-COVID. </w:t>
      </w:r>
      <w:r w:rsidRPr="002919C4">
        <w:rPr>
          <w:rFonts w:ascii="Arial" w:hAnsi="Arial" w:cs="Arial"/>
          <w:b/>
          <w:sz w:val="12"/>
          <w:szCs w:val="12"/>
        </w:rPr>
        <w:t>(F)</w:t>
      </w:r>
      <w:r w:rsidRPr="002919C4">
        <w:rPr>
          <w:rFonts w:ascii="Arial" w:hAnsi="Arial" w:cs="Arial"/>
          <w:sz w:val="12"/>
          <w:szCs w:val="12"/>
        </w:rPr>
        <w:t xml:space="preserve"> p-values provided by nSolver for cell-type scoring validating oligodendrocyte scoring based on cell-type-specific DEG markers. </w:t>
      </w:r>
      <w:r w:rsidRPr="002919C4">
        <w:rPr>
          <w:rFonts w:ascii="Arial" w:hAnsi="Arial" w:cs="Arial"/>
          <w:b/>
          <w:sz w:val="12"/>
          <w:szCs w:val="12"/>
        </w:rPr>
        <w:t xml:space="preserve">(G-K) </w:t>
      </w:r>
      <w:r w:rsidRPr="002919C4">
        <w:rPr>
          <w:rFonts w:ascii="Arial" w:hAnsi="Arial" w:cs="Arial"/>
          <w:sz w:val="12"/>
          <w:szCs w:val="12"/>
        </w:rPr>
        <w:t>Univariate comparisons of selected DEGs. Adjusted p-values for individual genes can be found on figure 6 and a lack of stars does not indicate non-significance. Hippocampal subfield quantification of Olig2-positive cells per mm</w:t>
      </w:r>
      <w:r w:rsidRPr="002919C4">
        <w:rPr>
          <w:rFonts w:ascii="Arial" w:hAnsi="Arial" w:cs="Arial"/>
          <w:sz w:val="12"/>
          <w:szCs w:val="12"/>
          <w:vertAlign w:val="superscript"/>
        </w:rPr>
        <w:t xml:space="preserve">2 </w:t>
      </w:r>
      <w:r w:rsidRPr="002919C4">
        <w:rPr>
          <w:rFonts w:ascii="Arial" w:hAnsi="Arial" w:cs="Arial"/>
          <w:b/>
          <w:sz w:val="12"/>
          <w:szCs w:val="12"/>
        </w:rPr>
        <w:t>(L)</w:t>
      </w:r>
      <w:r w:rsidRPr="002919C4">
        <w:rPr>
          <w:rFonts w:ascii="Arial" w:hAnsi="Arial" w:cs="Arial"/>
          <w:sz w:val="12"/>
          <w:szCs w:val="12"/>
        </w:rPr>
        <w:t xml:space="preserve"> and percent coverage of tissue by PLP1 </w:t>
      </w:r>
      <w:r w:rsidRPr="002919C4">
        <w:rPr>
          <w:rFonts w:ascii="Arial" w:hAnsi="Arial" w:cs="Arial"/>
          <w:b/>
          <w:sz w:val="12"/>
          <w:szCs w:val="12"/>
        </w:rPr>
        <w:t>(M)</w:t>
      </w:r>
      <w:r w:rsidRPr="002919C4">
        <w:rPr>
          <w:rFonts w:ascii="Arial" w:hAnsi="Arial" w:cs="Arial"/>
          <w:sz w:val="12"/>
          <w:szCs w:val="12"/>
        </w:rPr>
        <w:t xml:space="preserve"> with comparisons performed using an ordinary two-way ANOVA with Tukey’s multiple comparisons test, with a single pooled variance and *p &lt; 0.05, **p &lt; 0.01, ***p &lt; 0.001. Bulk mRNA analysis was performed in the NanoString nSolver suite, with normalization of individual samples using six housekeeping genes included in the glial profiling panel. Benjamini-Yekutieli p-value adjustment for multiple comparisons was performed for differential expression.</w:t>
      </w:r>
    </w:p>
    <w:p w14:paraId="5A9EF03E" w14:textId="77777777" w:rsidR="00074074" w:rsidRDefault="00074074"/>
    <w:sectPr w:rsidR="0007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74"/>
    <w:rsid w:val="00074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6A048"/>
  <w15:chartTrackingRefBased/>
  <w15:docId w15:val="{D7D70F83-C633-4A9A-B837-C82E6E03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74"/>
    <w:pPr>
      <w:spacing w:line="480"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07407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7407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74074"/>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74074"/>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74074"/>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74074"/>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74074"/>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74074"/>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74074"/>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074"/>
    <w:rPr>
      <w:rFonts w:eastAsiaTheme="majorEastAsia" w:cstheme="majorBidi"/>
      <w:color w:val="272727" w:themeColor="text1" w:themeTint="D8"/>
    </w:rPr>
  </w:style>
  <w:style w:type="paragraph" w:styleId="Title">
    <w:name w:val="Title"/>
    <w:basedOn w:val="Normal"/>
    <w:next w:val="Normal"/>
    <w:link w:val="TitleChar"/>
    <w:uiPriority w:val="10"/>
    <w:qFormat/>
    <w:rsid w:val="0007407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74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074"/>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74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074"/>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74074"/>
    <w:rPr>
      <w:i/>
      <w:iCs/>
      <w:color w:val="404040" w:themeColor="text1" w:themeTint="BF"/>
    </w:rPr>
  </w:style>
  <w:style w:type="paragraph" w:styleId="ListParagraph">
    <w:name w:val="List Paragraph"/>
    <w:basedOn w:val="Normal"/>
    <w:uiPriority w:val="34"/>
    <w:qFormat/>
    <w:rsid w:val="00074074"/>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074074"/>
    <w:rPr>
      <w:i/>
      <w:iCs/>
      <w:color w:val="0F4761" w:themeColor="accent1" w:themeShade="BF"/>
    </w:rPr>
  </w:style>
  <w:style w:type="paragraph" w:styleId="IntenseQuote">
    <w:name w:val="Intense Quote"/>
    <w:basedOn w:val="Normal"/>
    <w:next w:val="Normal"/>
    <w:link w:val="IntenseQuoteChar"/>
    <w:uiPriority w:val="30"/>
    <w:qFormat/>
    <w:rsid w:val="0007407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74074"/>
    <w:rPr>
      <w:i/>
      <w:iCs/>
      <w:color w:val="0F4761" w:themeColor="accent1" w:themeShade="BF"/>
    </w:rPr>
  </w:style>
  <w:style w:type="character" w:styleId="IntenseReference">
    <w:name w:val="Intense Reference"/>
    <w:basedOn w:val="DefaultParagraphFont"/>
    <w:uiPriority w:val="32"/>
    <w:qFormat/>
    <w:rsid w:val="00074074"/>
    <w:rPr>
      <w:b/>
      <w:bCs/>
      <w:smallCaps/>
      <w:color w:val="0F4761" w:themeColor="accent1" w:themeShade="BF"/>
      <w:spacing w:val="5"/>
    </w:rPr>
  </w:style>
  <w:style w:type="paragraph" w:customStyle="1" w:styleId="ManuscriptBody">
    <w:name w:val="Manuscript Body"/>
    <w:basedOn w:val="Normal"/>
    <w:link w:val="ManuscriptBodyChar"/>
    <w:uiPriority w:val="1"/>
    <w:qFormat/>
    <w:rsid w:val="00074074"/>
    <w:rPr>
      <w:rFonts w:ascii="Arial" w:eastAsia="Arial Nova" w:hAnsi="Arial" w:cs="Arial"/>
    </w:rPr>
  </w:style>
  <w:style w:type="character" w:customStyle="1" w:styleId="ManuscriptBodyChar">
    <w:name w:val="Manuscript Body Char"/>
    <w:basedOn w:val="DefaultParagraphFont"/>
    <w:link w:val="ManuscriptBody"/>
    <w:uiPriority w:val="1"/>
    <w:rsid w:val="00074074"/>
    <w:rPr>
      <w:rFonts w:ascii="Arial" w:eastAsia="Arial Nova" w:hAnsi="Arial" w:cs="Arial"/>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615</Words>
  <Characters>3506</Characters>
  <Application>Microsoft Office Word</Application>
  <DocSecurity>0</DocSecurity>
  <Lines>29</Lines>
  <Paragraphs>8</Paragraphs>
  <ScaleCrop>false</ScaleCrop>
  <Company>Springer Nature</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2024-06-03T17:41:00Z</dcterms:created>
  <dcterms:modified xsi:type="dcterms:W3CDTF">2024-06-03T17:41:00Z</dcterms:modified>
</cp:coreProperties>
</file>