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EFF1C" w14:textId="24A55D78" w:rsidR="00015D4F" w:rsidRPr="00304FFE" w:rsidRDefault="00815965" w:rsidP="00304FFE">
      <w:pPr>
        <w:jc w:val="center"/>
        <w:rPr>
          <w:rFonts w:ascii="Times New Roman" w:hAnsi="Times New Roman" w:cs="Times New Roman" w:hint="eastAsia"/>
          <w:b/>
          <w:bCs/>
          <w:sz w:val="32"/>
          <w:szCs w:val="32"/>
        </w:rPr>
      </w:pPr>
      <w:r w:rsidRPr="00304FFE">
        <w:rPr>
          <w:rFonts w:ascii="Times New Roman" w:hAnsi="Times New Roman" w:cs="Times New Roman"/>
          <w:b/>
          <w:bCs/>
          <w:sz w:val="32"/>
          <w:szCs w:val="32"/>
        </w:rPr>
        <w:t>Appendix</w:t>
      </w:r>
      <w:r w:rsidR="00C3437E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B</w:t>
      </w:r>
    </w:p>
    <w:p w14:paraId="19A807CA" w14:textId="02561336" w:rsidR="00780A39" w:rsidRDefault="00780A39" w:rsidP="00304FFE">
      <w:pPr>
        <w:jc w:val="left"/>
        <w:rPr>
          <w:rFonts w:ascii="Times New Roman" w:hAnsi="Times New Roman" w:cs="Times New Roman"/>
          <w:b/>
          <w:bCs/>
          <w:szCs w:val="21"/>
        </w:rPr>
      </w:pPr>
      <w:r w:rsidRPr="00780A39">
        <w:rPr>
          <w:rFonts w:ascii="Times New Roman" w:hAnsi="Times New Roman" w:cs="Times New Roman"/>
          <w:b/>
          <w:bCs/>
          <w:szCs w:val="21"/>
        </w:rPr>
        <w:t>eTable 1</w:t>
      </w:r>
      <w:r w:rsidRPr="00780A39">
        <w:rPr>
          <w:rFonts w:ascii="Times New Roman" w:hAnsi="Times New Roman" w:cs="Times New Roman"/>
          <w:szCs w:val="21"/>
        </w:rPr>
        <w:t>.</w:t>
      </w:r>
      <w:r w:rsidRPr="00780A39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80A39">
        <w:rPr>
          <w:rFonts w:ascii="Times New Roman" w:hAnsi="Times New Roman" w:cs="Times New Roman"/>
          <w:szCs w:val="21"/>
        </w:rPr>
        <w:t>Definition of quality indicators</w:t>
      </w:r>
    </w:p>
    <w:p w14:paraId="56688953" w14:textId="41D168A3" w:rsidR="00304FFE" w:rsidRDefault="00304FFE" w:rsidP="00304FFE">
      <w:pPr>
        <w:jc w:val="left"/>
        <w:rPr>
          <w:rFonts w:ascii="Times New Roman" w:hAnsi="Times New Roman" w:cs="Times New Roman"/>
          <w:szCs w:val="21"/>
        </w:rPr>
      </w:pPr>
      <w:r w:rsidRPr="00192361">
        <w:rPr>
          <w:rFonts w:ascii="Times New Roman" w:hAnsi="Times New Roman" w:cs="Times New Roman"/>
          <w:b/>
          <w:bCs/>
          <w:szCs w:val="21"/>
        </w:rPr>
        <w:t xml:space="preserve">eTable </w:t>
      </w:r>
      <w:r w:rsidR="00780A39">
        <w:rPr>
          <w:rFonts w:ascii="Times New Roman" w:hAnsi="Times New Roman" w:cs="Times New Roman" w:hint="eastAsia"/>
          <w:b/>
          <w:bCs/>
          <w:szCs w:val="21"/>
        </w:rPr>
        <w:t>2</w:t>
      </w:r>
      <w:r>
        <w:rPr>
          <w:rFonts w:ascii="Times New Roman" w:hAnsi="Times New Roman" w:cs="Times New Roman"/>
          <w:szCs w:val="21"/>
        </w:rPr>
        <w:t>.</w:t>
      </w:r>
      <w:r w:rsidR="00192361" w:rsidRPr="00192361">
        <w:t xml:space="preserve"> </w:t>
      </w:r>
      <w:r w:rsidR="00192361" w:rsidRPr="00192361">
        <w:rPr>
          <w:rFonts w:ascii="Times New Roman" w:hAnsi="Times New Roman" w:cs="Times New Roman"/>
          <w:szCs w:val="21"/>
        </w:rPr>
        <w:t>Adherence Rates of Quality Indicators and Hospital Variation</w:t>
      </w:r>
    </w:p>
    <w:p w14:paraId="6D4F03DC" w14:textId="597DE33B" w:rsidR="00780A39" w:rsidRPr="00AF0C99" w:rsidRDefault="00780A39" w:rsidP="00F013ED">
      <w:pPr>
        <w:spacing w:beforeLines="50" w:before="156"/>
        <w:jc w:val="left"/>
        <w:outlineLvl w:val="2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Cs w:val="21"/>
        </w:rPr>
        <w:t>e</w:t>
      </w:r>
      <w:r w:rsidRPr="00CE4CD8">
        <w:rPr>
          <w:rFonts w:ascii="Times New Roman" w:eastAsia="宋体" w:hAnsi="Times New Roman" w:cs="Times New Roman"/>
          <w:b/>
          <w:bCs/>
          <w:szCs w:val="21"/>
        </w:rPr>
        <w:t>Table 1</w:t>
      </w: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. </w:t>
      </w:r>
      <w:r w:rsidRPr="00AF0C99">
        <w:rPr>
          <w:rFonts w:ascii="Times New Roman" w:eastAsia="宋体" w:hAnsi="Times New Roman" w:cs="Times New Roman"/>
          <w:szCs w:val="21"/>
        </w:rPr>
        <w:t xml:space="preserve">Definition of </w:t>
      </w:r>
      <w:r>
        <w:rPr>
          <w:rFonts w:ascii="Times New Roman" w:eastAsia="宋体" w:hAnsi="Times New Roman" w:cs="Times New Roman" w:hint="eastAsia"/>
          <w:szCs w:val="21"/>
        </w:rPr>
        <w:t xml:space="preserve">quality </w:t>
      </w:r>
      <w:r w:rsidRPr="00AF0C99">
        <w:rPr>
          <w:rFonts w:ascii="Times New Roman" w:eastAsia="宋体" w:hAnsi="Times New Roman" w:cs="Times New Roman"/>
          <w:szCs w:val="21"/>
        </w:rPr>
        <w:t>indi</w:t>
      </w:r>
      <w:r>
        <w:rPr>
          <w:rFonts w:ascii="Times New Roman" w:eastAsia="宋体" w:hAnsi="Times New Roman" w:cs="Times New Roman" w:hint="eastAsia"/>
          <w:szCs w:val="21"/>
        </w:rPr>
        <w:t>cators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2930"/>
        <w:gridCol w:w="415"/>
        <w:gridCol w:w="3917"/>
      </w:tblGrid>
      <w:tr w:rsidR="00780A39" w:rsidRPr="00AF0C99" w14:paraId="08C22B2D" w14:textId="77777777" w:rsidTr="00F013ED">
        <w:trPr>
          <w:trHeight w:val="340"/>
          <w:jc w:val="center"/>
        </w:trPr>
        <w:tc>
          <w:tcPr>
            <w:tcW w:w="62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B54035D" w14:textId="77777777" w:rsidR="00780A39" w:rsidRPr="00AF0C99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F0C99">
              <w:rPr>
                <w:rFonts w:ascii="Times New Roman" w:eastAsia="宋体" w:hAnsi="Times New Roman" w:cs="Times New Roman"/>
                <w:sz w:val="18"/>
                <w:szCs w:val="18"/>
              </w:rPr>
              <w:t>Indicator</w:t>
            </w:r>
          </w:p>
        </w:tc>
        <w:tc>
          <w:tcPr>
            <w:tcW w:w="176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111C4C1" w14:textId="77777777" w:rsidR="00780A39" w:rsidRPr="00AF0C99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F0C99">
              <w:rPr>
                <w:rFonts w:ascii="Times New Roman" w:eastAsia="宋体" w:hAnsi="Times New Roman" w:cs="Times New Roman"/>
                <w:sz w:val="18"/>
                <w:szCs w:val="18"/>
              </w:rPr>
              <w:t>Evaluation index</w:t>
            </w:r>
          </w:p>
        </w:tc>
        <w:tc>
          <w:tcPr>
            <w:tcW w:w="2608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1B5DBE9" w14:textId="77777777" w:rsidR="00780A39" w:rsidRPr="00AF0C99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F0C99">
              <w:rPr>
                <w:rFonts w:ascii="Times New Roman" w:eastAsia="宋体" w:hAnsi="Times New Roman" w:cs="Times New Roman"/>
                <w:sz w:val="18"/>
                <w:szCs w:val="18"/>
              </w:rPr>
              <w:t>Definition or formula</w:t>
            </w:r>
          </w:p>
        </w:tc>
      </w:tr>
      <w:tr w:rsidR="00780A39" w:rsidRPr="00AF0C99" w14:paraId="41F1B323" w14:textId="77777777" w:rsidTr="00F013ED">
        <w:trPr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14:paraId="1BFF134C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QI1</w:t>
            </w:r>
          </w:p>
        </w:tc>
        <w:tc>
          <w:tcPr>
            <w:tcW w:w="1764" w:type="pct"/>
            <w:vMerge w:val="restart"/>
            <w:vAlign w:val="center"/>
          </w:tcPr>
          <w:p w14:paraId="23941C0F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0" w:name="OLE_LINK6"/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Proportion of breast cancer patients who had the diagnosis in cytology and/or histology before surgery</w:t>
            </w:r>
            <w:bookmarkEnd w:id="0"/>
          </w:p>
        </w:tc>
        <w:tc>
          <w:tcPr>
            <w:tcW w:w="250" w:type="pct"/>
            <w:vAlign w:val="center"/>
          </w:tcPr>
          <w:p w14:paraId="04052FF0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58" w:type="pct"/>
            <w:vAlign w:val="center"/>
          </w:tcPr>
          <w:p w14:paraId="560CBE69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Breast cancer patients who had the diagnosis in cytology and/or histology before surgery</w:t>
            </w:r>
          </w:p>
        </w:tc>
      </w:tr>
      <w:tr w:rsidR="00780A39" w:rsidRPr="00AF0C99" w14:paraId="19DA032D" w14:textId="77777777" w:rsidTr="00F013ED">
        <w:trPr>
          <w:trHeight w:val="340"/>
          <w:jc w:val="center"/>
        </w:trPr>
        <w:tc>
          <w:tcPr>
            <w:tcW w:w="628" w:type="pct"/>
            <w:vMerge/>
            <w:vAlign w:val="center"/>
          </w:tcPr>
          <w:p w14:paraId="70721C41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64" w:type="pct"/>
            <w:vMerge/>
            <w:vAlign w:val="center"/>
          </w:tcPr>
          <w:p w14:paraId="64B2E1F2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14:paraId="3D92F654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358" w:type="pct"/>
            <w:vAlign w:val="center"/>
          </w:tcPr>
          <w:p w14:paraId="4A00C031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with invasive breast cancer who underwent surgery</w:t>
            </w:r>
          </w:p>
        </w:tc>
      </w:tr>
      <w:tr w:rsidR="00780A39" w:rsidRPr="00AF0C99" w14:paraId="68864203" w14:textId="77777777" w:rsidTr="00F013ED">
        <w:trPr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14:paraId="5BB893FD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QI2</w:t>
            </w:r>
          </w:p>
        </w:tc>
        <w:tc>
          <w:tcPr>
            <w:tcW w:w="1764" w:type="pct"/>
            <w:vMerge w:val="restart"/>
            <w:vAlign w:val="center"/>
          </w:tcPr>
          <w:p w14:paraId="5312250E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Proportion of breast cancer patients who received ER and PR assessment before systemic therapy</w:t>
            </w:r>
          </w:p>
        </w:tc>
        <w:tc>
          <w:tcPr>
            <w:tcW w:w="250" w:type="pct"/>
            <w:vAlign w:val="center"/>
          </w:tcPr>
          <w:p w14:paraId="7A24633F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58" w:type="pct"/>
            <w:vAlign w:val="center"/>
          </w:tcPr>
          <w:p w14:paraId="61006DEF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Breast cancer patients who received ER and PR status assessment before systemic therapy</w:t>
            </w:r>
          </w:p>
        </w:tc>
      </w:tr>
      <w:tr w:rsidR="00780A39" w:rsidRPr="00AF0C99" w14:paraId="2BD37DA9" w14:textId="77777777" w:rsidTr="00F013ED">
        <w:trPr>
          <w:trHeight w:val="340"/>
          <w:jc w:val="center"/>
        </w:trPr>
        <w:tc>
          <w:tcPr>
            <w:tcW w:w="628" w:type="pct"/>
            <w:vMerge/>
            <w:vAlign w:val="center"/>
          </w:tcPr>
          <w:p w14:paraId="019F6547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64" w:type="pct"/>
            <w:vMerge/>
            <w:vAlign w:val="center"/>
          </w:tcPr>
          <w:p w14:paraId="5AFD15C1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14:paraId="3A387976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" w:name="OLE_LINK3"/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  <w:bookmarkEnd w:id="1"/>
          </w:p>
        </w:tc>
        <w:tc>
          <w:tcPr>
            <w:tcW w:w="2358" w:type="pct"/>
            <w:vAlign w:val="center"/>
          </w:tcPr>
          <w:p w14:paraId="23987BD6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Breast cancer patients who received systemic therapy</w:t>
            </w:r>
          </w:p>
        </w:tc>
      </w:tr>
      <w:tr w:rsidR="00780A39" w:rsidRPr="00AF0C99" w14:paraId="0025E4E7" w14:textId="77777777" w:rsidTr="00F013ED">
        <w:trPr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14:paraId="6B8889B8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QI3</w:t>
            </w:r>
          </w:p>
        </w:tc>
        <w:tc>
          <w:tcPr>
            <w:tcW w:w="1764" w:type="pct"/>
            <w:vMerge w:val="restart"/>
            <w:vAlign w:val="center"/>
          </w:tcPr>
          <w:p w14:paraId="70184310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HER2 assessment before systemic therapy</w:t>
            </w:r>
          </w:p>
        </w:tc>
        <w:tc>
          <w:tcPr>
            <w:tcW w:w="250" w:type="pct"/>
            <w:vAlign w:val="center"/>
          </w:tcPr>
          <w:p w14:paraId="6DD1BA51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58" w:type="pct"/>
            <w:vAlign w:val="center"/>
          </w:tcPr>
          <w:p w14:paraId="21E598DC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with invasive breast cancer who received HER2 testing before systemic treatment</w:t>
            </w:r>
          </w:p>
        </w:tc>
      </w:tr>
      <w:tr w:rsidR="00780A39" w:rsidRPr="00AF0C99" w14:paraId="258F0793" w14:textId="77777777" w:rsidTr="00F013ED">
        <w:trPr>
          <w:trHeight w:val="340"/>
          <w:jc w:val="center"/>
        </w:trPr>
        <w:tc>
          <w:tcPr>
            <w:tcW w:w="628" w:type="pct"/>
            <w:vMerge/>
            <w:vAlign w:val="center"/>
          </w:tcPr>
          <w:p w14:paraId="48CB0F24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64" w:type="pct"/>
            <w:vMerge/>
            <w:vAlign w:val="center"/>
          </w:tcPr>
          <w:p w14:paraId="3110ABC7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14:paraId="679AAF08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358" w:type="pct"/>
            <w:vAlign w:val="center"/>
          </w:tcPr>
          <w:p w14:paraId="3439B986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aged 18 or over, with newly diagnosed invasive breast cancer who received systemic therapy</w:t>
            </w:r>
          </w:p>
        </w:tc>
      </w:tr>
      <w:tr w:rsidR="00780A39" w:rsidRPr="00AF0C99" w14:paraId="2D5EE6E7" w14:textId="77777777" w:rsidTr="00F013ED">
        <w:trPr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14:paraId="7B224739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QI4</w:t>
            </w:r>
          </w:p>
        </w:tc>
        <w:tc>
          <w:tcPr>
            <w:tcW w:w="1764" w:type="pct"/>
            <w:vMerge w:val="restart"/>
            <w:vAlign w:val="center"/>
          </w:tcPr>
          <w:p w14:paraId="6D135814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Proportion of stage I-II breast cancer patients who underwent breast-conserving surgery</w:t>
            </w:r>
          </w:p>
        </w:tc>
        <w:tc>
          <w:tcPr>
            <w:tcW w:w="250" w:type="pct"/>
            <w:vAlign w:val="center"/>
          </w:tcPr>
          <w:p w14:paraId="1A26F992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58" w:type="pct"/>
            <w:vAlign w:val="center"/>
          </w:tcPr>
          <w:p w14:paraId="644104B8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who received breast-conserving surgery</w:t>
            </w:r>
          </w:p>
        </w:tc>
      </w:tr>
      <w:tr w:rsidR="00780A39" w:rsidRPr="00AF0C99" w14:paraId="2A4C2C41" w14:textId="77777777" w:rsidTr="00F013ED">
        <w:trPr>
          <w:trHeight w:val="340"/>
          <w:jc w:val="center"/>
        </w:trPr>
        <w:tc>
          <w:tcPr>
            <w:tcW w:w="628" w:type="pct"/>
            <w:vMerge/>
            <w:vAlign w:val="center"/>
          </w:tcPr>
          <w:p w14:paraId="2CCD0083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64" w:type="pct"/>
            <w:vMerge/>
            <w:vAlign w:val="center"/>
          </w:tcPr>
          <w:p w14:paraId="4F997E33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14:paraId="4E8B57D9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358" w:type="pct"/>
            <w:vAlign w:val="center"/>
          </w:tcPr>
          <w:p w14:paraId="52B5FA32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with stage I-II breast cancer</w:t>
            </w:r>
          </w:p>
        </w:tc>
      </w:tr>
      <w:tr w:rsidR="00780A39" w:rsidRPr="00AF0C99" w14:paraId="3E616B20" w14:textId="77777777" w:rsidTr="00F013ED">
        <w:trPr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14:paraId="474A7628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QI5</w:t>
            </w:r>
          </w:p>
        </w:tc>
        <w:tc>
          <w:tcPr>
            <w:tcW w:w="1764" w:type="pct"/>
            <w:vMerge w:val="restart"/>
            <w:vAlign w:val="center"/>
          </w:tcPr>
          <w:p w14:paraId="0EA3AD62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2" w:name="OLE_LINK4"/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Proportion of breast cancer patients who received sentinel lymph nodes biopsy</w:t>
            </w:r>
            <w:bookmarkEnd w:id="2"/>
          </w:p>
        </w:tc>
        <w:tc>
          <w:tcPr>
            <w:tcW w:w="250" w:type="pct"/>
            <w:vAlign w:val="center"/>
          </w:tcPr>
          <w:p w14:paraId="383F3BB4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58" w:type="pct"/>
            <w:vAlign w:val="center"/>
          </w:tcPr>
          <w:p w14:paraId="6CE23D95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Breast cancer patients who received SLNB (sentinel lymph nodes biopsy) surgery</w:t>
            </w:r>
          </w:p>
        </w:tc>
      </w:tr>
      <w:tr w:rsidR="00780A39" w:rsidRPr="00AF0C99" w14:paraId="415BE66E" w14:textId="77777777" w:rsidTr="00F013ED">
        <w:trPr>
          <w:trHeight w:val="340"/>
          <w:jc w:val="center"/>
        </w:trPr>
        <w:tc>
          <w:tcPr>
            <w:tcW w:w="628" w:type="pct"/>
            <w:vMerge/>
            <w:vAlign w:val="center"/>
          </w:tcPr>
          <w:p w14:paraId="3A5776FA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64" w:type="pct"/>
            <w:vMerge/>
            <w:vAlign w:val="center"/>
          </w:tcPr>
          <w:p w14:paraId="487C322E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14:paraId="5F9DF4FD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3" w:name="OLE_LINK5"/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  <w:bookmarkEnd w:id="3"/>
          </w:p>
        </w:tc>
        <w:tc>
          <w:tcPr>
            <w:tcW w:w="2358" w:type="pct"/>
            <w:vAlign w:val="center"/>
          </w:tcPr>
          <w:p w14:paraId="49CC656D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Breast cancer patients with tumor size less than 3cm and negative clinical examination of axillary lymph nodes</w:t>
            </w:r>
          </w:p>
        </w:tc>
      </w:tr>
      <w:tr w:rsidR="00780A39" w:rsidRPr="00AF0C99" w14:paraId="62984F19" w14:textId="77777777" w:rsidTr="00F013ED">
        <w:trPr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14:paraId="7DA3F003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QI6</w:t>
            </w:r>
          </w:p>
        </w:tc>
        <w:tc>
          <w:tcPr>
            <w:tcW w:w="1764" w:type="pct"/>
            <w:vMerge w:val="restart"/>
            <w:vAlign w:val="center"/>
          </w:tcPr>
          <w:p w14:paraId="153B8C11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Proportion of breast cancer patients who</w:t>
            </w:r>
            <w:r w:rsidRPr="00F013E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underwent breast surgery and SLNB</w:t>
            </w:r>
          </w:p>
        </w:tc>
        <w:tc>
          <w:tcPr>
            <w:tcW w:w="250" w:type="pct"/>
            <w:vAlign w:val="center"/>
          </w:tcPr>
          <w:p w14:paraId="28792E16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58" w:type="pct"/>
            <w:vAlign w:val="center"/>
          </w:tcPr>
          <w:p w14:paraId="4BE9C786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Breast cancer patients who underwent breast surgery and SLNB examination concurrently</w:t>
            </w:r>
          </w:p>
        </w:tc>
      </w:tr>
      <w:tr w:rsidR="00780A39" w:rsidRPr="00AF0C99" w14:paraId="3EF82630" w14:textId="77777777" w:rsidTr="00F013ED">
        <w:trPr>
          <w:trHeight w:val="340"/>
          <w:jc w:val="center"/>
        </w:trPr>
        <w:tc>
          <w:tcPr>
            <w:tcW w:w="628" w:type="pct"/>
            <w:vMerge/>
            <w:vAlign w:val="center"/>
          </w:tcPr>
          <w:p w14:paraId="081F4FBF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64" w:type="pct"/>
            <w:vMerge/>
            <w:vAlign w:val="center"/>
          </w:tcPr>
          <w:p w14:paraId="344307D0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14:paraId="0A8F7D99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358" w:type="pct"/>
            <w:vAlign w:val="center"/>
          </w:tcPr>
          <w:p w14:paraId="3DD2118D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Breast cancer patients who received both breast surgery and SLNB</w:t>
            </w:r>
          </w:p>
        </w:tc>
      </w:tr>
      <w:tr w:rsidR="00780A39" w:rsidRPr="00AF0C99" w14:paraId="1F6B2307" w14:textId="77777777" w:rsidTr="00F013ED">
        <w:trPr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14:paraId="50DDE2B7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QI7</w:t>
            </w:r>
          </w:p>
        </w:tc>
        <w:tc>
          <w:tcPr>
            <w:tcW w:w="1764" w:type="pct"/>
            <w:vMerge w:val="restart"/>
            <w:vAlign w:val="center"/>
          </w:tcPr>
          <w:p w14:paraId="6B4F7A2B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Proportion of breast cancer patients treated by trastuzumab in whom heart function was monitored every three months</w:t>
            </w:r>
          </w:p>
        </w:tc>
        <w:tc>
          <w:tcPr>
            <w:tcW w:w="250" w:type="pct"/>
            <w:vAlign w:val="center"/>
          </w:tcPr>
          <w:p w14:paraId="630EAED7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58" w:type="pct"/>
            <w:vAlign w:val="center"/>
          </w:tcPr>
          <w:p w14:paraId="45566B9C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Breast cancer patients in whom heart function was monitored every three months</w:t>
            </w:r>
          </w:p>
        </w:tc>
      </w:tr>
      <w:tr w:rsidR="00780A39" w:rsidRPr="00AF0C99" w14:paraId="1F03F88D" w14:textId="77777777" w:rsidTr="00F013ED">
        <w:trPr>
          <w:trHeight w:val="340"/>
          <w:jc w:val="center"/>
        </w:trPr>
        <w:tc>
          <w:tcPr>
            <w:tcW w:w="628" w:type="pct"/>
            <w:vMerge/>
            <w:vAlign w:val="center"/>
          </w:tcPr>
          <w:p w14:paraId="6C2B97D6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64" w:type="pct"/>
            <w:vMerge/>
            <w:vAlign w:val="center"/>
          </w:tcPr>
          <w:p w14:paraId="5F6CD3D8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14:paraId="6D07DCE8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358" w:type="pct"/>
            <w:vAlign w:val="center"/>
          </w:tcPr>
          <w:p w14:paraId="61B2AF82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Breast cancer patients who were treated by trastuzumab treatment</w:t>
            </w:r>
          </w:p>
        </w:tc>
      </w:tr>
      <w:tr w:rsidR="00780A39" w:rsidRPr="00AF0C99" w14:paraId="251C320D" w14:textId="77777777" w:rsidTr="00F013ED">
        <w:trPr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14:paraId="76630965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QI8</w:t>
            </w:r>
          </w:p>
        </w:tc>
        <w:tc>
          <w:tcPr>
            <w:tcW w:w="1764" w:type="pct"/>
            <w:vMerge w:val="restart"/>
            <w:vAlign w:val="center"/>
          </w:tcPr>
          <w:p w14:paraId="506C4F2B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Proportion of breast cancer patients who received tamoxifen or aromatase inhibitor treatment</w:t>
            </w:r>
          </w:p>
        </w:tc>
        <w:tc>
          <w:tcPr>
            <w:tcW w:w="250" w:type="pct"/>
            <w:vAlign w:val="center"/>
          </w:tcPr>
          <w:p w14:paraId="6625F89D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58" w:type="pct"/>
            <w:vAlign w:val="center"/>
          </w:tcPr>
          <w:p w14:paraId="59BF90A0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who were administrated tamoxifen or aromatase inhibitor treatment</w:t>
            </w:r>
          </w:p>
        </w:tc>
      </w:tr>
      <w:tr w:rsidR="00780A39" w:rsidRPr="00AF0C99" w14:paraId="36CDC716" w14:textId="77777777" w:rsidTr="00F013ED">
        <w:trPr>
          <w:trHeight w:val="340"/>
          <w:jc w:val="center"/>
        </w:trPr>
        <w:tc>
          <w:tcPr>
            <w:tcW w:w="628" w:type="pct"/>
            <w:vMerge/>
            <w:vAlign w:val="center"/>
          </w:tcPr>
          <w:p w14:paraId="45B8F417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64" w:type="pct"/>
            <w:vMerge/>
            <w:vAlign w:val="center"/>
          </w:tcPr>
          <w:p w14:paraId="6378E840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14:paraId="3072CD8C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358" w:type="pct"/>
            <w:vAlign w:val="center"/>
          </w:tcPr>
          <w:p w14:paraId="3F4435B9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Breast cancer patients with positive ER or PR, tumor size</w:t>
            </w:r>
            <w:r w:rsidRPr="00F013E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≥</w:t>
            </w: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1cm or positive</w:t>
            </w:r>
          </w:p>
        </w:tc>
      </w:tr>
      <w:tr w:rsidR="00780A39" w:rsidRPr="00AF0C99" w14:paraId="00AEDD4E" w14:textId="77777777" w:rsidTr="00F013ED">
        <w:trPr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14:paraId="0F5B5868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QI9</w:t>
            </w:r>
          </w:p>
        </w:tc>
        <w:tc>
          <w:tcPr>
            <w:tcW w:w="1764" w:type="pct"/>
            <w:vMerge w:val="restart"/>
            <w:vAlign w:val="center"/>
          </w:tcPr>
          <w:p w14:paraId="3E5B5736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Proportion of breast cancer patients with pathology report stated the category of primary tumor and regional lymph nodes with histologic grade</w:t>
            </w:r>
          </w:p>
        </w:tc>
        <w:tc>
          <w:tcPr>
            <w:tcW w:w="250" w:type="pct"/>
            <w:vAlign w:val="center"/>
          </w:tcPr>
          <w:p w14:paraId="512D8CC1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58" w:type="pct"/>
            <w:vAlign w:val="center"/>
          </w:tcPr>
          <w:p w14:paraId="5B7DB5A8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whose pathology report states the category of primary tumor and regional lymph nodes with histologic grade</w:t>
            </w:r>
          </w:p>
        </w:tc>
      </w:tr>
      <w:tr w:rsidR="00780A39" w:rsidRPr="00AF0C99" w14:paraId="1CD8CAF8" w14:textId="77777777" w:rsidTr="00F013ED">
        <w:trPr>
          <w:trHeight w:val="340"/>
          <w:jc w:val="center"/>
        </w:trPr>
        <w:tc>
          <w:tcPr>
            <w:tcW w:w="628" w:type="pct"/>
            <w:vMerge/>
            <w:vAlign w:val="center"/>
          </w:tcPr>
          <w:p w14:paraId="4F6CA2B2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64" w:type="pct"/>
            <w:vMerge/>
            <w:vAlign w:val="center"/>
          </w:tcPr>
          <w:p w14:paraId="15AA6AB3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14:paraId="45CC0069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358" w:type="pct"/>
            <w:vAlign w:val="center"/>
          </w:tcPr>
          <w:p w14:paraId="3E389C81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with a new diagnosis of I-III invasive breast cancer who have received surgical treatment</w:t>
            </w:r>
          </w:p>
        </w:tc>
      </w:tr>
      <w:tr w:rsidR="00780A39" w:rsidRPr="00AF0C99" w14:paraId="492FBB4B" w14:textId="77777777" w:rsidTr="00F013ED">
        <w:trPr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14:paraId="43EF5839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QI10</w:t>
            </w:r>
          </w:p>
        </w:tc>
        <w:tc>
          <w:tcPr>
            <w:tcW w:w="1764" w:type="pct"/>
            <w:vMerge w:val="restart"/>
            <w:vAlign w:val="center"/>
          </w:tcPr>
          <w:p w14:paraId="50184B29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Proportion of breast cancer patients with hormone receptor status of the tumor stated in pathology repor</w:t>
            </w:r>
            <w:r w:rsidRPr="00F013E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250" w:type="pct"/>
            <w:vAlign w:val="center"/>
          </w:tcPr>
          <w:p w14:paraId="4F085689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58" w:type="pct"/>
            <w:vAlign w:val="center"/>
          </w:tcPr>
          <w:p w14:paraId="0DEC9C2A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with hormone receptor status of tumor stated in pathology report</w:t>
            </w:r>
          </w:p>
        </w:tc>
      </w:tr>
      <w:tr w:rsidR="00780A39" w:rsidRPr="00AF0C99" w14:paraId="67EED75F" w14:textId="77777777" w:rsidTr="00F013ED">
        <w:trPr>
          <w:trHeight w:val="340"/>
          <w:jc w:val="center"/>
        </w:trPr>
        <w:tc>
          <w:tcPr>
            <w:tcW w:w="628" w:type="pct"/>
            <w:vMerge/>
            <w:vAlign w:val="center"/>
          </w:tcPr>
          <w:p w14:paraId="47310363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64" w:type="pct"/>
            <w:vMerge/>
            <w:vAlign w:val="center"/>
          </w:tcPr>
          <w:p w14:paraId="3E5BD052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14:paraId="6353AE15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358" w:type="pct"/>
            <w:vAlign w:val="center"/>
          </w:tcPr>
          <w:p w14:paraId="1C4A42BC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with a diagnosis of invasive I-III breast cancer and had breast tumor removed</w:t>
            </w:r>
          </w:p>
        </w:tc>
      </w:tr>
      <w:tr w:rsidR="00780A39" w:rsidRPr="00AF0C99" w14:paraId="3B349C4E" w14:textId="77777777" w:rsidTr="00F013ED">
        <w:trPr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14:paraId="50C956BD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QI11</w:t>
            </w:r>
          </w:p>
        </w:tc>
        <w:tc>
          <w:tcPr>
            <w:tcW w:w="1764" w:type="pct"/>
            <w:vMerge w:val="restart"/>
            <w:vAlign w:val="center"/>
          </w:tcPr>
          <w:p w14:paraId="57117AD5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Proportion of breast cancer patients with tumor size documented in pathology report</w:t>
            </w:r>
          </w:p>
        </w:tc>
        <w:tc>
          <w:tcPr>
            <w:tcW w:w="250" w:type="pct"/>
            <w:vAlign w:val="center"/>
          </w:tcPr>
          <w:p w14:paraId="54A225FA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58" w:type="pct"/>
            <w:vAlign w:val="center"/>
          </w:tcPr>
          <w:p w14:paraId="6B97D789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with pathology reports documented size of tumor</w:t>
            </w:r>
          </w:p>
        </w:tc>
      </w:tr>
      <w:tr w:rsidR="00780A39" w:rsidRPr="00AF0C99" w14:paraId="1144F160" w14:textId="77777777" w:rsidTr="00F013ED">
        <w:trPr>
          <w:trHeight w:val="340"/>
          <w:jc w:val="center"/>
        </w:trPr>
        <w:tc>
          <w:tcPr>
            <w:tcW w:w="628" w:type="pct"/>
            <w:vMerge/>
            <w:tcBorders>
              <w:bottom w:val="nil"/>
            </w:tcBorders>
            <w:vAlign w:val="center"/>
          </w:tcPr>
          <w:p w14:paraId="6C5D27C9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64" w:type="pct"/>
            <w:vMerge/>
            <w:tcBorders>
              <w:bottom w:val="nil"/>
            </w:tcBorders>
            <w:vAlign w:val="center"/>
          </w:tcPr>
          <w:p w14:paraId="4CCC46DA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tcBorders>
              <w:bottom w:val="nil"/>
            </w:tcBorders>
            <w:vAlign w:val="center"/>
          </w:tcPr>
          <w:p w14:paraId="53C6E459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358" w:type="pct"/>
            <w:tcBorders>
              <w:bottom w:val="nil"/>
            </w:tcBorders>
            <w:vAlign w:val="center"/>
          </w:tcPr>
          <w:p w14:paraId="10330B4B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4" w:name="OLE_LINK10"/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with a diagnosis of I-III breast cancer and had breast tumor removed</w:t>
            </w:r>
            <w:bookmarkEnd w:id="4"/>
          </w:p>
        </w:tc>
      </w:tr>
      <w:tr w:rsidR="00780A39" w:rsidRPr="00AF0C99" w14:paraId="1BC17F38" w14:textId="77777777" w:rsidTr="00F013ED">
        <w:trPr>
          <w:trHeight w:val="340"/>
          <w:jc w:val="center"/>
        </w:trPr>
        <w:tc>
          <w:tcPr>
            <w:tcW w:w="628" w:type="pct"/>
            <w:vMerge w:val="restart"/>
            <w:tcBorders>
              <w:top w:val="nil"/>
              <w:bottom w:val="nil"/>
            </w:tcBorders>
            <w:vAlign w:val="center"/>
          </w:tcPr>
          <w:p w14:paraId="1CEC9B09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O</w:t>
            </w: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utcome </w:t>
            </w:r>
            <w:r w:rsidRPr="00F013E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</w:t>
            </w: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ndicator</w:t>
            </w:r>
          </w:p>
        </w:tc>
        <w:tc>
          <w:tcPr>
            <w:tcW w:w="1764" w:type="pct"/>
            <w:vMerge w:val="restart"/>
            <w:tcBorders>
              <w:top w:val="nil"/>
              <w:bottom w:val="nil"/>
            </w:tcBorders>
            <w:vAlign w:val="center"/>
          </w:tcPr>
          <w:p w14:paraId="3C0473B9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The proportion of patients with postoperative complications</w:t>
            </w:r>
          </w:p>
        </w:tc>
        <w:tc>
          <w:tcPr>
            <w:tcW w:w="250" w:type="pct"/>
            <w:tcBorders>
              <w:top w:val="nil"/>
              <w:bottom w:val="nil"/>
            </w:tcBorders>
            <w:vAlign w:val="center"/>
          </w:tcPr>
          <w:p w14:paraId="11D856AD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58" w:type="pct"/>
            <w:tcBorders>
              <w:top w:val="nil"/>
              <w:bottom w:val="nil"/>
            </w:tcBorders>
            <w:vAlign w:val="center"/>
          </w:tcPr>
          <w:p w14:paraId="3381F5DA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Postoperative complications such as incision bleeding, flap necrosis, flap fluid accumulation, upper limb edema and upper arm swelling occurred</w:t>
            </w:r>
          </w:p>
        </w:tc>
      </w:tr>
      <w:tr w:rsidR="00780A39" w:rsidRPr="00AF0C99" w14:paraId="54BABEB8" w14:textId="77777777" w:rsidTr="00F013ED">
        <w:trPr>
          <w:trHeight w:val="340"/>
          <w:jc w:val="center"/>
        </w:trPr>
        <w:tc>
          <w:tcPr>
            <w:tcW w:w="628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693A44B5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64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B6ACAE3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bottom w:val="single" w:sz="8" w:space="0" w:color="auto"/>
            </w:tcBorders>
            <w:vAlign w:val="center"/>
          </w:tcPr>
          <w:p w14:paraId="4AF65F53" w14:textId="77777777" w:rsidR="00780A39" w:rsidRPr="00F013ED" w:rsidRDefault="00780A39" w:rsidP="00F013ED">
            <w:pPr>
              <w:snapToGrid w:val="0"/>
              <w:ind w:rightChars="12" w:right="2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358" w:type="pct"/>
            <w:tcBorders>
              <w:top w:val="nil"/>
              <w:bottom w:val="single" w:sz="8" w:space="0" w:color="auto"/>
            </w:tcBorders>
            <w:vAlign w:val="center"/>
          </w:tcPr>
          <w:p w14:paraId="68B3CC8A" w14:textId="77777777" w:rsidR="00780A39" w:rsidRPr="00F013ED" w:rsidRDefault="00780A39" w:rsidP="00F013ED">
            <w:pPr>
              <w:snapToGrid w:val="0"/>
              <w:ind w:rightChars="12" w:right="25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013ED">
              <w:rPr>
                <w:rFonts w:ascii="Times New Roman" w:eastAsia="宋体" w:hAnsi="Times New Roman" w:cs="Times New Roman"/>
                <w:sz w:val="18"/>
                <w:szCs w:val="18"/>
              </w:rPr>
              <w:t>Patients with a diagnosis of I-III breast cancer and had breast tumor removed</w:t>
            </w:r>
          </w:p>
        </w:tc>
      </w:tr>
    </w:tbl>
    <w:p w14:paraId="5898EADA" w14:textId="0CF2D569" w:rsidR="00780A39" w:rsidRDefault="00780A39" w:rsidP="00780A39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  <w:r w:rsidRPr="009A5977">
        <w:rPr>
          <w:rFonts w:ascii="Times New Roman" w:eastAsia="宋体" w:hAnsi="Times New Roman" w:cs="Times New Roman" w:hint="eastAsia"/>
          <w:sz w:val="18"/>
          <w:szCs w:val="18"/>
        </w:rPr>
        <w:t>*N:</w:t>
      </w:r>
      <w:r w:rsidRPr="009A5977">
        <w:rPr>
          <w:rFonts w:ascii="Times New Roman" w:eastAsia="宋体" w:hAnsi="Times New Roman" w:cs="Times New Roman"/>
          <w:sz w:val="18"/>
          <w:szCs w:val="18"/>
        </w:rPr>
        <w:t xml:space="preserve"> Numerator</w:t>
      </w:r>
      <w:r w:rsidRPr="009A5977">
        <w:rPr>
          <w:rFonts w:ascii="Times New Roman" w:eastAsia="宋体" w:hAnsi="Times New Roman" w:cs="Times New Roman" w:hint="eastAsia"/>
          <w:sz w:val="18"/>
          <w:szCs w:val="18"/>
        </w:rPr>
        <w:t>; D:</w:t>
      </w:r>
      <w:r w:rsidRPr="009A5977">
        <w:rPr>
          <w:rFonts w:ascii="Times New Roman" w:eastAsia="宋体" w:hAnsi="Times New Roman" w:cs="Times New Roman"/>
          <w:sz w:val="18"/>
          <w:szCs w:val="18"/>
        </w:rPr>
        <w:t xml:space="preserve"> Denominator</w:t>
      </w:r>
    </w:p>
    <w:p w14:paraId="3350B59A" w14:textId="77777777" w:rsidR="00A120DD" w:rsidRPr="00780A39" w:rsidRDefault="00A120DD" w:rsidP="00780A39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</w:p>
    <w:p w14:paraId="1450EB80" w14:textId="6DB666AC" w:rsidR="00C2348C" w:rsidRDefault="00C2348C" w:rsidP="00F013ED">
      <w:pPr>
        <w:spacing w:beforeLines="50" w:before="156"/>
        <w:jc w:val="left"/>
        <w:rPr>
          <w:rFonts w:ascii="Times New Roman" w:hAnsi="Times New Roman" w:cs="Times New Roman"/>
          <w:szCs w:val="21"/>
        </w:rPr>
      </w:pPr>
      <w:r w:rsidRPr="00C2348C">
        <w:rPr>
          <w:rFonts w:ascii="Times New Roman" w:hAnsi="Times New Roman" w:cs="Times New Roman" w:hint="eastAsia"/>
          <w:b/>
          <w:bCs/>
          <w:szCs w:val="21"/>
        </w:rPr>
        <w:lastRenderedPageBreak/>
        <w:t>e</w:t>
      </w:r>
      <w:r w:rsidRPr="00C2348C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780A39">
        <w:rPr>
          <w:rFonts w:ascii="Times New Roman" w:hAnsi="Times New Roman" w:cs="Times New Roman" w:hint="eastAsia"/>
          <w:b/>
          <w:bCs/>
          <w:szCs w:val="21"/>
        </w:rPr>
        <w:t>2</w:t>
      </w:r>
      <w:r w:rsidR="00780A39">
        <w:rPr>
          <w:rFonts w:ascii="Times New Roman" w:hAnsi="Times New Roman" w:cs="Times New Roman" w:hint="eastAsia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Adherence Rates of Quality Indicators and Hospital Variation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661"/>
        <w:gridCol w:w="830"/>
        <w:gridCol w:w="830"/>
        <w:gridCol w:w="830"/>
        <w:gridCol w:w="831"/>
        <w:gridCol w:w="831"/>
        <w:gridCol w:w="831"/>
        <w:gridCol w:w="831"/>
        <w:gridCol w:w="831"/>
      </w:tblGrid>
      <w:tr w:rsidR="00C2348C" w:rsidRPr="00C2348C" w14:paraId="551EF32B" w14:textId="77777777" w:rsidTr="00F013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top w:val="single" w:sz="8" w:space="0" w:color="auto"/>
            </w:tcBorders>
            <w:noWrap/>
            <w:hideMark/>
          </w:tcPr>
          <w:p w14:paraId="05F76B67" w14:textId="77777777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536" w:type="pct"/>
            <w:tcBorders>
              <w:top w:val="single" w:sz="8" w:space="0" w:color="auto"/>
            </w:tcBorders>
            <w:noWrap/>
            <w:hideMark/>
          </w:tcPr>
          <w:p w14:paraId="7FDFF7C6" w14:textId="77777777" w:rsidR="00C2348C" w:rsidRPr="00C2348C" w:rsidRDefault="00C2348C" w:rsidP="00C2348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536" w:type="pct"/>
            <w:tcBorders>
              <w:top w:val="single" w:sz="8" w:space="0" w:color="auto"/>
            </w:tcBorders>
            <w:noWrap/>
            <w:hideMark/>
          </w:tcPr>
          <w:p w14:paraId="4E317152" w14:textId="77777777" w:rsidR="00C2348C" w:rsidRPr="00C2348C" w:rsidRDefault="00C2348C" w:rsidP="00C2348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StdDev</w:t>
            </w:r>
          </w:p>
        </w:tc>
        <w:tc>
          <w:tcPr>
            <w:tcW w:w="536" w:type="pct"/>
            <w:tcBorders>
              <w:top w:val="single" w:sz="8" w:space="0" w:color="auto"/>
            </w:tcBorders>
            <w:noWrap/>
            <w:hideMark/>
          </w:tcPr>
          <w:p w14:paraId="3D8DD4BB" w14:textId="77777777" w:rsidR="00C2348C" w:rsidRPr="00C2348C" w:rsidRDefault="00C2348C" w:rsidP="00C2348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536" w:type="pct"/>
            <w:tcBorders>
              <w:top w:val="single" w:sz="8" w:space="0" w:color="auto"/>
            </w:tcBorders>
            <w:noWrap/>
            <w:hideMark/>
          </w:tcPr>
          <w:p w14:paraId="40E5CA20" w14:textId="77777777" w:rsidR="00C2348C" w:rsidRPr="00C2348C" w:rsidRDefault="00C2348C" w:rsidP="00C2348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Min</w:t>
            </w:r>
          </w:p>
        </w:tc>
        <w:tc>
          <w:tcPr>
            <w:tcW w:w="536" w:type="pct"/>
            <w:tcBorders>
              <w:top w:val="single" w:sz="8" w:space="0" w:color="auto"/>
            </w:tcBorders>
            <w:noWrap/>
            <w:hideMark/>
          </w:tcPr>
          <w:p w14:paraId="4A88127A" w14:textId="77777777" w:rsidR="00C2348C" w:rsidRPr="00C2348C" w:rsidRDefault="00C2348C" w:rsidP="00C2348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P25</w:t>
            </w:r>
          </w:p>
        </w:tc>
        <w:tc>
          <w:tcPr>
            <w:tcW w:w="536" w:type="pct"/>
            <w:tcBorders>
              <w:top w:val="single" w:sz="8" w:space="0" w:color="auto"/>
            </w:tcBorders>
            <w:noWrap/>
            <w:hideMark/>
          </w:tcPr>
          <w:p w14:paraId="6139BEE4" w14:textId="77777777" w:rsidR="00C2348C" w:rsidRPr="00C2348C" w:rsidRDefault="00C2348C" w:rsidP="00C2348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P75</w:t>
            </w:r>
          </w:p>
        </w:tc>
        <w:tc>
          <w:tcPr>
            <w:tcW w:w="536" w:type="pct"/>
            <w:tcBorders>
              <w:top w:val="single" w:sz="8" w:space="0" w:color="auto"/>
            </w:tcBorders>
            <w:noWrap/>
            <w:hideMark/>
          </w:tcPr>
          <w:p w14:paraId="7F5D123B" w14:textId="77777777" w:rsidR="00C2348C" w:rsidRPr="00C2348C" w:rsidRDefault="00C2348C" w:rsidP="00C2348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Max</w:t>
            </w:r>
          </w:p>
        </w:tc>
        <w:tc>
          <w:tcPr>
            <w:tcW w:w="536" w:type="pct"/>
            <w:tcBorders>
              <w:top w:val="single" w:sz="8" w:space="0" w:color="auto"/>
            </w:tcBorders>
            <w:noWrap/>
            <w:hideMark/>
          </w:tcPr>
          <w:p w14:paraId="309166BB" w14:textId="77777777" w:rsidR="00C2348C" w:rsidRPr="00C2348C" w:rsidRDefault="00C2348C" w:rsidP="00C2348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Range</w:t>
            </w:r>
          </w:p>
        </w:tc>
      </w:tr>
      <w:tr w:rsidR="00C2348C" w:rsidRPr="00C2348C" w14:paraId="734DCA4C" w14:textId="77777777" w:rsidTr="001E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bottom w:val="nil"/>
            </w:tcBorders>
            <w:noWrap/>
            <w:hideMark/>
          </w:tcPr>
          <w:p w14:paraId="6455756B" w14:textId="47D6496F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QI1</w:t>
            </w:r>
          </w:p>
        </w:tc>
        <w:tc>
          <w:tcPr>
            <w:tcW w:w="536" w:type="pct"/>
            <w:tcBorders>
              <w:bottom w:val="nil"/>
            </w:tcBorders>
            <w:noWrap/>
            <w:hideMark/>
          </w:tcPr>
          <w:p w14:paraId="3D8686A1" w14:textId="7F910840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60.086</w:t>
            </w:r>
          </w:p>
        </w:tc>
        <w:tc>
          <w:tcPr>
            <w:tcW w:w="536" w:type="pct"/>
            <w:tcBorders>
              <w:bottom w:val="nil"/>
            </w:tcBorders>
            <w:noWrap/>
            <w:hideMark/>
          </w:tcPr>
          <w:p w14:paraId="6CE79285" w14:textId="79F66A18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27.888</w:t>
            </w:r>
          </w:p>
        </w:tc>
        <w:tc>
          <w:tcPr>
            <w:tcW w:w="536" w:type="pct"/>
            <w:tcBorders>
              <w:bottom w:val="nil"/>
            </w:tcBorders>
            <w:noWrap/>
            <w:hideMark/>
          </w:tcPr>
          <w:p w14:paraId="5FB4DA1B" w14:textId="7D511BD1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64.085</w:t>
            </w:r>
          </w:p>
        </w:tc>
        <w:tc>
          <w:tcPr>
            <w:tcW w:w="536" w:type="pct"/>
            <w:tcBorders>
              <w:bottom w:val="nil"/>
            </w:tcBorders>
            <w:noWrap/>
            <w:hideMark/>
          </w:tcPr>
          <w:p w14:paraId="4396BD33" w14:textId="2BA51FEE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36" w:type="pct"/>
            <w:tcBorders>
              <w:bottom w:val="nil"/>
            </w:tcBorders>
            <w:noWrap/>
            <w:hideMark/>
          </w:tcPr>
          <w:p w14:paraId="08E522E0" w14:textId="78C6C2CD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38.667</w:t>
            </w:r>
          </w:p>
        </w:tc>
        <w:tc>
          <w:tcPr>
            <w:tcW w:w="536" w:type="pct"/>
            <w:tcBorders>
              <w:bottom w:val="nil"/>
            </w:tcBorders>
            <w:noWrap/>
            <w:hideMark/>
          </w:tcPr>
          <w:p w14:paraId="59779A94" w14:textId="7C2C2E67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83.333</w:t>
            </w:r>
          </w:p>
        </w:tc>
        <w:tc>
          <w:tcPr>
            <w:tcW w:w="536" w:type="pct"/>
            <w:tcBorders>
              <w:bottom w:val="nil"/>
            </w:tcBorders>
            <w:noWrap/>
            <w:hideMark/>
          </w:tcPr>
          <w:p w14:paraId="5C720A3D" w14:textId="45FD100A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99.659</w:t>
            </w:r>
          </w:p>
        </w:tc>
        <w:tc>
          <w:tcPr>
            <w:tcW w:w="536" w:type="pct"/>
            <w:tcBorders>
              <w:bottom w:val="nil"/>
            </w:tcBorders>
            <w:noWrap/>
            <w:hideMark/>
          </w:tcPr>
          <w:p w14:paraId="1DFFA446" w14:textId="185D3BC2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99.659</w:t>
            </w:r>
          </w:p>
        </w:tc>
      </w:tr>
      <w:tr w:rsidR="00C2348C" w:rsidRPr="00C2348C" w14:paraId="51F75BCE" w14:textId="77777777" w:rsidTr="001E217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top w:val="nil"/>
              <w:bottom w:val="nil"/>
            </w:tcBorders>
            <w:noWrap/>
            <w:hideMark/>
          </w:tcPr>
          <w:p w14:paraId="0A56C0A5" w14:textId="1CDA66D3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QI2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3D29374F" w14:textId="4BCA3913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85.751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713BA278" w14:textId="27FC5F34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19.177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760A5CA1" w14:textId="17DD0471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93.976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7055CC5C" w14:textId="15001F85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7.581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268DCD46" w14:textId="40C5FB32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83.019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2908C6FB" w14:textId="06428AC1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97.753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0C648C6" w14:textId="41D1BC92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1E2B99B" w14:textId="263BF832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92.419</w:t>
            </w:r>
          </w:p>
        </w:tc>
      </w:tr>
      <w:tr w:rsidR="00C2348C" w:rsidRPr="00C2348C" w14:paraId="00B33939" w14:textId="77777777" w:rsidTr="001E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top w:val="nil"/>
              <w:bottom w:val="nil"/>
            </w:tcBorders>
            <w:noWrap/>
            <w:hideMark/>
          </w:tcPr>
          <w:p w14:paraId="1989C847" w14:textId="1C43832D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QI3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5D5087C" w14:textId="65AD50C2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83.567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8B35BD4" w14:textId="44FFFDF7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20.258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1854F36B" w14:textId="2BBEBE41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92.254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AD958FB" w14:textId="4F958F11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7.401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F377E9B" w14:textId="379E55A5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79.153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F00EFF3" w14:textId="504865F2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97.030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12022FD9" w14:textId="047BC7F0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78F240F7" w14:textId="1BB1FF8E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92.599</w:t>
            </w:r>
          </w:p>
        </w:tc>
      </w:tr>
      <w:tr w:rsidR="00C2348C" w:rsidRPr="00C2348C" w14:paraId="15CB6629" w14:textId="77777777" w:rsidTr="001E217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top w:val="nil"/>
              <w:bottom w:val="nil"/>
            </w:tcBorders>
            <w:noWrap/>
            <w:hideMark/>
          </w:tcPr>
          <w:p w14:paraId="76A6EBFD" w14:textId="06D458EC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QI4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7CB83029" w14:textId="16A5BB5D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17.352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11C85D0" w14:textId="6F118AEA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14.146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D492DC4" w14:textId="0F0B32B0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13.483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03FEB364" w14:textId="3BA45132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D34AB7D" w14:textId="29CBBB0A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6.846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8A3C209" w14:textId="07D33A3D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23.666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D57B520" w14:textId="4D6DF433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83.678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38CC6F02" w14:textId="0E3E31A8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83.678</w:t>
            </w:r>
          </w:p>
        </w:tc>
      </w:tr>
      <w:tr w:rsidR="00C2348C" w:rsidRPr="00C2348C" w14:paraId="17230633" w14:textId="77777777" w:rsidTr="001E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top w:val="nil"/>
              <w:bottom w:val="nil"/>
            </w:tcBorders>
            <w:noWrap/>
            <w:hideMark/>
          </w:tcPr>
          <w:p w14:paraId="371B02D8" w14:textId="6840DCF4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QI5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2248EB0B" w14:textId="0303A771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31.578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26DBEEA" w14:textId="3E3B5060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24.811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DCE4F67" w14:textId="048740CF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26.254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7E0112F9" w14:textId="53CDE5B8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0A41E959" w14:textId="1CF2973E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12.162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1DA1BDCC" w14:textId="21A0DF5F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44.610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0FAF301" w14:textId="33A5FBAE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16495A89" w14:textId="01B51696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100.000</w:t>
            </w:r>
          </w:p>
        </w:tc>
      </w:tr>
      <w:tr w:rsidR="00C2348C" w:rsidRPr="00C2348C" w14:paraId="63DC26BC" w14:textId="77777777" w:rsidTr="001E217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top w:val="nil"/>
              <w:bottom w:val="nil"/>
            </w:tcBorders>
            <w:noWrap/>
            <w:hideMark/>
          </w:tcPr>
          <w:p w14:paraId="35B1907E" w14:textId="677A7E61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QI6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780113ED" w14:textId="1B3019D6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21.493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C66695A" w14:textId="1F5BFA11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20.399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CFEC0B9" w14:textId="2695280F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15.385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68DE317" w14:textId="432E7EAC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C4DD1A8" w14:textId="69BE614D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7.407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070EDE0" w14:textId="47A7B87D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28.117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7628E07" w14:textId="085D745F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99.516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AEF92B6" w14:textId="044615A4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99.516</w:t>
            </w:r>
          </w:p>
        </w:tc>
      </w:tr>
      <w:tr w:rsidR="00C2348C" w:rsidRPr="00C2348C" w14:paraId="47EF3CCE" w14:textId="77777777" w:rsidTr="001E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top w:val="nil"/>
              <w:bottom w:val="nil"/>
            </w:tcBorders>
            <w:noWrap/>
            <w:hideMark/>
          </w:tcPr>
          <w:p w14:paraId="67671ED1" w14:textId="5390676C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QI7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7A16356D" w14:textId="0FB8DFBD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48.730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10CA051" w14:textId="426C211D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30.085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79BF323" w14:textId="493F2C01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46.761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917DC84" w14:textId="1787ED5F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03739597" w14:textId="54AA022B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22.581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043E68F9" w14:textId="19220F5A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94DC4E3" w14:textId="4AB3C078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7872DA7" w14:textId="6CEB8E16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100.000</w:t>
            </w:r>
          </w:p>
        </w:tc>
      </w:tr>
      <w:tr w:rsidR="00C2348C" w:rsidRPr="00C2348C" w14:paraId="6BCD3C9F" w14:textId="77777777" w:rsidTr="001E217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top w:val="nil"/>
              <w:bottom w:val="nil"/>
            </w:tcBorders>
            <w:noWrap/>
            <w:hideMark/>
          </w:tcPr>
          <w:p w14:paraId="42E560BF" w14:textId="26216770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QI8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74BD53AE" w14:textId="23B6E1AC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66.468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1E402151" w14:textId="39FC4ABE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23.074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7923BBE" w14:textId="1ECC2AE6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72.979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9F2537A" w14:textId="19968529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107968EF" w14:textId="3E7F33F0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1CBB44BC" w14:textId="30F840F3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83.721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748A4B5" w14:textId="3EE07E0C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18E38760" w14:textId="45506F0C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100.000</w:t>
            </w:r>
          </w:p>
        </w:tc>
      </w:tr>
      <w:tr w:rsidR="00C2348C" w:rsidRPr="00C2348C" w14:paraId="5074E90D" w14:textId="77777777" w:rsidTr="001E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top w:val="nil"/>
              <w:bottom w:val="nil"/>
            </w:tcBorders>
            <w:noWrap/>
            <w:hideMark/>
          </w:tcPr>
          <w:p w14:paraId="59D62460" w14:textId="1781FCE6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QI9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073E6087" w14:textId="39C0ED49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69.840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7F09D2DC" w14:textId="395BDFC3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22.922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2D9F57F6" w14:textId="14A4184E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76.238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37B0BA73" w14:textId="7645215A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11ED9FFA" w14:textId="551D82AA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55.882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41EF742" w14:textId="682A8F18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88.215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13009D15" w14:textId="43C075AB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99.824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1996FD02" w14:textId="496EF4D1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99.824</w:t>
            </w:r>
          </w:p>
        </w:tc>
      </w:tr>
      <w:tr w:rsidR="00C2348C" w:rsidRPr="00C2348C" w14:paraId="72AFF615" w14:textId="77777777" w:rsidTr="001E217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top w:val="nil"/>
              <w:bottom w:val="nil"/>
            </w:tcBorders>
            <w:noWrap/>
            <w:hideMark/>
          </w:tcPr>
          <w:p w14:paraId="58F17B35" w14:textId="0AFDB067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QI10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3108050" w14:textId="40B2CBA5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72.205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6B1751A7" w14:textId="263B4AFD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27.087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370D77FE" w14:textId="4BB8A1C7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81.481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001B2B4E" w14:textId="05232F48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2D58FA32" w14:textId="31D9846B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56.522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983261C" w14:textId="00B9DD9C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94.077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759CF25" w14:textId="757749E3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B6CA983" w14:textId="7C5A8DB6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100.000</w:t>
            </w:r>
          </w:p>
        </w:tc>
      </w:tr>
      <w:tr w:rsidR="00C2348C" w:rsidRPr="00C2348C" w14:paraId="555E3E7C" w14:textId="77777777" w:rsidTr="00F01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top w:val="nil"/>
              <w:bottom w:val="nil"/>
            </w:tcBorders>
            <w:noWrap/>
            <w:hideMark/>
          </w:tcPr>
          <w:p w14:paraId="63806841" w14:textId="56EF7933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QI11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02C83B8" w14:textId="38FB7B6D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98.134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6C5F838" w14:textId="22BAC543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4.199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7F8D16FE" w14:textId="722E6BCF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99.668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4835E57B" w14:textId="79EAE78C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64.865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56B17C72" w14:textId="43C1CFBC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98.013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71FFF64E" w14:textId="7D4B2C18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039906D3" w14:textId="47E79BE4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536" w:type="pct"/>
            <w:tcBorders>
              <w:top w:val="nil"/>
              <w:bottom w:val="nil"/>
            </w:tcBorders>
            <w:noWrap/>
            <w:hideMark/>
          </w:tcPr>
          <w:p w14:paraId="20A78321" w14:textId="1B544762" w:rsidR="00C2348C" w:rsidRPr="00C2348C" w:rsidRDefault="00C2348C" w:rsidP="00C2348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35.135</w:t>
            </w:r>
          </w:p>
        </w:tc>
      </w:tr>
      <w:tr w:rsidR="00C2348C" w:rsidRPr="00C2348C" w14:paraId="27DC324E" w14:textId="77777777" w:rsidTr="00F013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pct"/>
            <w:tcBorders>
              <w:top w:val="nil"/>
              <w:bottom w:val="single" w:sz="8" w:space="0" w:color="auto"/>
            </w:tcBorders>
            <w:noWrap/>
            <w:hideMark/>
          </w:tcPr>
          <w:p w14:paraId="1B900F6A" w14:textId="1ADA7878" w:rsidR="00C2348C" w:rsidRPr="00C2348C" w:rsidRDefault="00C2348C" w:rsidP="00C23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2348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Outcome indicator</w:t>
            </w:r>
          </w:p>
        </w:tc>
        <w:tc>
          <w:tcPr>
            <w:tcW w:w="536" w:type="pct"/>
            <w:tcBorders>
              <w:top w:val="nil"/>
              <w:bottom w:val="single" w:sz="8" w:space="0" w:color="auto"/>
            </w:tcBorders>
            <w:noWrap/>
            <w:hideMark/>
          </w:tcPr>
          <w:p w14:paraId="00AC0C5C" w14:textId="0B432E02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1.594</w:t>
            </w:r>
          </w:p>
        </w:tc>
        <w:tc>
          <w:tcPr>
            <w:tcW w:w="536" w:type="pct"/>
            <w:tcBorders>
              <w:top w:val="nil"/>
              <w:bottom w:val="single" w:sz="8" w:space="0" w:color="auto"/>
            </w:tcBorders>
            <w:noWrap/>
            <w:hideMark/>
          </w:tcPr>
          <w:p w14:paraId="6362D766" w14:textId="2B48A712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4.404</w:t>
            </w:r>
          </w:p>
        </w:tc>
        <w:tc>
          <w:tcPr>
            <w:tcW w:w="536" w:type="pct"/>
            <w:tcBorders>
              <w:top w:val="nil"/>
              <w:bottom w:val="single" w:sz="8" w:space="0" w:color="auto"/>
            </w:tcBorders>
            <w:noWrap/>
            <w:hideMark/>
          </w:tcPr>
          <w:p w14:paraId="4DE2B040" w14:textId="1D3E14B0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36" w:type="pct"/>
            <w:tcBorders>
              <w:top w:val="nil"/>
              <w:bottom w:val="single" w:sz="8" w:space="0" w:color="auto"/>
            </w:tcBorders>
            <w:noWrap/>
            <w:hideMark/>
          </w:tcPr>
          <w:p w14:paraId="1A1A5ED5" w14:textId="71AC71C9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36" w:type="pct"/>
            <w:tcBorders>
              <w:top w:val="nil"/>
              <w:bottom w:val="single" w:sz="8" w:space="0" w:color="auto"/>
            </w:tcBorders>
            <w:noWrap/>
            <w:hideMark/>
          </w:tcPr>
          <w:p w14:paraId="00B4CB14" w14:textId="7F9621A7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36" w:type="pct"/>
            <w:tcBorders>
              <w:top w:val="nil"/>
              <w:bottom w:val="single" w:sz="8" w:space="0" w:color="auto"/>
            </w:tcBorders>
            <w:noWrap/>
            <w:hideMark/>
          </w:tcPr>
          <w:p w14:paraId="32DF6C7F" w14:textId="3D960AC4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1.238</w:t>
            </w:r>
          </w:p>
        </w:tc>
        <w:tc>
          <w:tcPr>
            <w:tcW w:w="536" w:type="pct"/>
            <w:tcBorders>
              <w:top w:val="nil"/>
              <w:bottom w:val="single" w:sz="8" w:space="0" w:color="auto"/>
            </w:tcBorders>
            <w:noWrap/>
            <w:hideMark/>
          </w:tcPr>
          <w:p w14:paraId="405220C0" w14:textId="4027C7DC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38.308</w:t>
            </w:r>
          </w:p>
        </w:tc>
        <w:tc>
          <w:tcPr>
            <w:tcW w:w="536" w:type="pct"/>
            <w:tcBorders>
              <w:top w:val="nil"/>
              <w:bottom w:val="single" w:sz="8" w:space="0" w:color="auto"/>
            </w:tcBorders>
            <w:noWrap/>
            <w:hideMark/>
          </w:tcPr>
          <w:p w14:paraId="29BF3836" w14:textId="512B27C6" w:rsidR="00C2348C" w:rsidRPr="00C2348C" w:rsidRDefault="00C2348C" w:rsidP="00C2348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38.308</w:t>
            </w:r>
          </w:p>
        </w:tc>
      </w:tr>
    </w:tbl>
    <w:p w14:paraId="0B4D5151" w14:textId="77777777" w:rsidR="005D0DC8" w:rsidRPr="00304FFE" w:rsidRDefault="005D0DC8" w:rsidP="00ED67D3">
      <w:pPr>
        <w:jc w:val="center"/>
        <w:rPr>
          <w:rFonts w:ascii="Times New Roman" w:hAnsi="Times New Roman" w:cs="Times New Roman"/>
          <w:szCs w:val="21"/>
        </w:rPr>
      </w:pPr>
    </w:p>
    <w:sectPr w:rsidR="005D0DC8" w:rsidRPr="00304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9B59F" w14:textId="77777777" w:rsidR="00F20929" w:rsidRDefault="00F20929" w:rsidP="00815965">
      <w:r>
        <w:separator/>
      </w:r>
    </w:p>
  </w:endnote>
  <w:endnote w:type="continuationSeparator" w:id="0">
    <w:p w14:paraId="5ADE848A" w14:textId="77777777" w:rsidR="00F20929" w:rsidRDefault="00F20929" w:rsidP="0081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BDDCD" w14:textId="77777777" w:rsidR="00F20929" w:rsidRDefault="00F20929" w:rsidP="00815965">
      <w:r>
        <w:separator/>
      </w:r>
    </w:p>
  </w:footnote>
  <w:footnote w:type="continuationSeparator" w:id="0">
    <w:p w14:paraId="6D73FA21" w14:textId="77777777" w:rsidR="00F20929" w:rsidRDefault="00F20929" w:rsidP="00815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yMzUxszCwMDcxMDVU0lEKTi0uzszPAykwqwUAHo2NISwAAAA="/>
    <w:docVar w:name="KY_MEDREF_DOCUID" w:val="{C1EA2D2C-4F64-40B9-97CA-EA62A107FA18}"/>
    <w:docVar w:name="KY_MEDREF_VERSION" w:val="3"/>
  </w:docVars>
  <w:rsids>
    <w:rsidRoot w:val="00DC10CF"/>
    <w:rsid w:val="00010752"/>
    <w:rsid w:val="00015D4F"/>
    <w:rsid w:val="00190197"/>
    <w:rsid w:val="00192361"/>
    <w:rsid w:val="001A24E4"/>
    <w:rsid w:val="001E217E"/>
    <w:rsid w:val="00265AF9"/>
    <w:rsid w:val="002B1935"/>
    <w:rsid w:val="002B6C58"/>
    <w:rsid w:val="00304FFE"/>
    <w:rsid w:val="00316F4C"/>
    <w:rsid w:val="00391196"/>
    <w:rsid w:val="00426C64"/>
    <w:rsid w:val="00435B93"/>
    <w:rsid w:val="0059626C"/>
    <w:rsid w:val="005D0DC8"/>
    <w:rsid w:val="00630DF5"/>
    <w:rsid w:val="00633180"/>
    <w:rsid w:val="0074524D"/>
    <w:rsid w:val="00780A39"/>
    <w:rsid w:val="00792553"/>
    <w:rsid w:val="007B24FF"/>
    <w:rsid w:val="00815965"/>
    <w:rsid w:val="00916BB1"/>
    <w:rsid w:val="00931BB8"/>
    <w:rsid w:val="00991693"/>
    <w:rsid w:val="00A120DD"/>
    <w:rsid w:val="00B57F99"/>
    <w:rsid w:val="00B637F9"/>
    <w:rsid w:val="00C2348C"/>
    <w:rsid w:val="00C3437E"/>
    <w:rsid w:val="00C81B41"/>
    <w:rsid w:val="00C92E9A"/>
    <w:rsid w:val="00DA5A52"/>
    <w:rsid w:val="00DA72E1"/>
    <w:rsid w:val="00DC10CF"/>
    <w:rsid w:val="00E43009"/>
    <w:rsid w:val="00E52898"/>
    <w:rsid w:val="00EB5C7A"/>
    <w:rsid w:val="00ED67D3"/>
    <w:rsid w:val="00F013ED"/>
    <w:rsid w:val="00F20929"/>
    <w:rsid w:val="00F9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C7FAC"/>
  <w15:chartTrackingRefBased/>
  <w15:docId w15:val="{6BB03BB6-B104-4BC1-8700-3C6C5F89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9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59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59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5965"/>
    <w:rPr>
      <w:sz w:val="18"/>
      <w:szCs w:val="18"/>
    </w:rPr>
  </w:style>
  <w:style w:type="table" w:styleId="a7">
    <w:name w:val="Table Grid"/>
    <w:basedOn w:val="a1"/>
    <w:uiPriority w:val="39"/>
    <w:rsid w:val="005D0DC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1E21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liu</dc:creator>
  <cp:keywords/>
  <dc:description/>
  <cp:lastModifiedBy>Ruilin Chen</cp:lastModifiedBy>
  <cp:revision>18</cp:revision>
  <cp:lastPrinted>2023-11-27T09:36:00Z</cp:lastPrinted>
  <dcterms:created xsi:type="dcterms:W3CDTF">2023-11-24T02:09:00Z</dcterms:created>
  <dcterms:modified xsi:type="dcterms:W3CDTF">2024-05-16T05:28:00Z</dcterms:modified>
</cp:coreProperties>
</file>