
<file path=[Content_Types].xml><?xml version="1.0" encoding="utf-8"?>
<Types xmlns="http://schemas.openxmlformats.org/package/2006/content-types">
  <Default Extension="jpeg" ContentType="image/jpeg"/>
  <Default Extension="JPG" ContentType="image/.jp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2" w:name="_GoBack"/>
      <w:bookmarkEnd w:id="2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350510" cy="2591435"/>
            <wp:effectExtent l="0" t="0" r="13970" b="14605"/>
            <wp:docPr id="1" name="图片 1" descr="EMS UPL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MS UPL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0510" cy="259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  <w:bookmarkStart w:id="0" w:name="OLE_LINK1"/>
      <w:r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  <w:t>Phytochemical analysis of the EMS extracts by UPLC</w:t>
      </w:r>
      <w:bookmarkEnd w:id="0"/>
      <w:r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  <w:t xml:space="preserve"> are shown in </w:t>
      </w:r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sz w:val="20"/>
          <w:szCs w:val="20"/>
          <w:lang w:eastAsia="zh-CN"/>
          <w14:textFill>
            <w14:solidFill>
              <w14:schemeClr w14:val="tx1"/>
            </w14:solidFill>
          </w14:textFill>
        </w:rPr>
        <w:t>Supplementary Fig. 1.</w:t>
      </w:r>
      <w:r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  <w:t xml:space="preserve"> (A) EMS extracts. (B) Mixed reference substance.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1</w:t>
      </w:r>
      <w:r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  <w:t>: Phellodendrine; 2: Magnoflorine; 3: 7-Hydroxycoumarine; 4: Jatrorrhizine; 5: Berberine; 6: Atractylenolide I.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This figure was produced by our research team using the identical batch of medicinal materials as described in the literature</w:t>
      </w:r>
      <w:r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  <w:fldChar w:fldCharType="begin"/>
      </w:r>
      <w:r>
        <w:rPr>
          <w:rFonts w:hint="eastAsia" w:ascii="Times New Roman" w:hAnsi="Times New Roman" w:cs="Times New Roman"/>
          <w:sz w:val="20"/>
          <w:szCs w:val="20"/>
          <w:lang w:eastAsia="zh-CN"/>
        </w:rPr>
        <w:instrText xml:space="preserve"> ADDIN EN.CITE </w:instrText>
      </w:r>
      <w:r>
        <w:rPr>
          <w:rFonts w:hint="eastAsia" w:ascii="Times New Roman" w:hAnsi="Times New Roman" w:cs="Times New Roman"/>
          <w:sz w:val="20"/>
          <w:szCs w:val="20"/>
          <w:lang w:eastAsia="zh-CN"/>
        </w:rPr>
        <w:fldChar w:fldCharType="begin">
          <w:fldData xml:space="preserve">PEVuZE5vdGU+PENpdGU+PEF1dGhvcj5DaGVuPC9BdXRob3I+PFllYXI+MjAyMzwvWWVhcj48UmVj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</w:fldData>
        </w:fldChar>
      </w:r>
      <w:r>
        <w:rPr>
          <w:rFonts w:hint="eastAsia" w:ascii="Times New Roman" w:hAnsi="Times New Roman" w:cs="Times New Roman"/>
          <w:sz w:val="20"/>
          <w:szCs w:val="20"/>
          <w:lang w:eastAsia="zh-CN"/>
        </w:rPr>
        <w:instrText xml:space="preserve"> ADDIN EN.CITE.DATA </w:instrText>
      </w:r>
      <w:r>
        <w:rPr>
          <w:rFonts w:hint="eastAsia" w:ascii="Times New Roman" w:hAnsi="Times New Roman" w:cs="Times New Roman"/>
          <w:sz w:val="20"/>
          <w:szCs w:val="20"/>
          <w:lang w:eastAsia="zh-CN"/>
        </w:rPr>
        <w:fldChar w:fldCharType="separate"/>
      </w:r>
      <w:r>
        <w:rPr>
          <w:rFonts w:hint="eastAsia" w:ascii="Times New Roman" w:hAnsi="Times New Roman" w:cs="Times New Roman"/>
          <w:sz w:val="20"/>
          <w:szCs w:val="20"/>
          <w:lang w:eastAsia="zh-CN"/>
        </w:rPr>
        <w:fldChar w:fldCharType="end"/>
      </w:r>
      <w:r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  <w:fldChar w:fldCharType="separate"/>
      </w:r>
      <w:r>
        <w:rPr>
          <w:rFonts w:hint="eastAsia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  <w:t>[1]</w:t>
      </w:r>
      <w:r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  <w:fldChar w:fldCharType="end"/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b/>
          <w:bCs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Reference:</w:t>
      </w:r>
    </w:p>
    <w:p>
      <w:pPr>
        <w:pStyle w:val="5"/>
        <w:bidi w:val="0"/>
        <w:ind w:left="0" w:firstLine="0"/>
        <w:rPr>
          <w:rFonts w:hint="default" w:ascii="Times New Roman" w:hAnsi="Times New Roman" w:eastAsia="Segoe UI" w:cs="Times New Roman"/>
          <w:i w:val="0"/>
          <w:iCs w:val="0"/>
          <w:caps w:val="0"/>
          <w:color w:val="0000FF"/>
          <w:spacing w:val="0"/>
          <w:sz w:val="20"/>
          <w:szCs w:val="20"/>
          <w:u w:val="single"/>
          <w:shd w:val="clear" w:fill="FFFFFF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ADDIN EN.REFLIST </w:instrTex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 w:eastAsiaTheme="minorEastAsia"/>
          <w:kern w:val="2"/>
          <w:sz w:val="20"/>
          <w:szCs w:val="24"/>
          <w:lang w:val="en-US" w:eastAsia="zh-CN" w:bidi="ar-SA"/>
        </w:rPr>
        <w:t>[1] S. Chen, J. Wang, J. Wang</w:t>
      </w:r>
      <w:r>
        <w:rPr>
          <w:rFonts w:hint="default" w:ascii="Times New Roman" w:hAnsi="Times New Roman" w:cs="Times New Roman" w:eastAsiaTheme="minorEastAsia"/>
          <w:i/>
          <w:kern w:val="2"/>
          <w:sz w:val="20"/>
          <w:szCs w:val="24"/>
          <w:lang w:val="en-US" w:eastAsia="zh-CN" w:bidi="ar-SA"/>
        </w:rPr>
        <w:t>, et al.</w:t>
      </w:r>
      <w:r>
        <w:rPr>
          <w:rFonts w:hint="default" w:ascii="Times New Roman" w:hAnsi="Times New Roman" w:cs="Times New Roman" w:eastAsiaTheme="minorEastAsia"/>
          <w:kern w:val="2"/>
          <w:sz w:val="20"/>
          <w:szCs w:val="24"/>
          <w:lang w:val="en-US" w:eastAsia="zh-CN" w:bidi="ar-SA"/>
        </w:rPr>
        <w:t xml:space="preserve"> Wnt/β-catenin signaling pathway promotes abnormal activation of fibroblast-like synoviocytes and angiogenesis in rheumatoid arthritis and the intervention of Er Miao San[J]. </w:t>
      </w:r>
      <w:r>
        <w:rPr>
          <w:rFonts w:hint="default" w:ascii="Times New Roman" w:hAnsi="Times New Roman" w:cs="Times New Roman" w:eastAsiaTheme="minorEastAsia"/>
          <w:i/>
          <w:kern w:val="2"/>
          <w:sz w:val="20"/>
          <w:szCs w:val="24"/>
          <w:lang w:val="en-US" w:eastAsia="zh-CN" w:bidi="ar-SA"/>
        </w:rPr>
        <w:t>Phytomedicine</w:t>
      </w:r>
      <w:r>
        <w:rPr>
          <w:rFonts w:hint="default" w:ascii="Times New Roman" w:hAnsi="Times New Roman" w:cs="Times New Roman" w:eastAsiaTheme="minorEastAsia"/>
          <w:kern w:val="2"/>
          <w:sz w:val="20"/>
          <w:szCs w:val="24"/>
          <w:lang w:val="en-US" w:eastAsia="zh-CN" w:bidi="ar-SA"/>
        </w:rPr>
        <w:t xml:space="preserve"> 120 2023, 155064.</w:t>
      </w:r>
      <w:r>
        <w:rPr>
          <w:rFonts w:hint="eastAsia" w:ascii="Times New Roman" w:hAnsi="Times New Roman" w:cs="Times New Roman"/>
          <w:kern w:val="2"/>
          <w:sz w:val="20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000FF"/>
          <w:spacing w:val="0"/>
          <w:sz w:val="20"/>
          <w:szCs w:val="20"/>
          <w:u w:val="single"/>
          <w:shd w:val="clear" w:fill="FFFFFF"/>
        </w:rPr>
        <w:t>doi: 10.1016/j.phymed.2023.155064.</w:t>
      </w: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bidi w:val="0"/>
        <w:ind w:left="0" w:firstLine="0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 w:firstLine="420" w:firstLineChars="200"/>
        <w:textAlignment w:val="auto"/>
        <w:rPr>
          <w:rFonts w:hint="default" w:ascii="Times New Roman" w:hAnsi="Times New Roman" w:eastAsia="宋体" w:cstheme="minorBidi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eastAsia="宋体" w:cstheme="minorBidi"/>
          <w:kern w:val="2"/>
          <w:sz w:val="21"/>
          <w:szCs w:val="21"/>
          <w:lang w:val="en-US" w:eastAsia="zh-CN" w:bidi="ar-SA"/>
        </w:rPr>
        <w:t>The transfection efficiency of NEK7 siRNA and Mus NEK7 was detected by Westwrm blot, and the results showed that NEK7 siRNA2 and Mus NEK7 were better (</w:t>
      </w:r>
      <w:bookmarkStart w:id="1" w:name="OLE_LINK237"/>
      <w:r>
        <w:rPr>
          <w:rFonts w:hint="eastAsia" w:ascii="Times New Roman" w:hAnsi="Times New Roman" w:eastAsia="宋体" w:cstheme="minorBidi"/>
          <w:kern w:val="2"/>
          <w:sz w:val="21"/>
          <w:szCs w:val="21"/>
          <w:lang w:val="en-US" w:eastAsia="zh-CN" w:bidi="ar-SA"/>
        </w:rPr>
        <w:t>Figure. S2A-</w:t>
      </w:r>
      <w:bookmarkEnd w:id="1"/>
      <w:r>
        <w:rPr>
          <w:rFonts w:hint="eastAsia" w:ascii="Times New Roman" w:hAnsi="Times New Roman" w:eastAsia="宋体" w:cstheme="minorBidi"/>
          <w:kern w:val="2"/>
          <w:sz w:val="21"/>
          <w:szCs w:val="21"/>
          <w:lang w:val="en-US" w:eastAsia="zh-CN" w:bidi="ar-SA"/>
        </w:rPr>
        <w:t>B). Therefore, NEK7 siRNA2 and Mus NEK7 were selected for the subsequent experiments.</w:t>
      </w:r>
    </w:p>
    <w:p>
      <w:pPr>
        <w:pStyle w:val="5"/>
        <w:bidi w:val="0"/>
        <w:ind w:left="0" w:firstLine="0"/>
        <w:rPr>
          <w:rFonts w:hint="default" w:ascii="Times New Roman" w:hAnsi="Times New Roman" w:eastAsia="Segoe UI" w:cs="Times New Roman"/>
          <w:i w:val="0"/>
          <w:iCs w:val="0"/>
          <w:caps w:val="0"/>
          <w:color w:val="0000FF"/>
          <w:spacing w:val="0"/>
          <w:sz w:val="20"/>
          <w:szCs w:val="20"/>
          <w:u w:val="single"/>
          <w:shd w:val="clear" w:fill="FFFFFF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fldChar w:fldCharType="end"/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drawing>
          <wp:inline distT="0" distB="0" distL="114300" distR="114300">
            <wp:extent cx="4226560" cy="3025140"/>
            <wp:effectExtent l="0" t="0" r="10160" b="7620"/>
            <wp:docPr id="2" name="图片 2" descr="转染效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转染效率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6560" cy="302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Times New Roman" w:hAnsi="Times New Roman" w:eastAsia="宋体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0"/>
          <w:szCs w:val="20"/>
          <w:lang w:eastAsia="zh-CN"/>
        </w:rPr>
        <w:t xml:space="preserve">Supplementary Fig.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b/>
          <w:bCs/>
          <w:sz w:val="20"/>
          <w:szCs w:val="20"/>
          <w:lang w:eastAsia="zh-CN"/>
        </w:rPr>
        <w:t>.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szCs w:val="21"/>
          <w:lang w:val="en-US" w:eastAsia="zh-CN"/>
        </w:rPr>
        <w:t>Transfection efficiency detection of NEK7 siRNA and Mus NEK7.</w:t>
      </w:r>
    </w:p>
    <w:p>
      <w:pPr>
        <w:numPr>
          <w:ilvl w:val="0"/>
          <w:numId w:val="1"/>
        </w:numPr>
        <w:spacing w:line="360" w:lineRule="auto"/>
        <w:rPr>
          <w:rFonts w:hint="eastAsia" w:ascii="Times New Roman" w:hAnsi="Times New Roman" w:eastAsia="宋体"/>
          <w:szCs w:val="21"/>
          <w:lang w:val="en-US" w:eastAsia="zh-CN"/>
        </w:rPr>
      </w:pPr>
      <w:r>
        <w:rPr>
          <w:rFonts w:hint="eastAsia" w:ascii="Times New Roman" w:hAnsi="Times New Roman" w:eastAsia="宋体"/>
          <w:szCs w:val="21"/>
          <w:lang w:val="en-US" w:eastAsia="zh-CN"/>
        </w:rPr>
        <w:t>NEK7 siRNA transfection efficiency. (B)Mus NEK7  transfection efficiency.</w:t>
      </w:r>
      <w:r>
        <w:rPr>
          <w:rFonts w:hint="eastAsia" w:ascii="Times New Roman" w:hAnsi="Times New Roman" w:eastAsia="宋体"/>
          <w:szCs w:val="21"/>
          <w:vertAlign w:val="superscript"/>
          <w:lang w:val="en-US" w:eastAsia="zh-CN"/>
        </w:rPr>
        <w:t>**</w:t>
      </w:r>
      <w:r>
        <w:rPr>
          <w:rFonts w:hint="eastAsia" w:ascii="Times New Roman" w:hAnsi="Times New Roman" w:eastAsia="宋体"/>
          <w:i/>
          <w:iCs/>
          <w:szCs w:val="21"/>
          <w:lang w:val="en-US" w:eastAsia="zh-CN"/>
        </w:rPr>
        <w:t xml:space="preserve">P </w:t>
      </w:r>
      <w:r>
        <w:rPr>
          <w:rFonts w:hint="eastAsia" w:ascii="Times New Roman" w:hAnsi="Times New Roman" w:eastAsia="宋体"/>
          <w:szCs w:val="21"/>
          <w:lang w:val="en-US" w:eastAsia="zh-CN"/>
        </w:rPr>
        <w:t xml:space="preserve">&lt;0.01 </w:t>
      </w:r>
      <w:r>
        <w:rPr>
          <w:rFonts w:hint="eastAsia" w:ascii="Times New Roman" w:hAnsi="Times New Roman" w:eastAsia="宋体"/>
          <w:i/>
          <w:iCs/>
          <w:szCs w:val="21"/>
          <w:lang w:val="en-US" w:eastAsia="zh-CN"/>
        </w:rPr>
        <w:t>vs.</w:t>
      </w:r>
      <w:r>
        <w:rPr>
          <w:rFonts w:hint="eastAsia" w:ascii="Times New Roman" w:hAnsi="Times New Roman" w:eastAsia="宋体"/>
          <w:szCs w:val="21"/>
          <w:lang w:val="en-US" w:eastAsia="zh-CN"/>
        </w:rPr>
        <w:t xml:space="preserve"> the Control group (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vertAlign w:val="baseline"/>
          <w:lang w:val="en-US" w:eastAsia="zh-CN"/>
        </w:rPr>
        <w:t>x̅</w:t>
      </w:r>
      <w:r>
        <w:rPr>
          <w:rFonts w:hint="eastAsia" w:ascii="Times New Roman" w:hAnsi="Times New Roman" w:cs="Times New Roman"/>
          <w:i w:val="0"/>
          <w:iCs w:val="0"/>
          <w:sz w:val="20"/>
          <w:szCs w:val="20"/>
          <w:lang w:val="en-US" w:eastAsia="zh-CN"/>
        </w:rPr>
        <w:t>±s, n=4</w:t>
      </w:r>
      <w:r>
        <w:rPr>
          <w:rFonts w:hint="eastAsia" w:ascii="Times New Roman" w:hAnsi="Times New Roman" w:eastAsia="宋体"/>
          <w:szCs w:val="21"/>
          <w:lang w:val="en-US" w:eastAsia="zh-CN"/>
        </w:rPr>
        <w:t>).</w:t>
      </w:r>
    </w:p>
    <w:p>
      <w:pPr>
        <w:numPr>
          <w:ilvl w:val="0"/>
          <w:numId w:val="0"/>
        </w:numPr>
        <w:spacing w:line="360" w:lineRule="auto"/>
        <w:rPr>
          <w:rFonts w:hint="eastAsia" w:ascii="Times New Roman" w:hAnsi="Times New Roman" w:eastAsia="宋体"/>
          <w:szCs w:val="21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Times New Roman" w:hAnsi="Times New Roman" w:eastAsia="宋体"/>
          <w:szCs w:val="21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Times New Roman" w:hAnsi="Times New Roman" w:eastAsia="宋体"/>
          <w:szCs w:val="21"/>
          <w:lang w:val="en-US" w:eastAsia="zh-CN"/>
        </w:rPr>
      </w:pPr>
      <w:r>
        <w:rPr>
          <w:rFonts w:hint="eastAsia" w:ascii="Times New Roman" w:hAnsi="Times New Roman" w:eastAsia="宋体"/>
          <w:bCs/>
          <w:sz w:val="24"/>
          <w:szCs w:val="24"/>
          <w:lang w:val="en-US" w:eastAsia="zh-CN"/>
        </w:rPr>
        <w:drawing>
          <wp:inline distT="0" distB="0" distL="114300" distR="114300">
            <wp:extent cx="5546090" cy="1941195"/>
            <wp:effectExtent l="0" t="0" r="1270" b="9525"/>
            <wp:docPr id="3" name="图片 1" descr="EMS含药血清浓度实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EMS含药血清浓度实验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6090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Times New Roman" w:hAnsi="Times New Roman" w:eastAsia="宋体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sz w:val="20"/>
          <w:szCs w:val="20"/>
          <w:lang w:eastAsia="zh-CN"/>
          <w14:textFill>
            <w14:solidFill>
              <w14:schemeClr w14:val="tx1"/>
            </w14:solidFill>
          </w14:textFill>
        </w:rPr>
        <w:t xml:space="preserve">Supplementary Fig.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sz w:val="20"/>
          <w:szCs w:val="20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sz w:val="20"/>
          <w:szCs w:val="20"/>
          <w:lang w:val="en-US" w:eastAsia="zh-CN"/>
        </w:rPr>
        <w:t>Pharmacodynamic assay of EMS-containing serums.</w:t>
      </w:r>
    </w:p>
    <w:p>
      <w:pPr>
        <w:spacing w:line="360" w:lineRule="auto"/>
        <w:rPr>
          <w:rFonts w:hint="eastAsia" w:ascii="Times New Roman" w:hAnsi="Times New Roman" w:eastAsia="宋体"/>
          <w:szCs w:val="21"/>
          <w:lang w:val="en-US" w:eastAsia="zh-CN"/>
        </w:rPr>
      </w:pPr>
      <w:r>
        <w:rPr>
          <w:rFonts w:hint="eastAsia" w:ascii="Times New Roman" w:hAnsi="Times New Roman" w:eastAsia="宋体"/>
          <w:sz w:val="20"/>
          <w:szCs w:val="20"/>
          <w:lang w:val="en-US" w:eastAsia="zh-CN"/>
        </w:rPr>
        <w:t>(A) EMS-containing serum safety concentration assay (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vertAlign w:val="baseline"/>
          <w:lang w:val="en-US" w:eastAsia="zh-CN"/>
        </w:rPr>
        <w:t>x̅</w:t>
      </w:r>
      <w:r>
        <w:rPr>
          <w:rFonts w:hint="eastAsia" w:ascii="Times New Roman" w:hAnsi="Times New Roman" w:cs="Times New Roman"/>
          <w:i w:val="0"/>
          <w:iCs w:val="0"/>
          <w:sz w:val="20"/>
          <w:szCs w:val="20"/>
          <w:lang w:val="en-US" w:eastAsia="zh-CN"/>
        </w:rPr>
        <w:t>±s, n=5</w:t>
      </w:r>
      <w:r>
        <w:rPr>
          <w:rFonts w:hint="eastAsia" w:ascii="Times New Roman" w:hAnsi="Times New Roman" w:eastAsia="宋体"/>
          <w:sz w:val="20"/>
          <w:szCs w:val="20"/>
          <w:lang w:val="en-US" w:eastAsia="zh-CN"/>
        </w:rPr>
        <w:t xml:space="preserve">). (B-C) Effect of different concentrations of EMS on NEK7 expression in RAW264.7 cells, </w:t>
      </w:r>
      <w:r>
        <w:rPr>
          <w:rFonts w:hint="eastAsia" w:ascii="Times New Roman" w:hAnsi="Times New Roman" w:eastAsia="宋体"/>
          <w:sz w:val="20"/>
          <w:szCs w:val="20"/>
          <w:vertAlign w:val="superscript"/>
          <w:lang w:val="en-US" w:eastAsia="zh-CN"/>
        </w:rPr>
        <w:t>##</w:t>
      </w:r>
      <w:r>
        <w:rPr>
          <w:rFonts w:hint="eastAsia" w:ascii="Times New Roman" w:hAnsi="Times New Roman" w:eastAsia="宋体"/>
          <w:i/>
          <w:iCs/>
          <w:sz w:val="20"/>
          <w:szCs w:val="20"/>
          <w:lang w:val="en-US" w:eastAsia="zh-CN"/>
        </w:rPr>
        <w:t xml:space="preserve">P </w:t>
      </w:r>
      <w:r>
        <w:rPr>
          <w:rFonts w:hint="eastAsia" w:ascii="Times New Roman" w:hAnsi="Times New Roman" w:eastAsia="宋体"/>
          <w:sz w:val="20"/>
          <w:szCs w:val="20"/>
          <w:lang w:val="en-US" w:eastAsia="zh-CN"/>
        </w:rPr>
        <w:t xml:space="preserve">&lt;0.01 </w:t>
      </w:r>
      <w:r>
        <w:rPr>
          <w:rFonts w:hint="eastAsia" w:ascii="Times New Roman" w:hAnsi="Times New Roman" w:eastAsia="宋体"/>
          <w:i/>
          <w:iCs/>
          <w:sz w:val="20"/>
          <w:szCs w:val="20"/>
          <w:lang w:val="en-US" w:eastAsia="zh-CN"/>
        </w:rPr>
        <w:t>vs.</w:t>
      </w:r>
      <w:r>
        <w:rPr>
          <w:rFonts w:hint="eastAsia" w:ascii="Times New Roman" w:hAnsi="Times New Roman" w:eastAsia="宋体"/>
          <w:sz w:val="20"/>
          <w:szCs w:val="20"/>
          <w:lang w:val="en-US" w:eastAsia="zh-CN"/>
        </w:rPr>
        <w:t xml:space="preserve"> Control group, </w:t>
      </w:r>
      <w:r>
        <w:rPr>
          <w:rFonts w:hint="eastAsia" w:ascii="Times New Roman" w:hAnsi="Times New Roman" w:eastAsia="宋体"/>
          <w:sz w:val="20"/>
          <w:szCs w:val="20"/>
          <w:vertAlign w:val="superscript"/>
          <w:lang w:val="en-US" w:eastAsia="zh-CN"/>
        </w:rPr>
        <w:t>**</w:t>
      </w:r>
      <w:r>
        <w:rPr>
          <w:rFonts w:hint="eastAsia" w:ascii="Times New Roman" w:hAnsi="Times New Roman" w:eastAsia="宋体"/>
          <w:i/>
          <w:iCs/>
          <w:sz w:val="20"/>
          <w:szCs w:val="20"/>
          <w:lang w:val="en-US" w:eastAsia="zh-CN"/>
        </w:rPr>
        <w:t xml:space="preserve">P </w:t>
      </w:r>
      <w:r>
        <w:rPr>
          <w:rFonts w:hint="eastAsia" w:ascii="Times New Roman" w:hAnsi="Times New Roman" w:eastAsia="宋体"/>
          <w:sz w:val="20"/>
          <w:szCs w:val="20"/>
          <w:lang w:val="en-US" w:eastAsia="zh-CN"/>
        </w:rPr>
        <w:t xml:space="preserve">&lt;0.01 </w:t>
      </w:r>
      <w:r>
        <w:rPr>
          <w:rFonts w:hint="eastAsia" w:ascii="Times New Roman" w:hAnsi="Times New Roman" w:eastAsia="宋体"/>
          <w:i/>
          <w:iCs/>
          <w:sz w:val="20"/>
          <w:szCs w:val="20"/>
          <w:lang w:val="en-US" w:eastAsia="zh-CN"/>
        </w:rPr>
        <w:t>vs.</w:t>
      </w:r>
      <w:r>
        <w:rPr>
          <w:rFonts w:hint="eastAsia" w:ascii="Times New Roman" w:hAnsi="Times New Roman" w:eastAsia="宋体"/>
          <w:sz w:val="20"/>
          <w:szCs w:val="20"/>
          <w:lang w:val="en-US" w:eastAsia="zh-CN"/>
        </w:rPr>
        <w:t xml:space="preserve"> LPS+ATP group (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  <w:vertAlign w:val="baseline"/>
          <w:lang w:val="en-US" w:eastAsia="zh-CN"/>
        </w:rPr>
        <w:t>x̅</w:t>
      </w:r>
      <w:r>
        <w:rPr>
          <w:rFonts w:hint="eastAsia" w:ascii="Times New Roman" w:hAnsi="Times New Roman" w:cs="Times New Roman"/>
          <w:i w:val="0"/>
          <w:iCs w:val="0"/>
          <w:sz w:val="20"/>
          <w:szCs w:val="20"/>
          <w:lang w:val="en-US" w:eastAsia="zh-CN"/>
        </w:rPr>
        <w:t>±s, n=3</w:t>
      </w:r>
      <w:r>
        <w:rPr>
          <w:rFonts w:hint="eastAsia" w:ascii="Times New Roman" w:hAnsi="Times New Roman" w:eastAsia="宋体"/>
          <w:sz w:val="20"/>
          <w:szCs w:val="20"/>
          <w:lang w:val="en-US" w:eastAsia="zh-CN"/>
        </w:rPr>
        <w:t>).</w:t>
      </w:r>
    </w:p>
    <w:p>
      <w:pP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350630"/>
    <w:multiLevelType w:val="singleLevel"/>
    <w:tmpl w:val="55350630"/>
    <w:lvl w:ilvl="0" w:tentative="0">
      <w:start w:val="1"/>
      <w:numFmt w:val="upperLetter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jYTRiYzFlOGE3N2ExNTA2OWRiZTBlNDlmY2E0NjA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ytokine Growth Fact Rev 2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e0ffvfa2ee9peezz94v50auw599rardzfze&quot;&gt;我的EndNote库&lt;record-ids&gt;&lt;item&gt;18&lt;/item&gt;&lt;/record-ids&gt;&lt;/item&gt;&lt;/Libraries&gt;"/>
  </w:docVars>
  <w:rsids>
    <w:rsidRoot w:val="1C906DA2"/>
    <w:rsid w:val="0EF8487A"/>
    <w:rsid w:val="18EF2963"/>
    <w:rsid w:val="1C906DA2"/>
    <w:rsid w:val="1C9D7B2B"/>
    <w:rsid w:val="1D2308B7"/>
    <w:rsid w:val="37DE2287"/>
    <w:rsid w:val="4E1A6DE7"/>
    <w:rsid w:val="533230F9"/>
    <w:rsid w:val="534636CB"/>
    <w:rsid w:val="6EC81ADA"/>
    <w:rsid w:val="7F955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EndNote Bibliography Title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  <w:style w:type="paragraph" w:customStyle="1" w:styleId="5">
    <w:name w:val="EndNote Bibliography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1469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2023-11-13T12:08:00Z</dcterms:created>
  <dc:creator>离心璃SHE</dc:creator>
  <cp:lastModifiedBy>Zhangyu</cp:lastModifiedBy>
  <dcterms:modified xsi:type="dcterms:W3CDTF">2024-04-15T07:32:13Z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38F77455DDE94961939214297BF64924_11</vt:lpwstr>
  </property>
</Properties>
</file>