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60" w:line="360" w:lineRule="auto"/>
        <w:ind w:firstLine="0" w:firstLineChars="0"/>
        <w:jc w:val="left"/>
        <w:rPr>
          <w:rFonts w:hint="default" w:ascii="Times New Roman" w:hAnsi="Times New Roman" w:cs="Times New Roman" w:eastAsiaTheme="minorEastAsia"/>
          <w:b/>
          <w:bCs/>
          <w:sz w:val="24"/>
          <w:highlight w:val="none"/>
          <w:lang w:val="en-US" w:eastAsia="zh-CN"/>
          <w14:ligatures w14:val="standardContextual"/>
        </w:rPr>
      </w:pPr>
      <w:r>
        <w:rPr>
          <w:rFonts w:hint="default" w:ascii="Times New Roman" w:hAnsi="Times New Roman" w:cs="Times New Roman"/>
          <w:b/>
          <w:bCs/>
          <w:sz w:val="24"/>
          <w:highlight w:val="none"/>
          <w14:ligatures w14:val="standardContextual"/>
        </w:rPr>
        <w:t>Tab.</w:t>
      </w:r>
      <w:r>
        <w:rPr>
          <w:rFonts w:hint="eastAsia" w:cs="Times New Roman"/>
          <w:b/>
          <w:bCs/>
          <w:sz w:val="24"/>
          <w:highlight w:val="none"/>
          <w:lang w:val="en-US" w:eastAsia="zh-CN"/>
          <w14:ligatures w14:val="standardContextual"/>
        </w:rPr>
        <w:t>S1</w:t>
      </w:r>
      <w:r>
        <w:rPr>
          <w:rFonts w:hint="default" w:ascii="Times New Roman" w:hAnsi="Times New Roman" w:cs="Times New Roman"/>
          <w:b/>
          <w:bCs/>
          <w:sz w:val="24"/>
          <w:highlight w:val="none"/>
          <w14:ligatures w14:val="standardContextual"/>
        </w:rPr>
        <w:t xml:space="preserve"> Sensitivity analysis of causal relation between immune cell phenotype and </w:t>
      </w:r>
      <w:r>
        <w:rPr>
          <w:rFonts w:hint="eastAsia" w:cs="Times New Roman"/>
          <w:b/>
          <w:bCs/>
          <w:sz w:val="24"/>
          <w:highlight w:val="none"/>
          <w:lang w:val="en-US" w:eastAsia="zh-CN"/>
          <w14:ligatures w14:val="standardContextual"/>
        </w:rPr>
        <w:t>OS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2"/>
        <w:gridCol w:w="1428"/>
        <w:gridCol w:w="1706"/>
        <w:gridCol w:w="855"/>
        <w:gridCol w:w="1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vertAlign w:val="baseline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Exposure</w:t>
            </w:r>
          </w:p>
        </w:tc>
        <w:tc>
          <w:tcPr>
            <w:tcW w:w="0" w:type="auto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vertAlign w:val="baseline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Horizontal pleiotropy test</w:t>
            </w:r>
          </w:p>
        </w:tc>
        <w:tc>
          <w:tcPr>
            <w:tcW w:w="0" w:type="auto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vertAlign w:val="baseline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Heterogeneity test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vertAlign w:val="baseline"/>
                <w14:ligatures w14:val="standardContextual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vertAlign w:val="baseline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MR-Egger</w:t>
            </w:r>
            <w:r>
              <w:rPr>
                <w:rFonts w:hint="eastAsia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  <w14:ligatures w14:val="standardContextual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intercept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vertAlign w:val="baseline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MR-Egger</w:t>
            </w:r>
            <w:r>
              <w:rPr>
                <w:rFonts w:hint="eastAsia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  <w14:ligatures w14:val="standardContextual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 xml:space="preserve">Intercept </w:t>
            </w: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21"/>
                <w:szCs w:val="21"/>
                <w14:ligatures w14:val="standardContextual"/>
              </w:rPr>
              <w:t xml:space="preserve">P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value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IVW</w:t>
            </w:r>
          </w:p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vertAlign w:val="baseline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Q_</w:t>
            </w: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21"/>
                <w:szCs w:val="21"/>
                <w14:ligatures w14:val="standardContextual"/>
              </w:rPr>
              <w:t xml:space="preserve">P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value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vertAlign w:val="baseline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MR-Egger</w:t>
            </w:r>
            <w:r>
              <w:rPr>
                <w:rFonts w:hint="eastAsia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  <w14:ligatures w14:val="standardContextual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Q_</w:t>
            </w: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21"/>
                <w:szCs w:val="21"/>
                <w14:ligatures w14:val="standardContextual"/>
              </w:rPr>
              <w:t>P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 xml:space="preserve">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BAFF-R on IgD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vertAlign w:val="superscript"/>
                <w14:ligatures w14:val="standardContextual"/>
              </w:rPr>
              <w:t>+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 xml:space="preserve"> CD38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vertAlign w:val="superscript"/>
                <w14:ligatures w14:val="standardContextual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 xml:space="preserve"> unsw</w:t>
            </w:r>
            <w:r>
              <w:rPr>
                <w:rFonts w:hint="eastAsia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  <w14:ligatures w14:val="standardContextual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mem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-0.08191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0.480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0.667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0.638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CD20 on IgD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vertAlign w:val="superscript"/>
                <w14:ligatures w14:val="standardContextual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 xml:space="preserve"> CD38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vertAlign w:val="superscript"/>
                <w14:ligatures w14:val="standardContextual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0.03969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0.732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0.173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0.145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CX3CR1 on CD14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vertAlign w:val="superscript"/>
                <w14:ligatures w14:val="standardContextual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 xml:space="preserve"> CD16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vertAlign w:val="superscript"/>
                <w14:ligatures w14:val="standardContextual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0.02352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0.807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0.465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0.401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CD25 on CD45RA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vertAlign w:val="superscript"/>
                <w14:ligatures w14:val="standardContextual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 xml:space="preserve"> CD4 not Treg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0.07186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0.400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0.633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0.620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Naive CD4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vertAlign w:val="superscript"/>
                <w14:ligatures w14:val="standardContextual"/>
              </w:rPr>
              <w:t>+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 xml:space="preserve"> %T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0.00169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0.980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0.793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0.754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CD45 on HLA DR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vertAlign w:val="superscript"/>
                <w14:ligatures w14:val="standardContextual"/>
              </w:rPr>
              <w:t>+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 xml:space="preserve"> CD8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vertAlign w:val="superscript"/>
                <w14:ligatures w14:val="standardContextual"/>
              </w:rPr>
              <w:t>br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0.13659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0.109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0.919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0.978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CD28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vertAlign w:val="superscript"/>
                <w14:ligatures w14:val="standardContextual"/>
              </w:rPr>
              <w:t>+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CD45RA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vertAlign w:val="superscript"/>
                <w14:ligatures w14:val="standardContextual"/>
              </w:rPr>
              <w:t>+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CD8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vertAlign w:val="superscript"/>
                <w14:ligatures w14:val="standardContextual"/>
              </w:rPr>
              <w:t>br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 xml:space="preserve"> %CD8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vertAlign w:val="superscript"/>
                <w14:ligatures w14:val="standardContextual"/>
              </w:rPr>
              <w:t>br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-0.02218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0.704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0.559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0.518</w:t>
            </w:r>
          </w:p>
        </w:tc>
      </w:tr>
    </w:tbl>
    <w:p>
      <w:pPr>
        <w:spacing w:after="160" w:line="360" w:lineRule="auto"/>
        <w:ind w:firstLine="0" w:firstLineChars="0"/>
        <w:jc w:val="left"/>
        <w:rPr>
          <w:rFonts w:hint="default" w:ascii="Times New Roman" w:hAnsi="Times New Roman" w:cs="Times New Roman" w:eastAsiaTheme="minorEastAsia"/>
          <w:b/>
          <w:bCs/>
          <w:sz w:val="24"/>
          <w:highlight w:val="none"/>
          <w:lang w:val="en-US" w:eastAsia="zh-CN"/>
          <w14:ligatures w14:val="standardContextual"/>
        </w:rPr>
      </w:pPr>
      <w:r>
        <w:rPr>
          <w:rFonts w:hint="default" w:ascii="Times New Roman" w:hAnsi="Times New Roman" w:cs="Times New Roman"/>
          <w:b/>
          <w:bCs/>
          <w:sz w:val="24"/>
          <w:highlight w:val="none"/>
          <w14:ligatures w14:val="standardContextual"/>
        </w:rPr>
        <w:t>Tab.</w:t>
      </w:r>
      <w:r>
        <w:rPr>
          <w:rFonts w:hint="eastAsia" w:cs="Times New Roman"/>
          <w:b/>
          <w:bCs/>
          <w:sz w:val="24"/>
          <w:highlight w:val="none"/>
          <w:lang w:val="en-US" w:eastAsia="zh-CN"/>
          <w14:ligatures w14:val="standardContextual"/>
        </w:rPr>
        <w:t>S2</w:t>
      </w:r>
      <w:r>
        <w:rPr>
          <w:rFonts w:hint="default" w:ascii="Times New Roman" w:hAnsi="Times New Roman" w:cs="Times New Roman"/>
          <w:b/>
          <w:bCs/>
          <w:sz w:val="24"/>
          <w:highlight w:val="none"/>
          <w14:ligatures w14:val="standardContextual"/>
        </w:rPr>
        <w:t xml:space="preserve"> Sensitivity analysis of causal relation between </w:t>
      </w:r>
      <w:r>
        <w:rPr>
          <w:rFonts w:hint="eastAsia" w:cs="Times New Roman"/>
          <w:b/>
          <w:bCs/>
          <w:sz w:val="24"/>
          <w:highlight w:val="none"/>
          <w:lang w:val="en-US" w:eastAsia="zh-CN"/>
          <w14:ligatures w14:val="standardContextual"/>
        </w:rPr>
        <w:t>60 blood metabolites</w:t>
      </w:r>
      <w:r>
        <w:rPr>
          <w:rFonts w:hint="default" w:ascii="Times New Roman" w:hAnsi="Times New Roman" w:cs="Times New Roman"/>
          <w:b/>
          <w:bCs/>
          <w:sz w:val="24"/>
          <w:highlight w:val="none"/>
          <w14:ligatures w14:val="standardContextual"/>
        </w:rPr>
        <w:t xml:space="preserve"> and </w:t>
      </w:r>
      <w:r>
        <w:rPr>
          <w:rFonts w:hint="eastAsia" w:cs="Times New Roman"/>
          <w:b/>
          <w:bCs/>
          <w:sz w:val="24"/>
          <w:highlight w:val="none"/>
          <w:lang w:val="en-US" w:eastAsia="zh-CN"/>
          <w14:ligatures w14:val="standardContextual"/>
        </w:rPr>
        <w:t>OS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83"/>
        <w:gridCol w:w="1110"/>
        <w:gridCol w:w="1110"/>
        <w:gridCol w:w="826"/>
        <w:gridCol w:w="9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vertAlign w:val="baseline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Exposure</w:t>
            </w:r>
          </w:p>
        </w:tc>
        <w:tc>
          <w:tcPr>
            <w:tcW w:w="2220" w:type="dxa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vertAlign w:val="baseline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Horizontal pleiotropy test</w:t>
            </w:r>
          </w:p>
        </w:tc>
        <w:tc>
          <w:tcPr>
            <w:tcW w:w="1819" w:type="dxa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vertAlign w:val="baseline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Heterogeneity test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4483" w:type="dxa"/>
            <w:vMerge w:val="continue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vertAlign w:val="baseline"/>
                <w14:ligatures w14:val="standardContextual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vertAlign w:val="baseline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MR-Egger</w:t>
            </w:r>
            <w:r>
              <w:rPr>
                <w:rFonts w:hint="eastAsia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  <w14:ligatures w14:val="standardContextual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intercept</w:t>
            </w:r>
          </w:p>
        </w:tc>
        <w:tc>
          <w:tcPr>
            <w:tcW w:w="1110" w:type="dxa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vertAlign w:val="baseline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MR-Egger</w:t>
            </w:r>
            <w:r>
              <w:rPr>
                <w:rFonts w:hint="eastAsia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  <w14:ligatures w14:val="standardContextual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 xml:space="preserve">Intercept </w:t>
            </w: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21"/>
                <w:szCs w:val="21"/>
                <w14:ligatures w14:val="standardContextual"/>
              </w:rPr>
              <w:t xml:space="preserve">P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value</w:t>
            </w:r>
          </w:p>
        </w:tc>
        <w:tc>
          <w:tcPr>
            <w:tcW w:w="826" w:type="dxa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IVW</w:t>
            </w:r>
          </w:p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vertAlign w:val="baseline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Q_</w:t>
            </w: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21"/>
                <w:szCs w:val="21"/>
                <w14:ligatures w14:val="standardContextual"/>
              </w:rPr>
              <w:t xml:space="preserve">P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value</w:t>
            </w:r>
          </w:p>
        </w:tc>
        <w:tc>
          <w:tcPr>
            <w:tcW w:w="993" w:type="dxa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vertAlign w:val="baseline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MR-Egger</w:t>
            </w:r>
            <w:r>
              <w:rPr>
                <w:rFonts w:hint="eastAsia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  <w14:ligatures w14:val="standardContextual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Q_</w:t>
            </w: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21"/>
                <w:szCs w:val="21"/>
                <w14:ligatures w14:val="standardContextual"/>
              </w:rPr>
              <w:t>P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 xml:space="preserve">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5-hydroxylysine</w:t>
            </w:r>
          </w:p>
        </w:tc>
        <w:tc>
          <w:tcPr>
            <w:tcW w:w="111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-0.1324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5</w:t>
            </w:r>
          </w:p>
        </w:tc>
        <w:tc>
          <w:tcPr>
            <w:tcW w:w="111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0.14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9</w:t>
            </w:r>
          </w:p>
        </w:tc>
        <w:tc>
          <w:tcPr>
            <w:tcW w:w="826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0.782</w:t>
            </w:r>
          </w:p>
        </w:tc>
        <w:tc>
          <w:tcPr>
            <w:tcW w:w="993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0.840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1,5-anhydroglucitol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0.02584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0.77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0.27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0.24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1-oleoylglycerol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-0.01555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900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0.907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0.881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3-carboxy-4-methyl-5-propyl-2-furanpropanoate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0.01452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0.938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0.292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0.232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N1-methylinosine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-0.13176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0.343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0.979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0.982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5alpha-androstan-3beta,17beta-diol disulfate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0.05954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0.419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0.573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0.556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5alpha-pregnan-3beta,20alpha-diol disulfate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-0.1617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0.136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0.898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0.938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Chiro-inositol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0.05278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0.810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0.652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0.577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5alpha-androstan-3alpha,17beta-diol monosulfate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0.07606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0.333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0.421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0.420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Formiminoglutamate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-0.11896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0.178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0.390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0.442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S-methylcysteine sulfoxide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0.06338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0.624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0.480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0.432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4-methylcatechol sulfate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0.10241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0.464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0.935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0.929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Dimethyl sulfone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0.11589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0.360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0.464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0.456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Indolin-2-one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0.02683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0.840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0.675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0.608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Etiocholanolone glucuronide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-0.1733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0.100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0.776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0.885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Eugenol sulfate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0.06210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0.568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0.675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Sphingomyelin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-0.0821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0.425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0.844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0.836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1-palmitoyl-2-docosahexaenoyl-gpc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0.04099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0.786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0.666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0.61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1-stearoyl-2-docosahexaenoyl-gpc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0.06030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0.572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0.453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0.41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N-palmitoyl-sphingadienine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0.10376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0.49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0.558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0.523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417"/>
              </w:tabs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Cerotoylcarnitine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0.0200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0.82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0.38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0.334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Ximenoylcarnitine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0.10733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0.28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0.782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0.79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Lithocholate sulfate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0.03181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0.81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0.77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0.725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Cis 3,4-methyleneheptanoate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-0.06760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0.461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0.605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0.579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3,5-dichloro-2,6-dihydroxybenzoic acid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-0.07369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0.57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0.568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0.524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N-acetyl-L-alanine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-0.1064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0.341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0.523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0.521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2-aminobutyrate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0.17893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0.246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0.795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0.82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Gamma-glutamylleucine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0.23468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0.07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0.24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0.398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N-formylmethionine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-0.13565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0.328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0.8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0.888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Methylsuccinate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-0.23250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0.027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0.520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0.81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Creatinine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0.04606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0.641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0.751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0.713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Cystine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0.14470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0.37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0.844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0.845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Betaine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0.081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60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0.513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0.563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0.530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Xylose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-0.0094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0.93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0.93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0.90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Mannose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0.072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0.5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10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0.919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0.908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X-12283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0.14615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0.19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0.43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0.47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X-12680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0.01862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0.920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0.888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0.847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X-16964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0.14651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0.259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0.797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0.836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X-17367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-0.00401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0.97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0.324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0.271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X-19299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0.00791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0.94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0.74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0.682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X-23587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0.1164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0.407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0.752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0.742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X-23593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-0.04760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0.720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0.492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0.436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X-23739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0.00448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0.963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0.889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0.858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X-24418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-0.04854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0.707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0.385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0.33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N-acetylphenylalanine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-0.09690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0.27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0.75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0.775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Citrulline to dimethylarginine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-0.22068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0.0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40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0.571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0.783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Spermidine to phosphate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0.07367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0.56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0.368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0.328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Glutamate to kynurenine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-0.26691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0.0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70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0.889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0.96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Adenosine 5'-diphosphate to valine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-0.1052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0.36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0.56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0.559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Aspartate to phosphate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0.01101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0.944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0.625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0.553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Adenosine 5'-monophosphate to tyrosine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-0.08591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0.549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0.733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0.69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phosphate to asparagine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-0.11939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0.122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0.649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0.732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Taurine to cysteine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0.07295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0.609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0.887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0.862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Uridine to 2'-deoxyuridine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-0.0000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1.000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0.936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0.91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N-stearoyl-sphingosine to N-palmitoyl-sphinganine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-0.06069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0.607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0.399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0.363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Adenosine 5'-diphosphate to cytidine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0.0076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0.958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0.550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0.48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Glucose-to-mannose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-0.02721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0.79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0.832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0.79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Cytidine to N-acetylglucosamine to N-acetylgalactosamine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0.1273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0.454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0.18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Caffeine to paraxanthine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-0.0826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0.504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0.58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0.559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Bilirubin to etiocholanolone glucuronide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0.0344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4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0.709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0.67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0.62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9</w:t>
            </w:r>
          </w:p>
        </w:tc>
      </w:tr>
    </w:tbl>
    <w:p>
      <w:pPr>
        <w:spacing w:after="160" w:line="360" w:lineRule="auto"/>
        <w:ind w:firstLine="0" w:firstLineChars="0"/>
        <w:jc w:val="left"/>
        <w:rPr>
          <w:rFonts w:hint="default" w:ascii="Times New Roman" w:hAnsi="Times New Roman" w:cs="Times New Roman" w:eastAsiaTheme="minorEastAsia"/>
          <w:b/>
          <w:bCs/>
          <w:sz w:val="24"/>
          <w:highlight w:val="none"/>
          <w:lang w:val="en-US" w:eastAsia="zh-CN"/>
          <w14:ligatures w14:val="standardContextual"/>
        </w:rPr>
      </w:pPr>
      <w:r>
        <w:rPr>
          <w:rFonts w:hint="default" w:ascii="Times New Roman" w:hAnsi="Times New Roman" w:cs="Times New Roman"/>
          <w:b/>
          <w:bCs/>
          <w:sz w:val="24"/>
          <w:highlight w:val="none"/>
          <w14:ligatures w14:val="standardContextual"/>
        </w:rPr>
        <w:t>Tab.</w:t>
      </w:r>
      <w:r>
        <w:rPr>
          <w:rFonts w:hint="eastAsia" w:cs="Times New Roman"/>
          <w:b/>
          <w:bCs/>
          <w:sz w:val="24"/>
          <w:highlight w:val="none"/>
          <w:lang w:val="en-US" w:eastAsia="zh-CN"/>
          <w14:ligatures w14:val="standardContextual"/>
        </w:rPr>
        <w:t>S3</w:t>
      </w:r>
      <w:r>
        <w:rPr>
          <w:rFonts w:hint="default" w:ascii="Times New Roman" w:hAnsi="Times New Roman" w:cs="Times New Roman"/>
          <w:b/>
          <w:bCs/>
          <w:sz w:val="24"/>
          <w:highlight w:val="none"/>
          <w14:ligatures w14:val="standardContextual"/>
        </w:rPr>
        <w:t xml:space="preserve"> Sensitivity analysis of causal relation between </w:t>
      </w:r>
      <w:r>
        <w:rPr>
          <w:rFonts w:hint="eastAsia" w:cs="Times New Roman"/>
          <w:b/>
          <w:bCs/>
          <w:i w:val="0"/>
          <w:iCs w:val="0"/>
          <w:sz w:val="24"/>
          <w:lang w:val="en-US" w:eastAsia="zh-CN"/>
        </w:rPr>
        <w:t>CX3CR1 on CD14</w:t>
      </w:r>
      <w:r>
        <w:rPr>
          <w:rFonts w:hint="eastAsia" w:cs="Times New Roman"/>
          <w:b/>
          <w:bCs/>
          <w:i w:val="0"/>
          <w:iCs w:val="0"/>
          <w:sz w:val="24"/>
          <w:vertAlign w:val="superscript"/>
          <w:lang w:val="en-US" w:eastAsia="zh-CN"/>
        </w:rPr>
        <w:t>-</w:t>
      </w:r>
      <w:r>
        <w:rPr>
          <w:rFonts w:hint="eastAsia" w:cs="Times New Roman"/>
          <w:b/>
          <w:bCs/>
          <w:i w:val="0"/>
          <w:iCs w:val="0"/>
          <w:sz w:val="24"/>
          <w:lang w:val="en-US" w:eastAsia="zh-CN"/>
        </w:rPr>
        <w:t xml:space="preserve"> CD16</w:t>
      </w:r>
      <w:r>
        <w:rPr>
          <w:rFonts w:hint="eastAsia" w:cs="Times New Roman"/>
          <w:b/>
          <w:bCs/>
          <w:i w:val="0"/>
          <w:iCs w:val="0"/>
          <w:sz w:val="24"/>
          <w:vertAlign w:val="superscript"/>
          <w:lang w:val="en-US" w:eastAsia="zh-CN"/>
        </w:rPr>
        <w:t>-</w:t>
      </w:r>
      <w:r>
        <w:rPr>
          <w:rFonts w:hint="eastAsia" w:cs="Times New Roman"/>
          <w:b/>
          <w:bCs/>
          <w:i w:val="0"/>
          <w:iCs w:val="0"/>
          <w:sz w:val="24"/>
          <w:lang w:val="en-US" w:eastAsia="zh-CN"/>
        </w:rPr>
        <w:t xml:space="preserve"> </w:t>
      </w:r>
      <w:r>
        <w:rPr>
          <w:rFonts w:hint="eastAsia"/>
          <w:b/>
          <w:bCs/>
        </w:rPr>
        <w:t>in monocyte panel</w:t>
      </w:r>
      <w:r>
        <w:rPr>
          <w:rFonts w:hint="default" w:ascii="Times New Roman" w:hAnsi="Times New Roman" w:cs="Times New Roman"/>
          <w:b/>
          <w:bCs/>
          <w:sz w:val="24"/>
          <w:highlight w:val="none"/>
          <w14:ligatures w14:val="standardContextual"/>
        </w:rPr>
        <w:t xml:space="preserve"> and </w:t>
      </w:r>
      <w:r>
        <w:rPr>
          <w:rFonts w:hint="eastAsia" w:cs="Times New Roman"/>
          <w:b/>
          <w:bCs/>
          <w:sz w:val="24"/>
          <w:highlight w:val="none"/>
          <w:lang w:val="en-US" w:eastAsia="zh-CN"/>
          <w14:ligatures w14:val="standardContextual"/>
        </w:rPr>
        <w:t xml:space="preserve">DMSO, and </w:t>
      </w:r>
      <w:r>
        <w:rPr>
          <w:rFonts w:hint="default" w:ascii="Times New Roman" w:hAnsi="Times New Roman" w:cs="Times New Roman"/>
          <w:b/>
          <w:bCs/>
          <w:sz w:val="24"/>
          <w:highlight w:val="none"/>
          <w14:ligatures w14:val="standardContextual"/>
        </w:rPr>
        <w:t xml:space="preserve">between </w:t>
      </w:r>
      <w:r>
        <w:rPr>
          <w:rFonts w:hint="eastAsia" w:cs="Times New Roman"/>
          <w:b/>
          <w:bCs/>
          <w:i w:val="0"/>
          <w:iCs w:val="0"/>
          <w:sz w:val="24"/>
          <w:lang w:val="en-US" w:eastAsia="zh-CN"/>
        </w:rPr>
        <w:t>CX3CR1 on CD14</w:t>
      </w:r>
      <w:r>
        <w:rPr>
          <w:rFonts w:hint="eastAsia" w:cs="Times New Roman"/>
          <w:b/>
          <w:bCs/>
          <w:i w:val="0"/>
          <w:iCs w:val="0"/>
          <w:sz w:val="24"/>
          <w:vertAlign w:val="superscript"/>
          <w:lang w:val="en-US" w:eastAsia="zh-CN"/>
        </w:rPr>
        <w:t>-</w:t>
      </w:r>
      <w:r>
        <w:rPr>
          <w:rFonts w:hint="eastAsia" w:cs="Times New Roman"/>
          <w:b/>
          <w:bCs/>
          <w:i w:val="0"/>
          <w:iCs w:val="0"/>
          <w:sz w:val="24"/>
          <w:lang w:val="en-US" w:eastAsia="zh-CN"/>
        </w:rPr>
        <w:t xml:space="preserve"> CD16</w:t>
      </w:r>
      <w:r>
        <w:rPr>
          <w:rFonts w:hint="eastAsia" w:cs="Times New Roman"/>
          <w:b/>
          <w:bCs/>
          <w:i w:val="0"/>
          <w:iCs w:val="0"/>
          <w:sz w:val="24"/>
          <w:vertAlign w:val="superscript"/>
          <w:lang w:val="en-US" w:eastAsia="zh-CN"/>
        </w:rPr>
        <w:t>-</w:t>
      </w:r>
      <w:r>
        <w:rPr>
          <w:rFonts w:hint="eastAsia" w:cs="Times New Roman"/>
          <w:b/>
          <w:bCs/>
          <w:i w:val="0"/>
          <w:iCs w:val="0"/>
          <w:sz w:val="24"/>
          <w:lang w:val="en-US" w:eastAsia="zh-CN"/>
        </w:rPr>
        <w:t xml:space="preserve"> </w:t>
      </w:r>
      <w:r>
        <w:rPr>
          <w:rFonts w:hint="eastAsia"/>
          <w:b/>
          <w:bCs/>
        </w:rPr>
        <w:t>in monocyte panel</w:t>
      </w:r>
      <w:r>
        <w:rPr>
          <w:rFonts w:hint="default" w:ascii="Times New Roman" w:hAnsi="Times New Roman" w:cs="Times New Roman"/>
          <w:b/>
          <w:bCs/>
          <w:sz w:val="24"/>
          <w:highlight w:val="none"/>
          <w14:ligatures w14:val="standardContextual"/>
        </w:rPr>
        <w:t xml:space="preserve"> and</w:t>
      </w:r>
      <w:r>
        <w:rPr>
          <w:rFonts w:hint="eastAsia" w:cs="Times New Roman"/>
          <w:b/>
          <w:bCs/>
          <w:sz w:val="24"/>
          <w:highlight w:val="none"/>
          <w:lang w:val="en-US" w:eastAsia="zh-CN"/>
          <w14:ligatures w14:val="standardContextual"/>
        </w:rPr>
        <w:t xml:space="preserve"> X-12680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  <w:gridCol w:w="1726"/>
        <w:gridCol w:w="2266"/>
        <w:gridCol w:w="1017"/>
        <w:gridCol w:w="18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sz w:val="24"/>
                <w:vertAlign w:val="baseline"/>
                <w:lang w:val="en-US" w:eastAsia="zh-CN"/>
                <w14:ligatures w14:val="standardContextual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  <w14:ligatures w14:val="standardContextual"/>
              </w:rPr>
              <w:t>Outcome</w:t>
            </w:r>
          </w:p>
        </w:tc>
        <w:tc>
          <w:tcPr>
            <w:tcW w:w="0" w:type="auto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vertAlign w:val="baseline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Horizontal pleiotropy test</w:t>
            </w:r>
          </w:p>
        </w:tc>
        <w:tc>
          <w:tcPr>
            <w:tcW w:w="0" w:type="auto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vertAlign w:val="baseline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Heterogeneity test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vertAlign w:val="baseline"/>
                <w14:ligatures w14:val="standardContextual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vertAlign w:val="baseline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MR-Egger</w:t>
            </w:r>
            <w:r>
              <w:rPr>
                <w:rFonts w:hint="eastAsia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  <w14:ligatures w14:val="standardContextual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intercept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vertAlign w:val="baseline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MR-Egger</w:t>
            </w:r>
            <w:r>
              <w:rPr>
                <w:rFonts w:hint="eastAsia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  <w14:ligatures w14:val="standardContextual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 xml:space="preserve">Intercept </w:t>
            </w: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21"/>
                <w:szCs w:val="21"/>
                <w14:ligatures w14:val="standardContextual"/>
              </w:rPr>
              <w:t xml:space="preserve">P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value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IVW</w:t>
            </w:r>
          </w:p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vertAlign w:val="baseline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Q_</w:t>
            </w: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21"/>
                <w:szCs w:val="21"/>
                <w14:ligatures w14:val="standardContextual"/>
              </w:rPr>
              <w:t xml:space="preserve">P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value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vertAlign w:val="baseline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MR-Egger</w:t>
            </w:r>
            <w:r>
              <w:rPr>
                <w:rFonts w:hint="eastAsia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  <w14:ligatures w14:val="standardContextual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>Q_</w:t>
            </w: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21"/>
                <w:szCs w:val="21"/>
                <w14:ligatures w14:val="standardContextual"/>
              </w:rPr>
              <w:t>P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14:ligatures w14:val="standardContextual"/>
              </w:rPr>
              <w:t xml:space="preserve">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</w:trPr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/>
                <w:b w:val="0"/>
                <w:bCs w:val="0"/>
              </w:rPr>
              <w:t>dimethyl sulfone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0.00513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0.547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0.52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4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0.48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</w:trPr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X-12680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0.0047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0.576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0.48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pacing w:after="160" w:line="278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0.43</w:t>
            </w:r>
            <w:r>
              <w:rPr>
                <w:rFonts w:hint="eastAsia" w:cs="Times New Roman"/>
                <w:b w:val="0"/>
                <w:bCs w:val="0"/>
                <w:color w:val="000000"/>
                <w:kern w:val="2"/>
                <w:sz w:val="22"/>
                <w:szCs w:val="21"/>
                <w:lang w:val="en-US" w:eastAsia="zh-CN" w:bidi="ar-SA"/>
                <w14:ligatures w14:val="standardContextual"/>
              </w:rPr>
              <w:t>8</w:t>
            </w:r>
          </w:p>
        </w:tc>
      </w:tr>
    </w:tbl>
    <w:p>
      <w:pPr>
        <w:spacing w:line="360" w:lineRule="auto"/>
        <w:rPr>
          <w:rFonts w:hint="default" w:ascii="Times New Roman" w:hAnsi="Times New Roman" w:cs="Times New Roman" w:eastAsiaTheme="minorEastAsia"/>
          <w:b/>
          <w:bCs/>
          <w:sz w:val="22"/>
          <w:szCs w:val="22"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2"/>
          <w:szCs w:val="22"/>
          <w:lang w:eastAsia="zh-CN"/>
        </w:rPr>
        <w:drawing>
          <wp:inline distT="0" distB="0" distL="114300" distR="114300">
            <wp:extent cx="4436110" cy="2269490"/>
            <wp:effectExtent l="0" t="0" r="2540" b="6985"/>
            <wp:docPr id="2" name="图片 2" descr="图S1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S1_画板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36110" cy="226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  <w:t>Fig. S1 The leave-one-out sensitivity analysis of the MR analysis of 7 immune cells on OS</w:t>
      </w:r>
    </w:p>
    <w:p>
      <w:pPr>
        <w:spacing w:line="360" w:lineRule="auto"/>
        <w:rPr>
          <w:rFonts w:hint="default" w:ascii="Times New Roman" w:hAnsi="Times New Roman" w:cs="Times New Roman" w:eastAsiaTheme="minorEastAsia"/>
          <w:b/>
          <w:bCs/>
          <w:sz w:val="22"/>
          <w:szCs w:val="22"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2"/>
          <w:szCs w:val="22"/>
          <w:lang w:eastAsia="zh-CN"/>
        </w:rPr>
        <w:drawing>
          <wp:inline distT="0" distB="0" distL="114300" distR="114300">
            <wp:extent cx="4895215" cy="8047355"/>
            <wp:effectExtent l="0" t="0" r="635" b="1270"/>
            <wp:docPr id="3" name="图片 3" descr="图S2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S2_画板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95215" cy="804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default" w:ascii="Times New Roman" w:hAnsi="Times New Roman" w:eastAsia="宋体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  <w:t xml:space="preserve">Fig. S2 </w:t>
      </w:r>
      <w:r>
        <w:rPr>
          <w:rFonts w:hint="default" w:ascii="Times New Roman" w:hAnsi="Times New Roman" w:eastAsia="宋体" w:cs="Times New Roman"/>
          <w:b/>
          <w:bCs/>
          <w:sz w:val="22"/>
          <w:szCs w:val="22"/>
        </w:rPr>
        <w:t xml:space="preserve">The leave-one-out sensitivity analysis of the MR analysis of </w:t>
      </w:r>
      <w:r>
        <w:rPr>
          <w:rFonts w:hint="default" w:ascii="Times New Roman" w:hAnsi="Times New Roman" w:eastAsia="宋体" w:cs="Times New Roman"/>
          <w:b/>
          <w:bCs/>
          <w:sz w:val="22"/>
          <w:szCs w:val="22"/>
          <w:lang w:val="en-US" w:eastAsia="zh-CN"/>
        </w:rPr>
        <w:t>60 metabolites</w:t>
      </w:r>
      <w:r>
        <w:rPr>
          <w:rFonts w:hint="default" w:ascii="Times New Roman" w:hAnsi="Times New Roman" w:eastAsia="宋体" w:cs="Times New Roman"/>
          <w:b/>
          <w:bCs/>
          <w:sz w:val="22"/>
          <w:szCs w:val="22"/>
        </w:rPr>
        <w:t xml:space="preserve"> on </w:t>
      </w:r>
      <w:r>
        <w:rPr>
          <w:rFonts w:hint="default" w:ascii="Times New Roman" w:hAnsi="Times New Roman" w:eastAsia="宋体" w:cs="Times New Roman"/>
          <w:b/>
          <w:bCs/>
          <w:sz w:val="22"/>
          <w:szCs w:val="22"/>
          <w:lang w:val="en-US" w:eastAsia="zh-CN"/>
        </w:rPr>
        <w:t>OS</w:t>
      </w:r>
      <w:r>
        <w:rPr>
          <w:rFonts w:hint="default" w:ascii="Times New Roman" w:hAnsi="Times New Roman" w:eastAsia="宋体" w:cs="Times New Roman"/>
          <w:b/>
          <w:bCs/>
          <w:sz w:val="22"/>
          <w:szCs w:val="22"/>
        </w:rPr>
        <w:t xml:space="preserve">. </w:t>
      </w:r>
    </w:p>
    <w:p>
      <w:pPr>
        <w:spacing w:line="360" w:lineRule="auto"/>
        <w:rPr>
          <w:rFonts w:hint="default" w:ascii="Times New Roman" w:hAnsi="Times New Roman" w:cs="Times New Roman" w:eastAsiaTheme="minorEastAsia"/>
          <w:b/>
          <w:bCs/>
          <w:sz w:val="22"/>
          <w:szCs w:val="22"/>
          <w:lang w:eastAsia="zh-CN"/>
        </w:rPr>
      </w:pPr>
    </w:p>
    <w:p>
      <w:pPr>
        <w:spacing w:line="360" w:lineRule="auto"/>
        <w:rPr>
          <w:rFonts w:hint="default" w:ascii="Times New Roman" w:hAnsi="Times New Roman" w:cs="Times New Roman" w:eastAsiaTheme="minorEastAsia"/>
          <w:b/>
          <w:bCs/>
          <w:sz w:val="22"/>
          <w:szCs w:val="22"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2"/>
          <w:szCs w:val="22"/>
          <w:lang w:eastAsia="zh-CN"/>
        </w:rPr>
        <w:drawing>
          <wp:inline distT="0" distB="0" distL="114300" distR="114300">
            <wp:extent cx="5252720" cy="2759075"/>
            <wp:effectExtent l="0" t="0" r="5080" b="3175"/>
            <wp:docPr id="4" name="图片 4" descr="图S3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S3_画板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2720" cy="275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  <w:t xml:space="preserve">Fig.S3 </w:t>
      </w:r>
      <w:r>
        <w:rPr>
          <w:rFonts w:hint="default" w:ascii="Times New Roman" w:hAnsi="Times New Roman" w:eastAsia="宋体" w:cs="Times New Roman"/>
          <w:b/>
          <w:bCs/>
          <w:sz w:val="22"/>
          <w:szCs w:val="22"/>
        </w:rPr>
        <w:t xml:space="preserve">The leave-one-out sensitivity analysis of the MR analysis of </w:t>
      </w:r>
      <w:r>
        <w:rPr>
          <w:rFonts w:hint="default" w:ascii="Times New Roman" w:hAnsi="Times New Roman" w:cs="Times New Roman"/>
          <w:b/>
          <w:bCs/>
          <w:i w:val="0"/>
          <w:iCs w:val="0"/>
          <w:sz w:val="22"/>
          <w:szCs w:val="22"/>
          <w:lang w:val="en-US" w:eastAsia="zh-CN"/>
        </w:rPr>
        <w:t>CX3CR1 on CD14</w:t>
      </w:r>
      <w:r>
        <w:rPr>
          <w:rFonts w:hint="default" w:ascii="Times New Roman" w:hAnsi="Times New Roman" w:cs="Times New Roman"/>
          <w:b/>
          <w:bCs/>
          <w:i w:val="0"/>
          <w:iCs w:val="0"/>
          <w:sz w:val="22"/>
          <w:szCs w:val="22"/>
          <w:vertAlign w:val="superscript"/>
          <w:lang w:val="en-US" w:eastAsia="zh-CN"/>
        </w:rPr>
        <w:t>-</w:t>
      </w:r>
      <w:r>
        <w:rPr>
          <w:rFonts w:hint="default" w:ascii="Times New Roman" w:hAnsi="Times New Roman" w:cs="Times New Roman"/>
          <w:b/>
          <w:bCs/>
          <w:i w:val="0"/>
          <w:iCs w:val="0"/>
          <w:sz w:val="22"/>
          <w:szCs w:val="22"/>
          <w:lang w:val="en-US" w:eastAsia="zh-CN"/>
        </w:rPr>
        <w:t xml:space="preserve"> CD16</w:t>
      </w:r>
      <w:r>
        <w:rPr>
          <w:rFonts w:hint="default" w:ascii="Times New Roman" w:hAnsi="Times New Roman" w:cs="Times New Roman"/>
          <w:b/>
          <w:bCs/>
          <w:i w:val="0"/>
          <w:iCs w:val="0"/>
          <w:sz w:val="22"/>
          <w:szCs w:val="22"/>
          <w:vertAlign w:val="superscript"/>
          <w:lang w:val="en-US" w:eastAsia="zh-CN"/>
        </w:rPr>
        <w:t>-</w:t>
      </w:r>
      <w:r>
        <w:rPr>
          <w:rFonts w:hint="default" w:ascii="Times New Roman" w:hAnsi="Times New Roman" w:cs="Times New Roman"/>
          <w:b/>
          <w:bCs/>
          <w:i w:val="0"/>
          <w:iCs w:val="0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in monocyte panel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sz w:val="22"/>
          <w:szCs w:val="22"/>
          <w:lang w:val="en-US" w:eastAsia="zh-CN"/>
        </w:rPr>
        <w:t>on dimethyl sulfone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  <w:t xml:space="preserve"> and</w:t>
      </w:r>
      <w:r>
        <w:rPr>
          <w:rFonts w:hint="default" w:ascii="Times New Roman" w:hAnsi="Times New Roman" w:cs="Times New Roman"/>
          <w:b/>
          <w:bCs/>
          <w:i w:val="0"/>
          <w:iCs w:val="0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X-12680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2"/>
      </w:pPr>
      <w:r>
        <w:separator/>
      </w:r>
    </w:p>
  </w:endnote>
  <w:endnote w:type="continuationSeparator" w:id="1">
    <w:p>
      <w:pPr>
        <w:spacing w:line="240" w:lineRule="auto"/>
        <w:ind w:firstLine="48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2"/>
      </w:pPr>
      <w:r>
        <w:separator/>
      </w:r>
    </w:p>
  </w:footnote>
  <w:footnote w:type="continuationSeparator" w:id="1">
    <w:p>
      <w:pPr>
        <w:spacing w:line="360" w:lineRule="auto"/>
        <w:ind w:firstLine="48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2ZGZlZDlhYjBiODJjNWQ1NmU4NDQ1Nzc4YjM2MTUifQ=="/>
  </w:docVars>
  <w:rsids>
    <w:rsidRoot w:val="00000000"/>
    <w:rsid w:val="5CA941D4"/>
    <w:rsid w:val="6C3C2AF3"/>
    <w:rsid w:val="7C8D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  <w:ind w:firstLine="482" w:firstLineChars="200"/>
      <w:jc w:val="both"/>
    </w:pPr>
    <w:rPr>
      <w:rFonts w:ascii="Times New Roman" w:hAnsi="Times New Roman" w:cs="Times New Roman" w:eastAsiaTheme="minorEastAsia"/>
      <w:b/>
      <w:bCs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573</Words>
  <Characters>3846</Characters>
  <Lines>0</Lines>
  <Paragraphs>0</Paragraphs>
  <TotalTime>0</TotalTime>
  <ScaleCrop>false</ScaleCrop>
  <LinksUpToDate>false</LinksUpToDate>
  <CharactersWithSpaces>4045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2024-05-21T07:58:22Z</dcterms:created>
  <dc:creator>ncc</dc:creator>
  <cp:lastModifiedBy>ncc</cp:lastModifiedBy>
  <dcterms:modified xsi:type="dcterms:W3CDTF">2024-05-21T08:00:33Z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20EE8F225A374C988548284D9A48EB7A_12</vt:lpwstr>
  </property>
</Properties>
</file>