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DC1CC6" w14:textId="134EE2DA" w:rsidR="001658CF" w:rsidRDefault="001658CF" w:rsidP="00AE7AAF">
      <w:pPr>
        <w:pStyle w:val="Title"/>
        <w:rPr>
          <w:lang w:val="en-GB"/>
        </w:rPr>
      </w:pPr>
      <w:bookmarkStart w:id="0" w:name="_Toc126935408"/>
      <w:r w:rsidRPr="00A11C98">
        <w:rPr>
          <w:lang w:val="en-GB"/>
        </w:rPr>
        <w:t xml:space="preserve">Supplementary </w:t>
      </w:r>
      <w:bookmarkEnd w:id="0"/>
      <w:r w:rsidR="00AE7AAF">
        <w:rPr>
          <w:lang w:val="en-GB"/>
        </w:rPr>
        <w:t>material</w:t>
      </w:r>
    </w:p>
    <w:p w14:paraId="6D735CA4" w14:textId="0E56046F" w:rsidR="00B3528C" w:rsidRPr="00B3528C" w:rsidRDefault="00B3528C" w:rsidP="008B0A31">
      <w:pPr>
        <w:pStyle w:val="Title"/>
        <w:rPr>
          <w:lang w:val="en-GB"/>
        </w:rPr>
      </w:pPr>
      <w:r>
        <w:rPr>
          <w:lang w:val="en-GB"/>
        </w:rPr>
        <w:t>Holm et al.</w:t>
      </w:r>
    </w:p>
    <w:p w14:paraId="54617D9E" w14:textId="60FA348F" w:rsidR="00AE7AAF" w:rsidRPr="00AE7AAF" w:rsidRDefault="00AE7AAF" w:rsidP="00AE7AAF">
      <w:pPr>
        <w:pStyle w:val="Heading1"/>
        <w:rPr>
          <w:lang w:val="en-GB"/>
        </w:rPr>
      </w:pPr>
      <w:r>
        <w:rPr>
          <w:lang w:val="en-GB"/>
        </w:rPr>
        <w:t>Supplementary methods</w:t>
      </w:r>
    </w:p>
    <w:p w14:paraId="2548D25D" w14:textId="5A05C8E6" w:rsidR="001658CF" w:rsidRPr="00A11C98" w:rsidRDefault="001658CF" w:rsidP="002D17A2">
      <w:pPr>
        <w:pStyle w:val="Heading2"/>
        <w:spacing w:line="480" w:lineRule="auto"/>
        <w:jc w:val="left"/>
        <w:rPr>
          <w:lang w:val="en-GB"/>
        </w:rPr>
      </w:pPr>
      <w:bookmarkStart w:id="1" w:name="feature-inclusion-and-preprocessing"/>
      <w:bookmarkEnd w:id="1"/>
      <w:r w:rsidRPr="00A11C98">
        <w:rPr>
          <w:lang w:val="en-GB"/>
        </w:rPr>
        <w:t xml:space="preserve">Feature inclusion and </w:t>
      </w:r>
      <w:r w:rsidR="008A2C53" w:rsidRPr="00A11C98">
        <w:rPr>
          <w:lang w:val="en-GB"/>
        </w:rPr>
        <w:t>pre-processing</w:t>
      </w:r>
      <w:r w:rsidRPr="00A11C98">
        <w:rPr>
          <w:lang w:val="en-GB"/>
        </w:rPr>
        <w:t xml:space="preserve"> of the Danish training and test set</w:t>
      </w:r>
    </w:p>
    <w:p w14:paraId="75BB0BFB" w14:textId="10BAD419" w:rsidR="001658CF" w:rsidRPr="00A11C98" w:rsidRDefault="001658CF" w:rsidP="002D17A2">
      <w:pPr>
        <w:pStyle w:val="FirstParagraph"/>
        <w:spacing w:line="480" w:lineRule="auto"/>
        <w:jc w:val="left"/>
        <w:rPr>
          <w:lang w:val="en-GB"/>
        </w:rPr>
      </w:pPr>
      <w:r w:rsidRPr="050441F0">
        <w:rPr>
          <w:lang w:val="en-GB"/>
        </w:rPr>
        <w:t xml:space="preserve">For each patient we extracted the following data: all diagnosis codes (ICD-10) and procedure codes (SKS/NOMESCO) assigned to at least 1% of the cohort between 1st of January 1994 and the time of the coronary angiography (from </w:t>
      </w:r>
      <w:r w:rsidR="00B3528C">
        <w:rPr>
          <w:lang w:val="en-GB"/>
        </w:rPr>
        <w:t>D</w:t>
      </w:r>
      <w:r w:rsidRPr="050441F0">
        <w:rPr>
          <w:lang w:val="en-GB"/>
        </w:rPr>
        <w:t xml:space="preserve">NPR); all results from laboratory tests taken on at least 5% of the cohort between 5 years prior-to and up until the time of the coronary angiography (from BTH); 23 other clinical features such as sex, age, smoking status, coronary pathology, etc. (from EDHR + BTH). Moreover, for 37.4% of the cohort a panel of 19 different PRSs </w:t>
      </w:r>
      <w:r w:rsidR="00EE25AD" w:rsidRPr="050441F0">
        <w:rPr>
          <w:lang w:val="en-GB"/>
        </w:rPr>
        <w:t>was</w:t>
      </w:r>
      <w:r w:rsidR="00B95963" w:rsidRPr="050441F0">
        <w:rPr>
          <w:lang w:val="en-GB"/>
        </w:rPr>
        <w:t xml:space="preserve"> </w:t>
      </w:r>
      <w:r w:rsidRPr="050441F0">
        <w:rPr>
          <w:lang w:val="en-GB"/>
        </w:rPr>
        <w:t>included (see below). In case of repeated tests/measurements/assignments the one closest to the time of the coronary angiography was used. No data originating after the index coronary angiography were used. Laboratory test results and sex- and age adjusted (if applicable) reference ranges were originally stored in the regional laboratory information management systems “</w:t>
      </w:r>
      <w:proofErr w:type="spellStart"/>
      <w:r w:rsidRPr="050441F0">
        <w:rPr>
          <w:lang w:val="en-GB"/>
        </w:rPr>
        <w:t>Labka</w:t>
      </w:r>
      <w:proofErr w:type="spellEnd"/>
      <w:r w:rsidRPr="050441F0">
        <w:rPr>
          <w:lang w:val="en-GB"/>
        </w:rPr>
        <w:t>” and “BCC” and in this study obtained through BTH</w:t>
      </w:r>
      <w:r w:rsidRPr="050441F0">
        <w:rPr>
          <w:vertAlign w:val="superscript"/>
          <w:lang w:val="en-GB"/>
        </w:rPr>
        <w:t>43</w:t>
      </w:r>
      <w:r w:rsidRPr="050441F0">
        <w:rPr>
          <w:lang w:val="en-GB"/>
        </w:rPr>
        <w:t>. Tests were either annotated in accordance with the Nomenclature, Properties and Units ontology (NPU) or various local coding systems</w:t>
      </w:r>
      <w:r w:rsidRPr="050441F0">
        <w:rPr>
          <w:vertAlign w:val="superscript"/>
          <w:lang w:val="en-GB"/>
        </w:rPr>
        <w:t>44</w:t>
      </w:r>
      <w:r w:rsidRPr="050441F0">
        <w:rPr>
          <w:lang w:val="en-GB"/>
        </w:rPr>
        <w:t xml:space="preserve">. Using the sex- and age adjusted reference ranges, results of the biochemical tests were discretized to the categories </w:t>
      </w:r>
      <w:r w:rsidRPr="050441F0">
        <w:rPr>
          <w:i/>
          <w:iCs/>
          <w:lang w:val="en-GB"/>
        </w:rPr>
        <w:t>below</w:t>
      </w:r>
      <w:r w:rsidRPr="050441F0">
        <w:rPr>
          <w:lang w:val="en-GB"/>
        </w:rPr>
        <w:t xml:space="preserve">, </w:t>
      </w:r>
      <w:r w:rsidRPr="050441F0">
        <w:rPr>
          <w:i/>
          <w:iCs/>
          <w:lang w:val="en-GB"/>
        </w:rPr>
        <w:t>within</w:t>
      </w:r>
      <w:r w:rsidRPr="050441F0">
        <w:rPr>
          <w:lang w:val="en-GB"/>
        </w:rPr>
        <w:t xml:space="preserve">, </w:t>
      </w:r>
      <w:r w:rsidRPr="050441F0">
        <w:rPr>
          <w:i/>
          <w:iCs/>
          <w:lang w:val="en-GB"/>
        </w:rPr>
        <w:t>above</w:t>
      </w:r>
      <w:r w:rsidRPr="050441F0">
        <w:rPr>
          <w:lang w:val="en-GB"/>
        </w:rPr>
        <w:t xml:space="preserve">, and if a given test had not been taken a category called </w:t>
      </w:r>
      <w:r w:rsidRPr="050441F0">
        <w:rPr>
          <w:i/>
          <w:iCs/>
          <w:lang w:val="en-GB"/>
        </w:rPr>
        <w:t>missing</w:t>
      </w:r>
      <w:r w:rsidRPr="050441F0">
        <w:rPr>
          <w:lang w:val="en-GB"/>
        </w:rPr>
        <w:t xml:space="preserve">. Discretization of biochemical tests using the adjusted reference </w:t>
      </w:r>
      <w:r w:rsidRPr="050441F0">
        <w:rPr>
          <w:lang w:val="en-GB"/>
        </w:rPr>
        <w:lastRenderedPageBreak/>
        <w:t xml:space="preserve">ranges was a pragmatic alternative to normalizing the many different biochemical tests in a manner that adequately takes both intra- and interdepartmental variance into account, which both might be related to </w:t>
      </w:r>
      <w:r w:rsidR="0077265F" w:rsidRPr="050441F0">
        <w:rPr>
          <w:lang w:val="en-GB"/>
        </w:rPr>
        <w:t xml:space="preserve">for instance </w:t>
      </w:r>
      <w:r w:rsidRPr="050441F0">
        <w:rPr>
          <w:lang w:val="en-GB"/>
        </w:rPr>
        <w:t>differences in patient population and/or equipment and machinery.</w:t>
      </w:r>
    </w:p>
    <w:p w14:paraId="23C77FFD" w14:textId="5066614F" w:rsidR="001658CF" w:rsidRPr="00A11C98" w:rsidRDefault="77D6F856" w:rsidP="002D17A2">
      <w:pPr>
        <w:pStyle w:val="BodyText"/>
        <w:spacing w:line="480" w:lineRule="auto"/>
        <w:jc w:val="left"/>
        <w:rPr>
          <w:lang w:val="en-GB"/>
        </w:rPr>
      </w:pPr>
      <w:r w:rsidRPr="050441F0">
        <w:rPr>
          <w:lang w:val="en-GB"/>
        </w:rPr>
        <w:t>Consequences of the choices above, including discretization were alluded to in Table 1. Here it is evident that t</w:t>
      </w:r>
      <w:r w:rsidRPr="00A321B6">
        <w:rPr>
          <w:lang w:val="en-GB"/>
        </w:rPr>
        <w:t>he missingness of the continuous creatine feature creatinine was</w:t>
      </w:r>
      <w:r w:rsidRPr="050441F0">
        <w:rPr>
          <w:lang w:val="en-GB"/>
        </w:rPr>
        <w:t xml:space="preserve"> </w:t>
      </w:r>
      <w:r w:rsidRPr="00A321B6">
        <w:rPr>
          <w:lang w:val="en-GB"/>
        </w:rPr>
        <w:t xml:space="preserve">less than that of the discretized version because we allow measurements 21-days in the “future” relative to time zero. For the discretized version, we did not include those measurements, and consequently </w:t>
      </w:r>
      <w:r w:rsidR="00B3528C">
        <w:rPr>
          <w:lang w:val="en-GB"/>
        </w:rPr>
        <w:t xml:space="preserve">the </w:t>
      </w:r>
      <w:r w:rsidRPr="00A321B6">
        <w:rPr>
          <w:lang w:val="en-GB"/>
        </w:rPr>
        <w:t xml:space="preserve">missingness </w:t>
      </w:r>
      <w:r w:rsidR="00B3528C">
        <w:rPr>
          <w:lang w:val="en-GB"/>
        </w:rPr>
        <w:t>is</w:t>
      </w:r>
      <w:r w:rsidR="00B3528C" w:rsidRPr="00A321B6">
        <w:rPr>
          <w:lang w:val="en-GB"/>
        </w:rPr>
        <w:t xml:space="preserve"> </w:t>
      </w:r>
      <w:r w:rsidRPr="00A321B6">
        <w:rPr>
          <w:lang w:val="en-GB"/>
        </w:rPr>
        <w:t xml:space="preserve">higher. </w:t>
      </w:r>
      <w:r w:rsidR="001658CF" w:rsidRPr="00A11C98">
        <w:rPr>
          <w:lang w:val="en-GB"/>
        </w:rPr>
        <w:t>All continuous features were Z-score normalized and missing values were encoded with a value of zero. All categorical features were one-hot encoded and an additional category for missing values</w:t>
      </w:r>
      <w:r w:rsidR="00EE25AD">
        <w:rPr>
          <w:lang w:val="en-GB"/>
        </w:rPr>
        <w:t xml:space="preserve"> was</w:t>
      </w:r>
      <w:r w:rsidR="00B95963" w:rsidRPr="00A11C98">
        <w:rPr>
          <w:lang w:val="en-GB"/>
        </w:rPr>
        <w:t xml:space="preserve"> </w:t>
      </w:r>
      <w:r w:rsidR="001658CF" w:rsidRPr="00A11C98">
        <w:rPr>
          <w:lang w:val="en-GB"/>
        </w:rPr>
        <w:t>added if applicable</w:t>
      </w:r>
      <w:r w:rsidR="001658CF" w:rsidRPr="00A11C98">
        <w:rPr>
          <w:vertAlign w:val="superscript"/>
          <w:lang w:val="en-GB"/>
        </w:rPr>
        <w:t>25</w:t>
      </w:r>
      <w:r w:rsidR="001658CF" w:rsidRPr="00A11C98">
        <w:rPr>
          <w:lang w:val="en-GB"/>
        </w:rPr>
        <w:t>.</w:t>
      </w:r>
    </w:p>
    <w:p w14:paraId="22DEE4B0" w14:textId="09933779" w:rsidR="001658CF" w:rsidRPr="00A11C98" w:rsidRDefault="001658CF" w:rsidP="002D17A2">
      <w:pPr>
        <w:pStyle w:val="BodyText"/>
        <w:spacing w:line="480" w:lineRule="auto"/>
        <w:jc w:val="left"/>
        <w:rPr>
          <w:lang w:val="en-GB"/>
        </w:rPr>
      </w:pPr>
      <w:r w:rsidRPr="00A11C98">
        <w:rPr>
          <w:lang w:val="en-GB"/>
        </w:rPr>
        <w:t>During model development</w:t>
      </w:r>
      <w:r w:rsidR="00B95963" w:rsidRPr="00A11C98">
        <w:rPr>
          <w:lang w:val="en-GB"/>
        </w:rPr>
        <w:t>,</w:t>
      </w:r>
      <w:r w:rsidRPr="00A11C98">
        <w:rPr>
          <w:lang w:val="en-GB"/>
        </w:rPr>
        <w:t xml:space="preserve"> we tested and optimized various feature specific hyperparameters. We tested including diagnosis codes as either level-4, level-3, block, or chapter codes representing different steps in the ICD-10 hierarchy</w:t>
      </w:r>
      <w:r w:rsidRPr="00A11C98">
        <w:rPr>
          <w:vertAlign w:val="superscript"/>
          <w:lang w:val="en-GB"/>
        </w:rPr>
        <w:t>45</w:t>
      </w:r>
      <w:r w:rsidRPr="00A11C98">
        <w:rPr>
          <w:lang w:val="en-GB"/>
        </w:rPr>
        <w:t xml:space="preserve">. With the hypothesis that codes and results assigned many years prior to time zero time might carry less information, we introduced three “shelf-life” hyperparameters and filtered out diagnosis codes, procedure codes, and biochemical tests assigned/taken more than </w:t>
      </w:r>
      <w:r w:rsidRPr="00A11C98">
        <w:rPr>
          <w:i/>
          <w:iCs/>
          <w:lang w:val="en-GB"/>
        </w:rPr>
        <w:t>n</w:t>
      </w:r>
      <w:r w:rsidRPr="00A11C98">
        <w:rPr>
          <w:lang w:val="en-GB"/>
        </w:rPr>
        <w:t xml:space="preserve"> years prior to the coronary angiography.</w:t>
      </w:r>
    </w:p>
    <w:p w14:paraId="5BF7F7AC" w14:textId="77777777" w:rsidR="001658CF" w:rsidRPr="00A11C98" w:rsidRDefault="001658CF" w:rsidP="002D17A2">
      <w:pPr>
        <w:pStyle w:val="Heading2"/>
        <w:spacing w:line="480" w:lineRule="auto"/>
        <w:jc w:val="left"/>
        <w:rPr>
          <w:lang w:val="en-GB"/>
        </w:rPr>
      </w:pPr>
      <w:r w:rsidRPr="00A11C98">
        <w:rPr>
          <w:lang w:val="en-GB"/>
        </w:rPr>
        <w:t>Cohort characteristics</w:t>
      </w:r>
    </w:p>
    <w:p w14:paraId="52E5631D" w14:textId="4A66A809" w:rsidR="001658CF" w:rsidRDefault="001658CF" w:rsidP="00121D18">
      <w:pPr>
        <w:pStyle w:val="BodyText"/>
        <w:spacing w:line="480" w:lineRule="auto"/>
        <w:jc w:val="left"/>
        <w:rPr>
          <w:lang w:val="en-GB"/>
        </w:rPr>
      </w:pPr>
      <w:r w:rsidRPr="050441F0">
        <w:rPr>
          <w:lang w:val="en-GB"/>
        </w:rPr>
        <w:t>For the cohort characteristics presented in Table 1, comorbidities were defined from the ICD</w:t>
      </w:r>
      <w:r w:rsidR="03A8E3B5" w:rsidRPr="050441F0">
        <w:rPr>
          <w:lang w:val="en-GB"/>
        </w:rPr>
        <w:t>-</w:t>
      </w:r>
      <w:r w:rsidRPr="050441F0">
        <w:rPr>
          <w:lang w:val="en-GB"/>
        </w:rPr>
        <w:t xml:space="preserve">10 codes assigned before or at the index date: </w:t>
      </w:r>
      <w:r w:rsidRPr="050441F0">
        <w:rPr>
          <w:i/>
          <w:iCs/>
          <w:lang w:val="en-GB"/>
        </w:rPr>
        <w:t>diabetes</w:t>
      </w:r>
      <w:r w:rsidRPr="050441F0">
        <w:rPr>
          <w:lang w:val="en-GB"/>
        </w:rPr>
        <w:t xml:space="preserve"> </w:t>
      </w:r>
      <w:r w:rsidR="00B95963" w:rsidRPr="050441F0">
        <w:rPr>
          <w:lang w:val="en-GB"/>
        </w:rPr>
        <w:t xml:space="preserve">was </w:t>
      </w:r>
      <w:r w:rsidRPr="050441F0">
        <w:rPr>
          <w:lang w:val="en-GB"/>
        </w:rPr>
        <w:t xml:space="preserve">defined as E10 or E11; </w:t>
      </w:r>
      <w:r w:rsidRPr="050441F0">
        <w:rPr>
          <w:i/>
          <w:iCs/>
          <w:lang w:val="en-GB"/>
        </w:rPr>
        <w:lastRenderedPageBreak/>
        <w:t>hypertension</w:t>
      </w:r>
      <w:r w:rsidRPr="050441F0">
        <w:rPr>
          <w:lang w:val="en-GB"/>
        </w:rPr>
        <w:t xml:space="preserve"> </w:t>
      </w:r>
      <w:r w:rsidR="00B95963" w:rsidRPr="050441F0">
        <w:rPr>
          <w:lang w:val="en-GB"/>
        </w:rPr>
        <w:t xml:space="preserve">was </w:t>
      </w:r>
      <w:r w:rsidRPr="050441F0">
        <w:rPr>
          <w:lang w:val="en-GB"/>
        </w:rPr>
        <w:t xml:space="preserve">defined as I10, I11, I12, I13, I14, or I15; </w:t>
      </w:r>
      <w:r w:rsidRPr="050441F0">
        <w:rPr>
          <w:i/>
          <w:iCs/>
          <w:lang w:val="en-GB"/>
        </w:rPr>
        <w:t>COPD</w:t>
      </w:r>
      <w:r w:rsidRPr="050441F0">
        <w:rPr>
          <w:lang w:val="en-GB"/>
        </w:rPr>
        <w:t xml:space="preserve"> </w:t>
      </w:r>
      <w:r w:rsidR="00B95963" w:rsidRPr="050441F0">
        <w:rPr>
          <w:lang w:val="en-GB"/>
        </w:rPr>
        <w:t xml:space="preserve">was </w:t>
      </w:r>
      <w:r w:rsidRPr="050441F0">
        <w:rPr>
          <w:lang w:val="en-GB"/>
        </w:rPr>
        <w:t xml:space="preserve">defined as J44; and </w:t>
      </w:r>
      <w:proofErr w:type="spellStart"/>
      <w:r w:rsidRPr="050441F0">
        <w:rPr>
          <w:i/>
          <w:iCs/>
          <w:lang w:val="en-GB"/>
        </w:rPr>
        <w:t>dyslipidemia</w:t>
      </w:r>
      <w:proofErr w:type="spellEnd"/>
      <w:r w:rsidRPr="050441F0">
        <w:rPr>
          <w:lang w:val="en-GB"/>
        </w:rPr>
        <w:t xml:space="preserve"> </w:t>
      </w:r>
      <w:r w:rsidR="00B95963" w:rsidRPr="050441F0">
        <w:rPr>
          <w:lang w:val="en-GB"/>
        </w:rPr>
        <w:t xml:space="preserve">was </w:t>
      </w:r>
      <w:r w:rsidRPr="050441F0">
        <w:rPr>
          <w:lang w:val="en-GB"/>
        </w:rPr>
        <w:t xml:space="preserve">defined as E78.0, E78.1, E78.2, E78.3, E78.4, E78.5, and E78.9. The medication use </w:t>
      </w:r>
      <w:r w:rsidR="00B95963" w:rsidRPr="050441F0">
        <w:rPr>
          <w:lang w:val="en-GB"/>
        </w:rPr>
        <w:t>was</w:t>
      </w:r>
      <w:r w:rsidRPr="050441F0">
        <w:rPr>
          <w:lang w:val="en-GB"/>
        </w:rPr>
        <w:t xml:space="preserve"> defined from prescriptions given prior to or at the index-date, using the same definition as used in Kiiskinen et al. </w:t>
      </w:r>
      <w:r w:rsidRPr="050441F0">
        <w:rPr>
          <w:lang w:val="en-GB"/>
        </w:rPr>
        <w:fldChar w:fldCharType="begin"/>
      </w:r>
      <w:r w:rsidRPr="050441F0">
        <w:rPr>
          <w:lang w:val="en-GB"/>
        </w:rPr>
        <w:instrText xml:space="preserve"> ADDIN ZOTERO_ITEM CSL_CITATION {"citationID":"UYgejRpW","properties":{"formattedCitation":"(1)","plainCitation":"(1)","noteIndex":0},"citationItems":[{"id":2485,"uris":["http://zotero.org/groups/4543840/items/CZQWKCN4"],"itemData":{"id":2485,"type":"article-journal","abstract":"Little is known about the genetic determinants of medication use in preventing cardiometabolic diseases. Using the Finnish nationwide drug purchase registry with follow-up since 1995, we performed genome-wide association analyses of longitudinal patterns of medication use in hyperlipidemia, hypertension and type 2 diabetes in up to 193,933 individuals (55% women) in the FinnGen study. In meta-analyses of up to 567,671 individuals combining FinnGen with the Estonian Biobank and the UK Biobank, we discovered 333 independent loci (P &lt; 5 × 10–9) associated with medication use. Fine-mapping revealed 494 95% credible sets associated with the total number of medication purchases, changes in medication combinations or treatment discontinuation, including 46 credible sets in 40 loci not associated with the underlying treatment targets. The polygenic risk scores (PRS) for cardiometabolic risk factors were strongly associated with the medication-use behavior. A medication-use enhanced multitrait PRS for coronary artery disease matched the performance of a risk factor-based multitrait coronary artery disease PRS in an independent sample (UK Biobank, n = 343,676). In summary, we demonstrate medication-based strategies for identifying cardiometabolic risk loci and provide genome-wide tools for preventing cardiovascular diseases.","container-title":"Nature Medicine","DOI":"10.1038/s41591-022-02122-5","ISSN":"1546-170X","issue":"1","journalAbbreviation":"Nat Med","language":"en","license":"2023 The Author(s)","note":"number: 1\npublisher: Nature Publishing Group","page":"209-218","source":"www-nature-com.ep.fjernadgang.kb.dk","title":"Genetic predictors of lifelong medication-use patterns in cardiometabolic diseases","volume":"29","author":[{"family":"Kiiskinen","given":"Tuomo"},{"family":"Helkkula","given":"Pyry"},{"family":"Krebs","given":"Kristi"},{"family":"Karjalainen","given":"Juha"},{"family":"Saarentaus","given":"Elmo"},{"family":"Mars","given":"Nina"},{"family":"Lehisto","given":"Arto"},{"family":"Zhou","given":"Wei"},{"family":"Cordioli","given":"Mattia"},{"family":"Jukarainen","given":"Sakari"},{"family":"Rämö","given":"Joel T."},{"family":"Mehtonen","given":"Juha"},{"family":"Veerapen","given":"Kumar"},{"family":"Räsänen","given":"Markus"},{"family":"Ruotsalainen","given":"Sanni"},{"family":"Maasha","given":"Mutaamba"},{"family":"Niiranen","given":"Teemu"},{"family":"Tuomi","given":"Tiinamaija"},{"family":"Salomaa","given":"Veikko"},{"family":"Kurki","given":"Mitja"},{"family":"Pirinen","given":"Matti"},{"family":"Palotie","given":"Aarno"},{"family":"Daly","given":"Mark"},{"family":"Ganna","given":"Andrea"},{"family":"Havulinna","given":"Aki S."},{"family":"Milani","given":"Lili"},{"family":"Ripatti","given":"Samuli"}],"issued":{"date-parts":[["2023",1]]},"citation-key":"kiiskinenGeneticPredictorsLifelong2023"}}],"schema":"https://github.com/citation-style-language/schema/raw/master/csl-citation.json"} </w:instrText>
      </w:r>
      <w:r w:rsidRPr="050441F0">
        <w:rPr>
          <w:lang w:val="en-GB"/>
        </w:rPr>
        <w:fldChar w:fldCharType="separate"/>
      </w:r>
      <w:r w:rsidR="00521971">
        <w:t>(1)</w:t>
      </w:r>
      <w:r w:rsidRPr="050441F0">
        <w:rPr>
          <w:lang w:val="en-GB"/>
        </w:rPr>
        <w:fldChar w:fldCharType="end"/>
      </w:r>
      <w:r w:rsidRPr="050441F0">
        <w:rPr>
          <w:lang w:val="en-GB"/>
        </w:rPr>
        <w:t xml:space="preserve">, that is: </w:t>
      </w:r>
      <w:r w:rsidRPr="050441F0">
        <w:rPr>
          <w:i/>
          <w:iCs/>
          <w:lang w:val="en-GB"/>
        </w:rPr>
        <w:t>lipid-lowering drugs</w:t>
      </w:r>
      <w:r w:rsidRPr="050441F0">
        <w:rPr>
          <w:lang w:val="en-GB"/>
        </w:rPr>
        <w:t xml:space="preserve">  is ATC class C10; </w:t>
      </w:r>
      <w:r w:rsidRPr="050441F0">
        <w:rPr>
          <w:i/>
          <w:iCs/>
          <w:lang w:val="en-GB"/>
        </w:rPr>
        <w:t>anti-hypertensive drugs</w:t>
      </w:r>
      <w:r w:rsidRPr="050441F0">
        <w:rPr>
          <w:lang w:val="en-GB"/>
        </w:rPr>
        <w:t xml:space="preserve"> is C02, C03, C07, C08, and C09; </w:t>
      </w:r>
      <w:r w:rsidRPr="050441F0">
        <w:rPr>
          <w:i/>
          <w:iCs/>
          <w:lang w:val="en-GB"/>
        </w:rPr>
        <w:t>type-2 diabetes drugs</w:t>
      </w:r>
      <w:r w:rsidRPr="050441F0">
        <w:rPr>
          <w:lang w:val="en-GB"/>
        </w:rPr>
        <w:t xml:space="preserve"> is A10B; and </w:t>
      </w:r>
      <w:r w:rsidRPr="050441F0">
        <w:rPr>
          <w:i/>
          <w:iCs/>
          <w:lang w:val="en-GB"/>
        </w:rPr>
        <w:t>insulin</w:t>
      </w:r>
      <w:r w:rsidRPr="050441F0">
        <w:rPr>
          <w:lang w:val="en-GB"/>
        </w:rPr>
        <w:t xml:space="preserve"> is A10A.</w:t>
      </w:r>
    </w:p>
    <w:p w14:paraId="0D24447D" w14:textId="2C1B5A3B" w:rsidR="5CE57A9B" w:rsidRDefault="5CE57A9B" w:rsidP="00A321B6">
      <w:pPr>
        <w:pStyle w:val="BodyText"/>
        <w:spacing w:line="480" w:lineRule="auto"/>
        <w:jc w:val="left"/>
        <w:rPr>
          <w:rFonts w:cs="Cambria"/>
          <w:lang w:val="en-GB"/>
        </w:rPr>
      </w:pPr>
      <w:r w:rsidRPr="00A321B6">
        <w:rPr>
          <w:rFonts w:cs="Cambria"/>
          <w:lang w:val="en-GB"/>
        </w:rPr>
        <w:t>For continuous features (age, height, etc.) the mean is given along with 95% bootstrap confidence intervals (CI) and, if applicable, the amount of missingness in parentheses – mean [low, high] (missingness). The mean and CI are calculated using only the non-missing features. For categorical features the raw counts and relative frequencies are both specified.</w:t>
      </w:r>
    </w:p>
    <w:p w14:paraId="1148C0AA" w14:textId="3C23DEC7" w:rsidR="00710E67" w:rsidRPr="00A321B6" w:rsidRDefault="00710E67" w:rsidP="00A321B6">
      <w:pPr>
        <w:pStyle w:val="Heading2"/>
        <w:spacing w:line="480" w:lineRule="auto"/>
        <w:rPr>
          <w:rFonts w:ascii="Cambria" w:eastAsia="Cambria" w:hAnsi="Cambria" w:cs="Cambria"/>
          <w:lang w:val="en-GB"/>
        </w:rPr>
      </w:pPr>
      <w:r w:rsidRPr="00A321B6">
        <w:rPr>
          <w:rFonts w:ascii="Cambria" w:eastAsia="Cambria" w:hAnsi="Cambria" w:cs="Cambria"/>
          <w:lang w:val="en-GB"/>
        </w:rPr>
        <w:t>D</w:t>
      </w:r>
      <w:r w:rsidR="004A1CBF" w:rsidRPr="00A321B6">
        <w:rPr>
          <w:rFonts w:ascii="Cambria" w:eastAsia="Cambria" w:hAnsi="Cambria" w:cs="Cambria"/>
          <w:lang w:val="en-GB"/>
        </w:rPr>
        <w:t>ownscaled version for external validation</w:t>
      </w:r>
    </w:p>
    <w:p w14:paraId="469160B6" w14:textId="4EED7D5F" w:rsidR="004A1CBF" w:rsidRPr="00B50106" w:rsidRDefault="004A1CBF" w:rsidP="00A321B6">
      <w:pPr>
        <w:pStyle w:val="BodyText"/>
        <w:spacing w:line="480" w:lineRule="auto"/>
        <w:rPr>
          <w:rFonts w:cs="Cambria"/>
          <w:lang w:val="en-GB"/>
        </w:rPr>
      </w:pPr>
      <w:r w:rsidRPr="00B50106">
        <w:rPr>
          <w:rFonts w:cs="Cambria"/>
          <w:lang w:val="en-GB"/>
        </w:rPr>
        <w:t xml:space="preserve">Due to data </w:t>
      </w:r>
      <w:r w:rsidR="00DD38E3" w:rsidRPr="00B50106">
        <w:rPr>
          <w:rFonts w:cs="Cambria"/>
          <w:lang w:val="en-GB"/>
        </w:rPr>
        <w:t>availability, the</w:t>
      </w:r>
      <w:r w:rsidRPr="00B50106">
        <w:rPr>
          <w:rFonts w:cs="Cambria"/>
          <w:lang w:val="en-GB"/>
        </w:rPr>
        <w:t xml:space="preserve"> model was </w:t>
      </w:r>
      <w:r w:rsidR="0417AC5F" w:rsidRPr="050441F0">
        <w:rPr>
          <w:rFonts w:cs="Cambria"/>
          <w:lang w:val="en-GB"/>
        </w:rPr>
        <w:t>downscaled</w:t>
      </w:r>
      <w:r w:rsidRPr="00B50106">
        <w:rPr>
          <w:rFonts w:cs="Cambria"/>
          <w:lang w:val="en-GB"/>
        </w:rPr>
        <w:t xml:space="preserve"> for the external validation on Icelandic data. The </w:t>
      </w:r>
      <w:r w:rsidR="00DD38E3" w:rsidRPr="00B50106">
        <w:rPr>
          <w:rFonts w:cs="Cambria"/>
          <w:lang w:val="en-GB"/>
        </w:rPr>
        <w:t xml:space="preserve">features that were left out </w:t>
      </w:r>
      <w:r w:rsidR="00F7699A" w:rsidRPr="00B50106">
        <w:rPr>
          <w:rFonts w:cs="Cambria"/>
          <w:lang w:val="en-GB"/>
        </w:rPr>
        <w:t>in the down-scaling w</w:t>
      </w:r>
      <w:r w:rsidR="00B81C8C">
        <w:rPr>
          <w:rFonts w:cs="Cambria"/>
          <w:lang w:val="en-GB"/>
        </w:rPr>
        <w:t>ere</w:t>
      </w:r>
      <w:r w:rsidR="00F7699A" w:rsidRPr="00B50106">
        <w:rPr>
          <w:rFonts w:cs="Cambria"/>
          <w:lang w:val="en-GB"/>
        </w:rPr>
        <w:t xml:space="preserve"> all procedure codes (n=154)</w:t>
      </w:r>
      <w:r w:rsidR="001D586C" w:rsidRPr="00B50106">
        <w:rPr>
          <w:rFonts w:cs="Cambria"/>
          <w:lang w:val="en-GB"/>
        </w:rPr>
        <w:t xml:space="preserve"> since they were encoded using another non-compatible coding scheme</w:t>
      </w:r>
      <w:r w:rsidR="0039790D" w:rsidRPr="00B50106">
        <w:rPr>
          <w:rFonts w:cs="Cambria"/>
          <w:lang w:val="en-GB"/>
        </w:rPr>
        <w:t>; five biochemical test</w:t>
      </w:r>
      <w:r w:rsidR="00B81C8C">
        <w:rPr>
          <w:rFonts w:cs="Cambria"/>
          <w:lang w:val="en-GB"/>
        </w:rPr>
        <w:t>s</w:t>
      </w:r>
      <w:r w:rsidR="008B6430" w:rsidRPr="00B50106">
        <w:rPr>
          <w:rFonts w:cs="Cambria"/>
          <w:lang w:val="en-GB"/>
        </w:rPr>
        <w:t xml:space="preserve"> which w</w:t>
      </w:r>
      <w:r w:rsidR="00B81C8C">
        <w:rPr>
          <w:rFonts w:cs="Cambria"/>
          <w:lang w:val="en-GB"/>
        </w:rPr>
        <w:t>ere</w:t>
      </w:r>
      <w:r w:rsidR="008B6430" w:rsidRPr="00B50106">
        <w:rPr>
          <w:rFonts w:cs="Cambria"/>
          <w:lang w:val="en-GB"/>
        </w:rPr>
        <w:t xml:space="preserve"> not used in the Icelandic system; and seven different clinical features </w:t>
      </w:r>
      <w:r w:rsidR="00497F3D" w:rsidRPr="00B50106">
        <w:rPr>
          <w:rFonts w:cs="Cambria"/>
          <w:lang w:val="en-GB"/>
        </w:rPr>
        <w:t>for which data could no</w:t>
      </w:r>
      <w:r w:rsidR="29706211" w:rsidRPr="050441F0">
        <w:rPr>
          <w:rFonts w:cs="Cambria"/>
          <w:lang w:val="en-GB"/>
        </w:rPr>
        <w:t>t</w:t>
      </w:r>
      <w:r w:rsidR="00497F3D" w:rsidRPr="00B50106">
        <w:rPr>
          <w:rFonts w:cs="Cambria"/>
          <w:lang w:val="en-GB"/>
        </w:rPr>
        <w:t xml:space="preserve"> be obtained: “arrest”, “enzymes”</w:t>
      </w:r>
      <w:r w:rsidR="007F27D0" w:rsidRPr="00B50106">
        <w:rPr>
          <w:rFonts w:cs="Cambria"/>
          <w:lang w:val="en-GB"/>
        </w:rPr>
        <w:t>, “abnormal-</w:t>
      </w:r>
      <w:proofErr w:type="spellStart"/>
      <w:r w:rsidR="007F27D0" w:rsidRPr="00B50106">
        <w:rPr>
          <w:rFonts w:cs="Cambria"/>
          <w:lang w:val="en-GB"/>
        </w:rPr>
        <w:t>ekg</w:t>
      </w:r>
      <w:proofErr w:type="spellEnd"/>
      <w:r w:rsidR="007F27D0" w:rsidRPr="00B50106">
        <w:rPr>
          <w:rFonts w:cs="Cambria"/>
          <w:lang w:val="en-GB"/>
        </w:rPr>
        <w:t>”, “abnormal-</w:t>
      </w:r>
      <w:proofErr w:type="spellStart"/>
      <w:r w:rsidR="007F27D0" w:rsidRPr="00B50106">
        <w:rPr>
          <w:rFonts w:cs="Cambria"/>
          <w:lang w:val="en-GB"/>
        </w:rPr>
        <w:t>qrs</w:t>
      </w:r>
      <w:proofErr w:type="spellEnd"/>
      <w:r w:rsidR="007F27D0" w:rsidRPr="00B50106">
        <w:rPr>
          <w:rFonts w:cs="Cambria"/>
          <w:lang w:val="en-GB"/>
        </w:rPr>
        <w:t>-</w:t>
      </w:r>
      <w:proofErr w:type="spellStart"/>
      <w:r w:rsidR="007F27D0" w:rsidRPr="00B50106">
        <w:rPr>
          <w:rFonts w:cs="Cambria"/>
          <w:lang w:val="en-GB"/>
        </w:rPr>
        <w:t>st</w:t>
      </w:r>
      <w:proofErr w:type="spellEnd"/>
      <w:r w:rsidR="007F27D0" w:rsidRPr="00B50106">
        <w:rPr>
          <w:rFonts w:cs="Cambria"/>
          <w:lang w:val="en-GB"/>
        </w:rPr>
        <w:t>”, “coronary artery dominance”</w:t>
      </w:r>
      <w:r w:rsidR="00575D77" w:rsidRPr="00B50106">
        <w:rPr>
          <w:rFonts w:cs="Cambria"/>
          <w:lang w:val="en-GB"/>
        </w:rPr>
        <w:t>, “ischemia test”, and “NYHA-class”.</w:t>
      </w:r>
    </w:p>
    <w:p w14:paraId="45184360" w14:textId="4CB475A1" w:rsidR="001658CF" w:rsidRDefault="001658CF" w:rsidP="00121D18">
      <w:pPr>
        <w:pStyle w:val="BodyText"/>
        <w:spacing w:line="480" w:lineRule="auto"/>
        <w:jc w:val="left"/>
        <w:rPr>
          <w:rFonts w:ascii="Calibri" w:hAnsi="Calibri"/>
          <w:b/>
          <w:color w:val="2A216A"/>
          <w:sz w:val="28"/>
          <w:lang w:val="en-GB"/>
        </w:rPr>
      </w:pPr>
      <w:r w:rsidRPr="00A11C98">
        <w:rPr>
          <w:rFonts w:ascii="Calibri" w:hAnsi="Calibri"/>
          <w:b/>
          <w:color w:val="2A216A"/>
          <w:sz w:val="28"/>
          <w:lang w:val="en-GB"/>
        </w:rPr>
        <w:t>Polygenic risk scores</w:t>
      </w:r>
    </w:p>
    <w:p w14:paraId="42118033" w14:textId="25C954DB" w:rsidR="008E07F1" w:rsidRPr="00121D18" w:rsidRDefault="008E07F1" w:rsidP="00121D18">
      <w:pPr>
        <w:pStyle w:val="BodyText"/>
        <w:spacing w:line="480" w:lineRule="auto"/>
        <w:jc w:val="left"/>
        <w:rPr>
          <w:rFonts w:ascii="Calibri" w:hAnsi="Calibri"/>
          <w:b/>
          <w:color w:val="2A216A"/>
          <w:sz w:val="28"/>
          <w:lang w:val="en-GB"/>
        </w:rPr>
      </w:pPr>
      <w:r>
        <w:t xml:space="preserve">PRSs were calculated based on GWAS </w:t>
      </w:r>
      <w:r w:rsidRPr="003177F9">
        <w:t xml:space="preserve">summary statistics data </w:t>
      </w:r>
      <w:r>
        <w:t>from</w:t>
      </w:r>
      <w:r w:rsidRPr="00585BCA">
        <w:t xml:space="preserve"> </w:t>
      </w:r>
      <w:r w:rsidRPr="004D7A80">
        <w:t>19</w:t>
      </w:r>
      <w:r w:rsidRPr="00C65519">
        <w:t xml:space="preserve"> traits</w:t>
      </w:r>
      <w:r>
        <w:t xml:space="preserve"> relevant for cardiometabolic health</w:t>
      </w:r>
      <w:r w:rsidRPr="00585BCA">
        <w:t xml:space="preserve">, obtained </w:t>
      </w:r>
      <w:r w:rsidRPr="00C65519">
        <w:t xml:space="preserve">from </w:t>
      </w:r>
      <w:r w:rsidRPr="004D7A80">
        <w:t>17</w:t>
      </w:r>
      <w:r w:rsidRPr="00C65519">
        <w:t xml:space="preserve"> GWAS</w:t>
      </w:r>
      <w:r w:rsidRPr="00585BCA">
        <w:t xml:space="preserve"> meta-analyses</w:t>
      </w:r>
      <w:r>
        <w:t xml:space="preserve">: </w:t>
      </w:r>
      <w:r w:rsidRPr="00585BCA">
        <w:t xml:space="preserve">acute myocardial </w:t>
      </w:r>
      <w:r w:rsidRPr="00585BCA">
        <w:lastRenderedPageBreak/>
        <w:t>infarction</w:t>
      </w:r>
      <w:r>
        <w:fldChar w:fldCharType="begin"/>
      </w:r>
      <w:r w:rsidR="00521971">
        <w:instrText xml:space="preserve"> ADDIN ZOTERO_ITEM CSL_CITATION {"citationID":"pgMPZ8Ke","properties":{"formattedCitation":"(2)","plainCitation":"(2)","noteIndex":0},"citationItems":[{"id":2397,"uris":["http://zotero.org/groups/4543840/items/8C9T7XTM"],"itemData":{"id":2397,"type":"article-journal","abstract":"Compared with linear mixed model-based genome-wide association (GWA) methods, generalized linear mixed model (GLMM)-based methods have better statistical properties when applied to binary traits but are computationally much slower. In the present study, leveraging efficient sparse matrix-based algorithms, we developed a GLMM-based GWA tool, fastGWA-GLMM, that is severalfold to orders of magnitude faster than the state-of-the-art tools when applied to the UK Biobank (UKB) data and scalable to cohorts with millions of individuals. We show by simulation that the fastGWA-GLMM test statistics of both common and rare variants are well calibrated under the null, even for traits with extreme case–control ratios. We applied fastGWA-GLMM to the UKB data of 456,348 individuals, 11,842,647 variants and 2,989 binary traits (full summary statistics available at http://fastgwa.info/ukbimpbin), and identified 259 rare variants associated with 75 traits, demonstrating the use of imputed genotype data in a large cohort to discover rare variants for binary complex traits.","container-title":"Nature Genetics","DOI":"10.1038/s41588-021-00954-4","ISSN":"1546-1718","issue":"11","journalAbbreviation":"Nat Genet","language":"en","license":"2021 The Author(s), under exclusive licence to Springer Nature America, Inc.","note":"number: 11\npublisher: Nature Publishing Group","page":"1616-1621","source":"www-nature-com.ep.fjernadgang.kb.dk","title":"A generalized linear mixed model association tool for biobank-scale data","volume":"53","author":[{"family":"Jiang","given":"Longda"},{"family":"Zheng","given":"Zhili"},{"family":"Fang","given":"Hailing"},{"family":"Yang","given":"Jian"}],"issued":{"date-parts":[["2021",11]]},"citation-key":"jiangGeneralizedLinearMixed2021"}}],"schema":"https://github.com/citation-style-language/schema/raw/master/csl-citation.json"} </w:instrText>
      </w:r>
      <w:r>
        <w:fldChar w:fldCharType="separate"/>
      </w:r>
      <w:r w:rsidR="00521971" w:rsidRPr="00521971">
        <w:t>(2)</w:t>
      </w:r>
      <w:r>
        <w:fldChar w:fldCharType="end"/>
      </w:r>
      <w:r w:rsidRPr="00585BCA">
        <w:t>, atrial fibrillation</w:t>
      </w:r>
      <w:r>
        <w:fldChar w:fldCharType="begin"/>
      </w:r>
      <w:r w:rsidR="00521971">
        <w:instrText xml:space="preserve"> ADDIN ZOTERO_ITEM CSL_CITATION {"citationID":"PWxutOof","properties":{"formattedCitation":"(3)","plainCitation":"(3)","noteIndex":0},"citationItems":[{"id":2400,"uris":["http://zotero.org/groups/4543840/items/P45LKN3E"],"itemData":{"id":2400,"type":"article-journal","abstract":"To identify genetic variation underlying atrial fibrillation, the most common cardiac arrhythmia, we performed a genome-wide association study of &gt;1,000,000 people, including 60,620 atrial fibrillation cases and 970,216 controls. We identified 142 independent risk variants at 111 loci and prioritized 151 functional candidate genes likely to be involved in atrial fibrillation. Many of the identified risk variants fall near genes where more deleterious mutations have been reported to cause serious heart defects in humans (GATA4, MYH6, NKX2-5, PITX2, TBX5)1, or near genes important for striated muscle function and integrity (for example, CFL2, MYH7, PKP2, RBM20, SGCG, SSPN). Pathway and functional enrichment analyses also suggested that many of the putative atrial fibrillation genes act via cardiac structural remodeling, potentially in the form of an ‘atrial cardiomyopathy’2, either during fetal heart development or as a response to stress in the adult heart.","container-title":"Nature Genetics","DOI":"10.1038/s41588-018-0171-3","ISSN":"1546-1718","issue":"9","journalAbbreviation":"Nat Genet","language":"en","license":"2018 The Author(s)","note":"number: 9\npublisher: Nature Publishing Group","page":"1234-1239","source":"www-nature-com.ep.fjernadgang.kb.dk","title":"Biobank-driven genomic discovery yields new insight into atrial fibrillation biology","volume":"50","author":[{"family":"Nielsen","given":"Jonas B."},{"family":"Thorolfsdottir","given":"Rosa B."},{"family":"Fritsche","given":"Lars G."},{"family":"Zhou","given":"Wei"},{"family":"Skov","given":"Morten W."},{"family":"Graham","given":"Sarah E."},{"family":"Herron","given":"Todd J."},{"family":"McCarthy","given":"Shane"},{"family":"Schmidt","given":"Ellen M."},{"family":"Sveinbjornsson","given":"Gardar"},{"family":"Surakka","given":"Ida"},{"family":"Mathis","given":"Michael R."},{"family":"Yamazaki","given":"Masatoshi"},{"family":"Crawford","given":"Ryan D."},{"family":"Gabrielsen","given":"Maiken E."},{"family":"Skogholt","given":"Anne Heidi"},{"family":"Holmen","given":"Oddgeir L."},{"family":"Lin","given":"Maoxuan"},{"family":"Wolford","given":"Brooke N."},{"family":"Dey","given":"Rounak"},{"family":"Dalen","given":"Håvard"},{"family":"Sulem","given":"Patrick"},{"family":"Chung","given":"Jonathan H."},{"family":"Backman","given":"Joshua D."},{"family":"Arnar","given":"David O."},{"family":"Thorsteinsdottir","given":"Unnur"},{"family":"Baras","given":"Aris"},{"family":"O’Dushlaine","given":"Colm"},{"family":"Holst","given":"Anders G."},{"family":"Wen","given":"Xiaoquan"},{"family":"Hornsby","given":"Whitney"},{"family":"Dewey","given":"Frederick E."},{"family":"Boehnke","given":"Michael"},{"family":"Kheterpal","given":"Sachin"},{"family":"Mukherjee","given":"Bhramar"},{"family":"Lee","given":"Seunggeun"},{"family":"Kang","given":"Hyun M."},{"family":"Holm","given":"Hilma"},{"family":"Kitzman","given":"Jacob"},{"family":"Shavit","given":"Jordan A."},{"family":"Jalife","given":"José"},{"family":"Brummett","given":"Chad M."},{"family":"Teslovich","given":"Tanya M."},{"family":"Carey","given":"David J."},{"family":"Gudbjartsson","given":"Daniel F."},{"family":"Stefansson","given":"Kari"},{"family":"Abecasis","given":"Gonçalo R."},{"family":"Hveem","given":"Kristian"},{"family":"Willer","given":"Cristen J."}],"issued":{"date-parts":[["2018",9]]},"citation-key":"nielsenBiobankdrivenGenomicDiscovery2018"}}],"schema":"https://github.com/citation-style-language/schema/raw/master/csl-citation.json"} </w:instrText>
      </w:r>
      <w:r>
        <w:fldChar w:fldCharType="separate"/>
      </w:r>
      <w:r w:rsidR="00521971" w:rsidRPr="00521971">
        <w:t>(3)</w:t>
      </w:r>
      <w:r>
        <w:fldChar w:fldCharType="end"/>
      </w:r>
      <w:r w:rsidRPr="00585BCA">
        <w:t>, coronary artery disease</w:t>
      </w:r>
      <w:r>
        <w:fldChar w:fldCharType="begin"/>
      </w:r>
      <w:r w:rsidR="00521971">
        <w:instrText xml:space="preserve"> ADDIN ZOTERO_ITEM CSL_CITATION {"citationID":"az0QrIwD","properties":{"formattedCitation":"(4,5)","plainCitation":"(4,5)","noteIndex":0},"citationItems":[{"id":2403,"uris":["http://zotero.org/groups/4543840/items/BSDDSYD5"],"itemData":{"id":2403,"type":"article-journal","abstract":"Hugh Watkins, Sekar Kathiresan, Ruth McPherson, Martin Farrall and colleagues report the results of a large genome-wide association meta-analysis of coronary artery disease based on 1000 Genomes imputation. They identify ten new risk loci and show that susceptibility to this disease is largely determined by common SNPs with small effect sizes.","container-title":"Nature Genetics","DOI":"10.1038/ng.3396","ISSN":"1546-1718","issue":"10","journalAbbreviation":"Nat Genet","language":"en","note":"number: 10\npublisher: Nature Publishing Group","page":"1121-1130","source":"www-nature-com.ep.fjernadgang.kb.dk","title":"A comprehensive 1000 Genomes–based genome-wide association meta-analysis of coronary artery disease","volume":"47","author":[{"family":"Nikpay","given":"Majid"},{"family":"Goel","given":"Anuj"},{"family":"Won","given":"Hong-Hee"},{"family":"Hall","given":"Leanne M"},{"family":"Willenborg","given":"Christina"},{"family":"Kanoni","given":"Stavroula"},{"family":"Saleheen","given":"Danish"},{"family":"Kyriakou","given":"Theodosios"},{"family":"Nelson","given":"Christopher P"},{"family":"Hopewell","given":"Jemma C"},{"family":"Webb","given":"Thomas R"},{"family":"Zeng","given":"Lingyao"},{"family":"Dehghan","given":"Abbas"},{"family":"Alver","given":"Maris"},{"family":"Armasu","given":"Sebastian M"},{"family":"Auro","given":"Kirsi"},{"family":"Bjonnes","given":"Andrew"},{"family":"Chasman","given":"Daniel I"},{"family":"Chen","given":"Shufeng"},{"family":"Ford","given":"Ian"},{"family":"Franceschini","given":"Nora"},{"family":"Gieger","given":"Christian"},{"family":"Grace","given":"Christopher"},{"family":"Gustafsson","given":"Stefan"},{"family":"Huang","given":"Jie"},{"family":"Hwang","given":"Shih-Jen"},{"family":"Kim","given":"Yun Kyoung"},{"family":"Kleber","given":"Marcus E"},{"family":"Lau","given":"King Wai"},{"family":"Lu","given":"Xiangfeng"},{"family":"Lu","given":"Yingchang"},{"family":"Lyytikäinen","given":"Leo-Pekka"},{"family":"Mihailov","given":"Evelin"},{"family":"Morrison","given":"Alanna C"},{"family":"Pervjakova","given":"Natalia"},{"family":"Qu","given":"Liming"},{"family":"Rose","given":"Lynda M"},{"family":"Salfati","given":"Elias"},{"family":"Saxena","given":"Richa"},{"family":"Scholz","given":"Markus"},{"family":"Smith","given":"Albert V"},{"family":"Tikkanen","given":"Emmi"},{"family":"Uitterlinden","given":"Andre"},{"family":"Yang","given":"Xueli"},{"family":"Zhang","given":"Weihua"},{"family":"Zhao","given":"Wei"},{"family":"Andrade","given":"Mariza","non-dropping-particle":"de"},{"family":"Vries","given":"Paul S","non-dropping-particle":"de"},{"family":"Zuydam","given":"Natalie R","non-dropping-particle":"van"},{"family":"Anand","given":"Sonia S"},{"family":"Bertram","given":"Lars"},{"family":"Beutner","given":"Frank"},{"family":"Dedoussis","given":"George"},{"family":"Frossard","given":"Philippe"},{"family":"Gauguier","given":"Dominique"},{"family":"Goodall","given":"Alison H"},{"family":"Gottesman","given":"Omri"},{"family":"Haber","given":"Marc"},{"family":"Han","given":"Bok-Ghee"},{"family":"Huang","given":"Jianfeng"},{"family":"Jalilzadeh","given":"Shapour"},{"family":"Kessler","given":"Thorsten"},{"family":"König","given":"Inke R"},{"family":"Lannfelt","given":"Lars"},{"family":"Lieb","given":"Wolfgang"},{"family":"Lind","given":"Lars"},{"family":"Lindgren","given":"Cecilia M"},{"family":"Lokki","given":"Marja-Liisa"},{"family":"Magnusson","given":"Patrik K"},{"family":"Mallick","given":"Nadeem H"},{"family":"Mehra","given":"Narinder"},{"family":"Meitinger","given":"Thomas"},{"family":"Memon","given":"Fazal-ur-Rehman"},{"family":"Morris","given":"Andrew P"},{"family":"Nieminen","given":"Markku S"},{"family":"Pedersen","given":"Nancy L"},{"family":"Peters","given":"Annette"},{"family":"Rallidis","given":"Loukianos S"},{"family":"Rasheed","given":"Asif"},{"family":"Samuel","given":"Maria"},{"family":"Shah","given":"Svati H"},{"family":"Sinisalo","given":"Juha"},{"family":"Stirrups","given":"Kathleen E"},{"family":"Trompet","given":"Stella"},{"family":"Wang","given":"Laiyuan"},{"family":"Zaman","given":"Khan S"},{"family":"Ardissino","given":"Diego"},{"family":"Boerwinkle","given":"Eric"},{"family":"Borecki","given":"Ingrid B"},{"family":"Bottinger","given":"Erwin P"},{"family":"Buring","given":"Julie E"},{"family":"Chambers","given":"John C"},{"family":"Collins","given":"Rory"},{"family":"Cupples","given":"L Adrienne"},{"family":"Danesh","given":"John"},{"family":"Demuth","given":"Ilja"},{"family":"Elosua","given":"Roberto"},{"family":"Epstein","given":"Stephen E"},{"family":"Esko","given":"Tõnu"},{"family":"Feitosa","given":"Mary F"},{"family":"Franco","given":"Oscar H"},{"family":"Franzosi","given":"Maria Grazia"},{"family":"Granger","given":"Christopher B"},{"family":"Gu","given":"Dongfeng"},{"family":"Gudnason","given":"Vilmundur"},{"family":"Hall","given":"Alistair S"},{"family":"Hamsten","given":"Anders"},{"family":"Harris","given":"Tamara B"},{"family":"Hazen","given":"Stanley L"},{"family":"Hengstenberg","given":"Christian"},{"family":"Hofman","given":"Albert"},{"family":"Ingelsson","given":"Erik"},{"family":"Iribarren","given":"Carlos"},{"family":"Jukema","given":"J Wouter"},{"family":"Karhunen","given":"Pekka J"},{"family":"Kim","given":"Bong-Jo"},{"family":"Kooner","given":"Jaspal S"},{"family":"Kullo","given":"Iftikhar J"},{"family":"Lehtimäki","given":"Terho"},{"family":"Loos","given":"Ruth J F"},{"family":"Melander","given":"Olle"},{"family":"Metspalu","given":"Andres"},{"family":"März","given":"Winfried"},{"family":"Palmer","given":"Colin N"},{"family":"Perola","given":"Markus"},{"family":"Quertermous","given":"Thomas"},{"family":"Rader","given":"Daniel J"},{"family":"Ridker","given":"Paul M"},{"family":"Ripatti","given":"Samuli"},{"family":"Roberts","given":"Robert"},{"family":"Salomaa","given":"Veikko"},{"family":"Sanghera","given":"Dharambir K"},{"family":"Schwartz","given":"Stephen M"},{"family":"Seedorf","given":"Udo"},{"family":"Stewart","given":"Alexandre F"},{"family":"Stott","given":"David J"},{"family":"Thiery","given":"Joachim"},{"family":"Zalloua","given":"Pierre A"},{"family":"O'Donnell","given":"Christopher J"},{"family":"Reilly","given":"Muredach P"},{"family":"Assimes","given":"Themistocles L"},{"family":"Thompson","given":"John R"},{"family":"Erdmann","given":"Jeanette"},{"family":"Clarke","given":"Robert"},{"family":"Watkins","given":"Hugh"},{"family":"Kathiresan","given":"Sekar"},{"family":"McPherson","given":"Ruth"},{"family":"Deloukas","given":"Panos"},{"family":"Schunkert","given":"Heribert"},{"family":"Samani","given":"Nilesh J"},{"family":"Farrall","given":"Martin"},{"literal":"the CARDIoGRAMplusC4D Consortium"}],"issued":{"date-parts":[["2015",10]]},"citation-key":"nikpayComprehensive1000Genomes2015"}},{"id":2406,"uris":["http://zotero.org/groups/4543840/items/Q4P2BE4D"],"itemData":{"id":2406,"type":"article-journal","abstract":"Rationale:\n\nCoronary artery disease (CAD) is a complex phenotype driven by genetic and environmental factors. Ninety-seven genetic risk loci have been identified to date, but the identification of additional susceptibility loci might be important to enhance our understanding of the genetic architecture of CAD.\n\nObjective:\n\nTo expand the number of genome-wide significant loci, catalog functional insights, and enhance our understanding of the genetic architecture of CAD.\n\nMethods and Results:\n\nWe performed a genome-wide association study in 34 541 CAD cases and 261 984 controls of UK Biobank resource followed by replication in 88 192 cases and 162 544 controls from CARDIoGRAMplusC4D. We identified 75 loci that replicated and were genome-wide significant (P&lt;5×10−8) in meta-analysis, 13 of which had not been reported previously. Next, to further identify novel loci, we identified all promising (P&lt;0.0001) loci in the CARDIoGRAMplusC4D data and performed reciprocal replication and meta-analyses with UK Biobank. This led to the identification of 21 additional novel loci reaching genome-wide significance (P&lt;5×10−8) in meta-analysis. Finally, we performed a genome-wide meta-analysis of all available data revealing 30 additional novel loci (P&lt;5×10−8) without further replication. The increase in sample size by UK Biobank raised the number of reconstituted gene sets from 4.2% to 13.9% of all gene sets to be involved in CAD. For the 64 novel loci, 155 candidate causal genes were prioritized, many without an obvious connection to CAD. Fine mapping of the 161 CAD loci generated lists of credible sets of single causal variants and genes for functional follow-up. Genetic risk variants of CAD were linked to development of atrial fibrillation, heart failure, and death.\n\nConclusions:\n\nWe identified 64 novel genetic risk loci for CAD and performed fine mapping of all 161 risk loci to obtain a credible set of causal variants. The large expansion of reconstituted gene sets argues in favor of an expanded omnigenic model view on the genetic architecture of CAD.","container-title":"Circulation Research","DOI":"10.1161/CIRCRESAHA.117.312086","issue":"3","note":"publisher: American Heart Association","page":"433-443","source":"ahajournals.org (Atypon)","title":"Identification of 64 Novel Genetic Loci Provides an Expanded View on the Genetic Architecture of Coronary Artery Disease","volume":"122","author":[{"family":"Harst","given":"Pim","non-dropping-particle":"van der"},{"family":"Verweij","given":"Niek"}],"issued":{"date-parts":[["2018",2,2]]},"citation-key":"vanderharstIdentification64Novel2018"}}],"schema":"https://github.com/citation-style-language/schema/raw/master/csl-citation.json"} </w:instrText>
      </w:r>
      <w:r>
        <w:fldChar w:fldCharType="separate"/>
      </w:r>
      <w:r w:rsidR="00521971" w:rsidRPr="00521971">
        <w:t>(4,5)</w:t>
      </w:r>
      <w:r>
        <w:fldChar w:fldCharType="end"/>
      </w:r>
      <w:r w:rsidRPr="00585BCA">
        <w:t>, heart</w:t>
      </w:r>
      <w:r>
        <w:t xml:space="preserve"> failure</w:t>
      </w:r>
      <w:r>
        <w:fldChar w:fldCharType="begin"/>
      </w:r>
      <w:r w:rsidR="00521971">
        <w:instrText xml:space="preserve"> ADDIN ZOTERO_ITEM CSL_CITATION {"citationID":"T5Yzjsxc","properties":{"formattedCitation":"(4)","plainCitation":"(4)","noteIndex":0},"citationItems":[{"id":2403,"uris":["http://zotero.org/groups/4543840/items/BSDDSYD5"],"itemData":{"id":2403,"type":"article-journal","abstract":"Hugh Watkins, Sekar Kathiresan, Ruth McPherson, Martin Farrall and colleagues report the results of a large genome-wide association meta-analysis of coronary artery disease based on 1000 Genomes imputation. They identify ten new risk loci and show that susceptibility to this disease is largely determined by common SNPs with small effect sizes.","container-title":"Nature Genetics","DOI":"10.1038/ng.3396","ISSN":"1546-1718","issue":"10","journalAbbreviation":"Nat Genet","language":"en","note":"number: 10\npublisher: Nature Publishing Group","page":"1121-1130","source":"www-nature-com.ep.fjernadgang.kb.dk","title":"A comprehensive 1000 Genomes–based genome-wide association meta-analysis of coronary artery disease","volume":"47","author":[{"family":"Nikpay","given":"Majid"},{"family":"Goel","given":"Anuj"},{"family":"Won","given":"Hong-Hee"},{"family":"Hall","given":"Leanne M"},{"family":"Willenborg","given":"Christina"},{"family":"Kanoni","given":"Stavroula"},{"family":"Saleheen","given":"Danish"},{"family":"Kyriakou","given":"Theodosios"},{"family":"Nelson","given":"Christopher P"},{"family":"Hopewell","given":"Jemma C"},{"family":"Webb","given":"Thomas R"},{"family":"Zeng","given":"Lingyao"},{"family":"Dehghan","given":"Abbas"},{"family":"Alver","given":"Maris"},{"family":"Armasu","given":"Sebastian M"},{"family":"Auro","given":"Kirsi"},{"family":"Bjonnes","given":"Andrew"},{"family":"Chasman","given":"Daniel I"},{"family":"Chen","given":"Shufeng"},{"family":"Ford","given":"Ian"},{"family":"Franceschini","given":"Nora"},{"family":"Gieger","given":"Christian"},{"family":"Grace","given":"Christopher"},{"family":"Gustafsson","given":"Stefan"},{"family":"Huang","given":"Jie"},{"family":"Hwang","given":"Shih-Jen"},{"family":"Kim","given":"Yun Kyoung"},{"family":"Kleber","given":"Marcus E"},{"family":"Lau","given":"King Wai"},{"family":"Lu","given":"Xiangfeng"},{"family":"Lu","given":"Yingchang"},{"family":"Lyytikäinen","given":"Leo-Pekka"},{"family":"Mihailov","given":"Evelin"},{"family":"Morrison","given":"Alanna C"},{"family":"Pervjakova","given":"Natalia"},{"family":"Qu","given":"Liming"},{"family":"Rose","given":"Lynda M"},{"family":"Salfati","given":"Elias"},{"family":"Saxena","given":"Richa"},{"family":"Scholz","given":"Markus"},{"family":"Smith","given":"Albert V"},{"family":"Tikkanen","given":"Emmi"},{"family":"Uitterlinden","given":"Andre"},{"family":"Yang","given":"Xueli"},{"family":"Zhang","given":"Weihua"},{"family":"Zhao","given":"Wei"},{"family":"Andrade","given":"Mariza","non-dropping-particle":"de"},{"family":"Vries","given":"Paul S","non-dropping-particle":"de"},{"family":"Zuydam","given":"Natalie R","non-dropping-particle":"van"},{"family":"Anand","given":"Sonia S"},{"family":"Bertram","given":"Lars"},{"family":"Beutner","given":"Frank"},{"family":"Dedoussis","given":"George"},{"family":"Frossard","given":"Philippe"},{"family":"Gauguier","given":"Dominique"},{"family":"Goodall","given":"Alison H"},{"family":"Gottesman","given":"Omri"},{"family":"Haber","given":"Marc"},{"family":"Han","given":"Bok-Ghee"},{"family":"Huang","given":"Jianfeng"},{"family":"Jalilzadeh","given":"Shapour"},{"family":"Kessler","given":"Thorsten"},{"family":"König","given":"Inke R"},{"family":"Lannfelt","given":"Lars"},{"family":"Lieb","given":"Wolfgang"},{"family":"Lind","given":"Lars"},{"family":"Lindgren","given":"Cecilia M"},{"family":"Lokki","given":"Marja-Liisa"},{"family":"Magnusson","given":"Patrik K"},{"family":"Mallick","given":"Nadeem H"},{"family":"Mehra","given":"Narinder"},{"family":"Meitinger","given":"Thomas"},{"family":"Memon","given":"Fazal-ur-Rehman"},{"family":"Morris","given":"Andrew P"},{"family":"Nieminen","given":"Markku S"},{"family":"Pedersen","given":"Nancy L"},{"family":"Peters","given":"Annette"},{"family":"Rallidis","given":"Loukianos S"},{"family":"Rasheed","given":"Asif"},{"family":"Samuel","given":"Maria"},{"family":"Shah","given":"Svati H"},{"family":"Sinisalo","given":"Juha"},{"family":"Stirrups","given":"Kathleen E"},{"family":"Trompet","given":"Stella"},{"family":"Wang","given":"Laiyuan"},{"family":"Zaman","given":"Khan S"},{"family":"Ardissino","given":"Diego"},{"family":"Boerwinkle","given":"Eric"},{"family":"Borecki","given":"Ingrid B"},{"family":"Bottinger","given":"Erwin P"},{"family":"Buring","given":"Julie E"},{"family":"Chambers","given":"John C"},{"family":"Collins","given":"Rory"},{"family":"Cupples","given":"L Adrienne"},{"family":"Danesh","given":"John"},{"family":"Demuth","given":"Ilja"},{"family":"Elosua","given":"Roberto"},{"family":"Epstein","given":"Stephen E"},{"family":"Esko","given":"Tõnu"},{"family":"Feitosa","given":"Mary F"},{"family":"Franco","given":"Oscar H"},{"family":"Franzosi","given":"Maria Grazia"},{"family":"Granger","given":"Christopher B"},{"family":"Gu","given":"Dongfeng"},{"family":"Gudnason","given":"Vilmundur"},{"family":"Hall","given":"Alistair S"},{"family":"Hamsten","given":"Anders"},{"family":"Harris","given":"Tamara B"},{"family":"Hazen","given":"Stanley L"},{"family":"Hengstenberg","given":"Christian"},{"family":"Hofman","given":"Albert"},{"family":"Ingelsson","given":"Erik"},{"family":"Iribarren","given":"Carlos"},{"family":"Jukema","given":"J Wouter"},{"family":"Karhunen","given":"Pekka J"},{"family":"Kim","given":"Bong-Jo"},{"family":"Kooner","given":"Jaspal S"},{"family":"Kullo","given":"Iftikhar J"},{"family":"Lehtimäki","given":"Terho"},{"family":"Loos","given":"Ruth J F"},{"family":"Melander","given":"Olle"},{"family":"Metspalu","given":"Andres"},{"family":"März","given":"Winfried"},{"family":"Palmer","given":"Colin N"},{"family":"Perola","given":"Markus"},{"family":"Quertermous","given":"Thomas"},{"family":"Rader","given":"Daniel J"},{"family":"Ridker","given":"Paul M"},{"family":"Ripatti","given":"Samuli"},{"family":"Roberts","given":"Robert"},{"family":"Salomaa","given":"Veikko"},{"family":"Sanghera","given":"Dharambir K"},{"family":"Schwartz","given":"Stephen M"},{"family":"Seedorf","given":"Udo"},{"family":"Stewart","given":"Alexandre F"},{"family":"Stott","given":"David J"},{"family":"Thiery","given":"Joachim"},{"family":"Zalloua","given":"Pierre A"},{"family":"O'Donnell","given":"Christopher J"},{"family":"Reilly","given":"Muredach P"},{"family":"Assimes","given":"Themistocles L"},{"family":"Thompson","given":"John R"},{"family":"Erdmann","given":"Jeanette"},{"family":"Clarke","given":"Robert"},{"family":"Watkins","given":"Hugh"},{"family":"Kathiresan","given":"Sekar"},{"family":"McPherson","given":"Ruth"},{"family":"Deloukas","given":"Panos"},{"family":"Schunkert","given":"Heribert"},{"family":"Samani","given":"Nilesh J"},{"family":"Farrall","given":"Martin"},{"literal":"the CARDIoGRAMplusC4D Consortium"}],"issued":{"date-parts":[["2015",10]]},"citation-key":"nikpayComprehensive1000Genomes2015"}}],"schema":"https://github.com/citation-style-language/schema/raw/master/csl-citation.json"} </w:instrText>
      </w:r>
      <w:r>
        <w:fldChar w:fldCharType="separate"/>
      </w:r>
      <w:r w:rsidR="00521971" w:rsidRPr="00521971">
        <w:t>(4)</w:t>
      </w:r>
      <w:r>
        <w:fldChar w:fldCharType="end"/>
      </w:r>
      <w:r>
        <w:t>, dilated cardiomyopathy</w:t>
      </w:r>
      <w:r>
        <w:fldChar w:fldCharType="begin"/>
      </w:r>
      <w:r w:rsidR="00521971">
        <w:instrText xml:space="preserve"> ADDIN ZOTERO_ITEM CSL_CITATION {"citationID":"J333UK3o","properties":{"formattedCitation":"(6)","plainCitation":"(6)","noteIndex":0},"citationItems":[{"id":2408,"uris":["http://zotero.org/groups/4543840/items/SIV8PXZI"],"itemData":{"id":2408,"type":"article-journal","abstract":"Current genome-wide association studies do not yet capture sufficient diversity in populations and scope of phenotypes. To expand an atlas of genetic associations in non-European populations, we conducted 220 deep-phenotype genome-wide association studies (diseases, biomarkers and medication usage) in BioBank Japan (n = 179,000), by incorporating past medical history and text-mining of electronic medical records. Meta-analyses with the UK Biobank and FinnGen (ntotal = 628,000) identified ~5,000 new loci, which improved the resolution of the genomic map of human traits. This atlas elucidated the landscape of pleiotropy as represented by the major histocompatibility complex locus, where we conducted HLA fine-mapping. Finally, we performed statistical decomposition of matrices of phenome-wide summary statistics, and identified latent genetic components, which pinpointed responsible variants and biological mechanisms underlying current disease classifications across populations. The decomposed components enabled genetically informed subtyping of similar diseases (for example, allergic diseases). Our study suggests a potential avenue for hypothesis-free re-investigation of human diseases through genetics.","container-title":"Nature Genetics","DOI":"10.1038/s41588-021-00931-x","ISSN":"1546-1718","issue":"10","journalAbbreviation":"Nat Genet","language":"en","license":"2021 The Author(s), under exclusive licence to Springer Nature America, Inc.","note":"number: 10\npublisher: Nature Publishing Group","page":"1415-1424","source":"www-nature-com.ep.fjernadgang.kb.dk","title":"A cross-population atlas of genetic associations for 220 human phenotypes","volume":"53","author":[{"family":"Sakaue","given":"Saori"},{"family":"Kanai","given":"Masahiro"},{"family":"Tanigawa","given":"Yosuke"},{"family":"Karjalainen","given":"Juha"},{"family":"Kurki","given":"Mitja"},{"family":"Koshiba","given":"Seizo"},{"family":"Narita","given":"Akira"},{"family":"Konuma","given":"Takahiro"},{"family":"Yamamoto","given":"Kenichi"},{"family":"Akiyama","given":"Masato"},{"family":"Ishigaki","given":"Kazuyoshi"},{"family":"Suzuki","given":"Akari"},{"family":"Suzuki","given":"Ken"},{"family":"Obara","given":"Wataru"},{"family":"Yamaji","given":"Ken"},{"family":"Takahashi","given":"Kazuhisa"},{"family":"Asai","given":"Satoshi"},{"family":"Takahashi","given":"Yasuo"},{"family":"Suzuki","given":"Takao"},{"family":"Shinozaki","given":"Nobuaki"},{"family":"Yamaguchi","given":"Hiroki"},{"family":"Minami","given":"Shiro"},{"family":"Murayama","given":"Shigeo"},{"family":"Yoshimori","given":"Kozo"},{"family":"Nagayama","given":"Satoshi"},{"family":"Obata","given":"Daisuke"},{"family":"Higashiyama","given":"Masahiko"},{"family":"Masumoto","given":"Akihide"},{"family":"Koretsune","given":"Yukihiro"},{"family":"Ito","given":"Kaoru"},{"family":"Terao","given":"Chikashi"},{"family":"Yamauchi","given":"Toshimasa"},{"family":"Komuro","given":"Issei"},{"family":"Kadowaki","given":"Takashi"},{"family":"Tamiya","given":"Gen"},{"family":"Yamamoto","given":"Masayuki"},{"family":"Nakamura","given":"Yusuke"},{"family":"Kubo","given":"Michiaki"},{"family":"Murakami","given":"Yoshinori"},{"family":"Yamamoto","given":"Kazuhiko"},{"family":"Kamatani","given":"Yoichiro"},{"family":"Palotie","given":"Aarno"},{"family":"Rivas","given":"Manuel A."},{"family":"Daly","given":"Mark J."},{"family":"Matsuda","given":"Koichi"},{"family":"Okada","given":"Yukinori"}],"issued":{"date-parts":[["2021",10]]},"citation-key":"sakaueCrosspopulationAtlasGenetic2021"}}],"schema":"https://github.com/citation-style-language/schema/raw/master/csl-citation.json"} </w:instrText>
      </w:r>
      <w:r>
        <w:fldChar w:fldCharType="separate"/>
      </w:r>
      <w:r w:rsidR="00521971" w:rsidRPr="00521971">
        <w:t>(6)</w:t>
      </w:r>
      <w:r>
        <w:fldChar w:fldCharType="end"/>
      </w:r>
      <w:r>
        <w:t>, hypertrophic cardiomyopathy</w:t>
      </w:r>
      <w:r>
        <w:fldChar w:fldCharType="begin"/>
      </w:r>
      <w:r w:rsidR="00521971">
        <w:instrText xml:space="preserve"> ADDIN ZOTERO_ITEM CSL_CITATION {"citationID":"uyZ9JJ8f","properties":{"formattedCitation":"(6)","plainCitation":"(6)","noteIndex":0},"citationItems":[{"id":2408,"uris":["http://zotero.org/groups/4543840/items/SIV8PXZI"],"itemData":{"id":2408,"type":"article-journal","abstract":"Current genome-wide association studies do not yet capture sufficient diversity in populations and scope of phenotypes. To expand an atlas of genetic associations in non-European populations, we conducted 220 deep-phenotype genome-wide association studies (diseases, biomarkers and medication usage) in BioBank Japan (n = 179,000), by incorporating past medical history and text-mining of electronic medical records. Meta-analyses with the UK Biobank and FinnGen (ntotal = 628,000) identified ~5,000 new loci, which improved the resolution of the genomic map of human traits. This atlas elucidated the landscape of pleiotropy as represented by the major histocompatibility complex locus, where we conducted HLA fine-mapping. Finally, we performed statistical decomposition of matrices of phenome-wide summary statistics, and identified latent genetic components, which pinpointed responsible variants and biological mechanisms underlying current disease classifications across populations. The decomposed components enabled genetically informed subtyping of similar diseases (for example, allergic diseases). Our study suggests a potential avenue for hypothesis-free re-investigation of human diseases through genetics.","container-title":"Nature Genetics","DOI":"10.1038/s41588-021-00931-x","ISSN":"1546-1718","issue":"10","journalAbbreviation":"Nat Genet","language":"en","license":"2021 The Author(s), under exclusive licence to Springer Nature America, Inc.","note":"number: 10\npublisher: Nature Publishing Group","page":"1415-1424","source":"www-nature-com.ep.fjernadgang.kb.dk","title":"A cross-population atlas of genetic associations for 220 human phenotypes","volume":"53","author":[{"family":"Sakaue","given":"Saori"},{"family":"Kanai","given":"Masahiro"},{"family":"Tanigawa","given":"Yosuke"},{"family":"Karjalainen","given":"Juha"},{"family":"Kurki","given":"Mitja"},{"family":"Koshiba","given":"Seizo"},{"family":"Narita","given":"Akira"},{"family":"Konuma","given":"Takahiro"},{"family":"Yamamoto","given":"Kenichi"},{"family":"Akiyama","given":"Masato"},{"family":"Ishigaki","given":"Kazuyoshi"},{"family":"Suzuki","given":"Akari"},{"family":"Suzuki","given":"Ken"},{"family":"Obara","given":"Wataru"},{"family":"Yamaji","given":"Ken"},{"family":"Takahashi","given":"Kazuhisa"},{"family":"Asai","given":"Satoshi"},{"family":"Takahashi","given":"Yasuo"},{"family":"Suzuki","given":"Takao"},{"family":"Shinozaki","given":"Nobuaki"},{"family":"Yamaguchi","given":"Hiroki"},{"family":"Minami","given":"Shiro"},{"family":"Murayama","given":"Shigeo"},{"family":"Yoshimori","given":"Kozo"},{"family":"Nagayama","given":"Satoshi"},{"family":"Obata","given":"Daisuke"},{"family":"Higashiyama","given":"Masahiko"},{"family":"Masumoto","given":"Akihide"},{"family":"Koretsune","given":"Yukihiro"},{"family":"Ito","given":"Kaoru"},{"family":"Terao","given":"Chikashi"},{"family":"Yamauchi","given":"Toshimasa"},{"family":"Komuro","given":"Issei"},{"family":"Kadowaki","given":"Takashi"},{"family":"Tamiya","given":"Gen"},{"family":"Yamamoto","given":"Masayuki"},{"family":"Nakamura","given":"Yusuke"},{"family":"Kubo","given":"Michiaki"},{"family":"Murakami","given":"Yoshinori"},{"family":"Yamamoto","given":"Kazuhiko"},{"family":"Kamatani","given":"Yoichiro"},{"family":"Palotie","given":"Aarno"},{"family":"Rivas","given":"Manuel A."},{"family":"Daly","given":"Mark J."},{"family":"Matsuda","given":"Koichi"},{"family":"Okada","given":"Yukinori"}],"issued":{"date-parts":[["2021",10]]},"citation-key":"sakaueCrosspopulationAtlasGenetic2021"}}],"schema":"https://github.com/citation-style-language/schema/raw/master/csl-citation.json"} </w:instrText>
      </w:r>
      <w:r>
        <w:fldChar w:fldCharType="separate"/>
      </w:r>
      <w:r w:rsidR="00521971" w:rsidRPr="00521971">
        <w:t>(6)</w:t>
      </w:r>
      <w:r>
        <w:fldChar w:fldCharType="end"/>
      </w:r>
      <w:r>
        <w:t>, systolic and diastolic blood pressure</w:t>
      </w:r>
      <w:r>
        <w:fldChar w:fldCharType="begin"/>
      </w:r>
      <w:r w:rsidR="00521971">
        <w:instrText xml:space="preserve"> ADDIN ZOTERO_ITEM CSL_CITATION {"citationID":"cn2xyX10","properties":{"formattedCitation":"(7)","plainCitation":"(7)","noteIndex":0},"citationItems":[{"id":2410,"uris":["http://zotero.org/groups/4543840/items/YTX6SKLV"],"itemData":{"id":2410,"type":"article-journal","abstract":"Thomas Hoffmann, Neil Risch and colleagues use longitudinal electronic health records from almost 100,000 individuals to conduct genome-wide association studies for blood pressure measurements. They find new significant loci that replicate in independent cohorts and can double the variance explained by using multiple blood pressure data points.","container-title":"Nature Genetics","DOI":"10.1038/ng.3715","ISSN":"1546-1718","issue":"1","journalAbbreviation":"Nat Genet","language":"en","note":"number: 1\npublisher: Nature Publishing Group","page":"54-64","source":"www-nature-com.ep.fjernadgang.kb.dk","title":"Genome-wide association analyses using electronic health records identify new loci influencing blood pressure variation","volume":"49","author":[{"family":"Hoffmann","given":"Thomas J."},{"family":"Ehret","given":"Georg B."},{"family":"Nandakumar","given":"Priyanka"},{"family":"Ranatunga","given":"Dilrini"},{"family":"Schaefer","given":"Catherine"},{"family":"Kwok","given":"Pui-Yan"},{"family":"Iribarren","given":"Carlos"},{"family":"Chakravarti","given":"Aravinda"},{"family":"Risch","given":"Neil"}],"issued":{"date-parts":[["2017",1]]},"citation-key":"hoffmannGenomewideAssociationAnalyses2017"}}],"schema":"https://github.com/citation-style-language/schema/raw/master/csl-citation.json"} </w:instrText>
      </w:r>
      <w:r>
        <w:fldChar w:fldCharType="separate"/>
      </w:r>
      <w:r w:rsidR="00521971" w:rsidRPr="00521971">
        <w:t>(7)</w:t>
      </w:r>
      <w:r>
        <w:fldChar w:fldCharType="end"/>
      </w:r>
      <w:r>
        <w:t>, stroke</w:t>
      </w:r>
      <w:r>
        <w:fldChar w:fldCharType="begin"/>
      </w:r>
      <w:r w:rsidR="00521971">
        <w:instrText xml:space="preserve"> ADDIN ZOTERO_ITEM CSL_CITATION {"citationID":"9YEVKE3K","properties":{"formattedCitation":"(8)","plainCitation":"(8)","noteIndex":0},"citationItems":[{"id":2413,"uris":["http://zotero.org/groups/4543840/items/5BNNR7Z5"],"itemData":{"id":2413,"type":"article-journal","abstract":"Stroke has multiple etiologies, but the underlying genes and pathways are largely unknown. We conducted a multiancestry genome-wide-association meta-analysis in 521,612 individuals (67,162 cases and 454,450 controls) and discovered 22 new stroke risk loci, bringing the total to 32. We further found shared genetic variation with related vascular traits, including blood pressure, cardiac traits, and venous thromboembolism, at individual loci (n = 18), and using genetic risk scores and linkage-disequilibrium-score regression. Several loci exhibited distinct association and pleiotropy patterns for etiological stroke subtypes. Eleven new susceptibility loci indicate mechanisms not previously implicated in stroke pathophysiology, with prioritization of risk variants and genes accomplished through bioinformatics analyses using extensive functional datasets. Stroke risk loci were significantly enriched in drug targets for antithrombotic therapy.","container-title":"Nature Genetics","DOI":"10.1038/s41588-018-0058-3","ISSN":"1546-1718","issue":"4","journalAbbreviation":"Nat Genet","language":"en","license":"2018 The Author(s)","note":"number: 4\npublisher: Nature Publishing Group","page":"524-537","source":"www-nature-com.ep.fjernadgang.kb.dk","title":"Multiancestry genome-wide association study of 520,000 subjects identifies 32 loci associated with stroke and stroke subtypes","volume":"50","author":[{"family":"Malik","given":"Rainer"},{"family":"Chauhan","given":"Ganesh"},{"family":"Traylor","given":"Matthew"},{"family":"Sargurupremraj","given":"Muralidharan"},{"family":"Okada","given":"Yukinori"},{"family":"Mishra","given":"Aniket"},{"family":"Rutten-Jacobs","given":"Loes"},{"family":"Giese","given":"Anne-Katrin"},{"family":"Laan","given":"Sander W.","non-dropping-particle":"van der"},{"family":"Gretarsdottir","given":"Solveig"},{"family":"Anderson","given":"Christopher D."},{"family":"Chong","given":"Michael"},{"family":"Adams","given":"Hieab H. H."},{"family":"Ago","given":"Tetsuro"},{"family":"Almgren","given":"Peter"},{"family":"Amouyel","given":"Philippe"},{"family":"Ay","given":"Hakan"},{"family":"Bartz","given":"Traci M."},{"family":"Benavente","given":"Oscar R."},{"family":"Bevan","given":"Steve"},{"family":"Boncoraglio","given":"Giorgio B."},{"family":"Brown","given":"Robert D."},{"family":"Butterworth","given":"Adam S."},{"family":"Carrera","given":"Caty"},{"family":"Carty","given":"Cara L."},{"family":"Chasman","given":"Daniel I."},{"family":"Chen","given":"Wei-Min"},{"family":"Cole","given":"John W."},{"family":"Correa","given":"Adolfo"},{"family":"Cotlarciuc","given":"Ioana"},{"family":"Cruchaga","given":"Carlos"},{"family":"Danesh","given":"John"},{"family":"Bakker","given":"Paul I. W.","non-dropping-particle":"de"},{"family":"DeStefano","given":"Anita L."},{"family":"Hoed","given":"Marcel","non-dropping-particle":"den"},{"family":"Duan","given":"Qing"},{"family":"Engelter","given":"Stefan T."},{"family":"Falcone","given":"Guido J."},{"family":"Gottesman","given":"Rebecca F."},{"family":"Grewal","given":"Raji P."},{"family":"Gudnason","given":"Vilmundur"},{"family":"Gustafsson","given":"Stefan"},{"family":"Haessler","given":"Jeffrey"},{"family":"Harris","given":"Tamara B."},{"family":"Hassan","given":"Ahamad"},{"family":"Havulinna","given":"Aki S."},{"family":"Heckbert","given":"Susan R."},{"family":"Holliday","given":"Elizabeth G."},{"family":"Howard","given":"George"},{"family":"Hsu","given":"Fang-Chi"},{"family":"Hyacinth","given":"Hyacinth I."},{"family":"Ikram","given":"M. Arfan"},{"family":"Ingelsson","given":"Erik"},{"family":"Irvin","given":"Marguerite R."},{"family":"Jian","given":"Xueqiu"},{"family":"Jiménez-Conde","given":"Jordi"},{"family":"Johnson","given":"Julie A."},{"family":"Jukema","given":"J. Wouter"},{"family":"Kanai","given":"Masahiro"},{"family":"Keene","given":"Keith L."},{"family":"Kissela","given":"Brett M."},{"family":"Kleindorfer","given":"Dawn O."},{"family":"Kooperberg","given":"Charles"},{"family":"Kubo","given":"Michiaki"},{"family":"Lange","given":"Leslie A."},{"family":"Langefeld","given":"Carl D."},{"family":"Langenberg","given":"Claudia"},{"family":"Launer","given":"Lenore J."},{"family":"Lee","given":"Jin-Moo"},{"family":"Lemmens","given":"Robin"},{"family":"Leys","given":"Didier"},{"family":"Lewis","given":"Cathryn M."},{"family":"Lin","given":"Wei-Yu"},{"family":"Lindgren","given":"Arne G."},{"family":"Lorentzen","given":"Erik"},{"family":"Magnusson","given":"Patrik K."},{"family":"Maguire","given":"Jane"},{"family":"Manichaikul","given":"Ani"},{"family":"McArdle","given":"Patrick F."},{"family":"Meschia","given":"James F."},{"family":"Mitchell","given":"Braxton D."},{"family":"Mosley","given":"Thomas H."},{"family":"Nalls","given":"Michael A."},{"family":"Ninomiya","given":"Toshiharu"},{"family":"O’Donnell","given":"Martin J."},{"family":"Psaty","given":"Bruce M."},{"family":"Pulit","given":"Sara L."},{"family":"Rannikmäe","given":"Kristiina"},{"family":"Reiner","given":"Alexander P."},{"family":"Rexrode","given":"Kathryn M."},{"family":"Rice","given":"Kenneth"},{"family":"Rich","given":"Stephen S."},{"family":"Ridker","given":"Paul M."},{"family":"Rost","given":"Natalia S."},{"family":"Rothwell","given":"Peter M."},{"family":"Rotter","given":"Jerome I."},{"family":"Rundek","given":"Tatjana"},{"family":"Sacco","given":"Ralph L."},{"family":"Sakaue","given":"Saori"},{"family":"Sale","given":"Michele M."},{"family":"Salomaa","given":"Veikko"},{"family":"Sapkota","given":"Bishwa R."},{"family":"Schmidt","given":"Reinhold"},{"family":"Schmidt","given":"Carsten O."},{"family":"Schminke","given":"Ulf"},{"family":"Sharma","given":"Pankaj"},{"family":"Slowik","given":"Agnieszka"},{"family":"Sudlow","given":"Cathie L. M."},{"family":"Tanislav","given":"Christian"},{"family":"Tatlisumak","given":"Turgut"},{"family":"Taylor","given":"Kent D."},{"family":"Thijs","given":"Vincent N. S."},{"family":"Thorleifsson","given":"Gudmar"},{"family":"Thorsteinsdottir","given":"Unnur"},{"family":"Tiedt","given":"Steffen"},{"family":"Trompet","given":"Stella"},{"family":"Tzourio","given":"Christophe"},{"family":"Duijn","given":"Cornelia M.","non-dropping-particle":"van"},{"family":"Walters","given":"Matthew"},{"family":"Wareham","given":"Nicholas J."},{"family":"Wassertheil-Smoller","given":"Sylvia"},{"family":"Wilson","given":"James G."},{"family":"Wiggins","given":"Kerri L."},{"family":"Yang","given":"Qiong"},{"family":"Yusuf","given":"Salim"},{"family":"Bis","given":"Joshua C."},{"family":"Pastinen","given":"Tomi"},{"family":"Ruusalepp","given":"Arno"},{"family":"Schadt","given":"Eric E."},{"family":"Koplev","given":"Simon"},{"family":"Björkegren","given":"Johan L. M."},{"family":"Codoni","given":"Veronica"},{"family":"Civelek","given":"Mete"},{"family":"Smith","given":"Nicholas L."},{"family":"Trégouët","given":"David A."},{"family":"Christophersen","given":"Ingrid E."},{"family":"Roselli","given":"Carolina"},{"family":"Lubitz","given":"Steven A."},{"family":"Ellinor","given":"Patrick T."},{"family":"Tai","given":"E. Shyong"},{"family":"Kooner","given":"Jaspal S."},{"family":"Kato","given":"Norihiro"},{"family":"He","given":"Jiang"},{"family":"Harst","given":"Pim","non-dropping-particle":"van der"},{"family":"Elliott","given":"Paul"},{"family":"Chambers","given":"John C."},{"family":"Takeuchi","given":"Fumihiko"},{"family":"Johnson","given":"Andrew D."},{"family":"Sanghera","given":"Dharambir K."},{"family":"Melander","given":"Olle"},{"family":"Jern","given":"Christina"},{"family":"Strbian","given":"Daniel"},{"family":"Fernandez-Cadenas","given":"Israel"},{"family":"Longstreth","given":"W. T."},{"family":"Rolfs","given":"Arndt"},{"family":"Hata","given":"Jun"},{"family":"Woo","given":"Daniel"},{"family":"Rosand","given":"Jonathan"},{"family":"Pare","given":"Guillaume"},{"family":"Hopewell","given":"Jemma C."},{"family":"Saleheen","given":"Danish"},{"family":"Stefansson","given":"Kari"},{"family":"Worrall","given":"Bradford B."},{"family":"Kittner","given":"Steven J."},{"family":"Seshadri","given":"Sudha"},{"family":"Fornage","given":"Myriam"},{"family":"Markus","given":"Hugh S."},{"family":"Howson","given":"Joanna M. M."},{"family":"Kamatani","given":"Yoichiro"},{"family":"Debette","given":"Stephanie"},{"family":"Dichgans","given":"Martin"}],"issued":{"date-parts":[["2018",4]]},"citation-key":"malikMultiancestryGenomewideAssociation2018"}}],"schema":"https://github.com/citation-style-language/schema/raw/master/csl-citation.json"} </w:instrText>
      </w:r>
      <w:r>
        <w:fldChar w:fldCharType="separate"/>
      </w:r>
      <w:r w:rsidR="00521971" w:rsidRPr="00521971">
        <w:t>(8)</w:t>
      </w:r>
      <w:r>
        <w:fldChar w:fldCharType="end"/>
      </w:r>
      <w:r>
        <w:t>, total cholesterol and triglyceride levels</w:t>
      </w:r>
      <w:r>
        <w:fldChar w:fldCharType="begin"/>
      </w:r>
      <w:r w:rsidR="00521971">
        <w:instrText xml:space="preserve"> ADDIN ZOTERO_ITEM CSL_CITATION {"citationID":"QcIIWLbT","properties":{"formattedCitation":"(9)","plainCitation":"(9)","noteIndex":0},"citationItems":[{"id":2416,"uris":["http://zotero.org/groups/4543840/items/6QK6RSWM"],"itemData":{"id":2416,"type":"article-journal","abstract":"Samuli Ripatti and colleagues report the results of a genome-wide association study for circulating lipid levels based on 1000 Genomes Project imputation. Their results implicate several new loci, refine the association signals at many established loci and highlight the impact of low-frequency variants on lipid traits.","container-title":"Nature Genetics","DOI":"10.1038/ng.3300","ISSN":"1546-1718","issue":"6","journalAbbreviation":"Nat Genet","language":"en","note":"number: 6\npublisher: Nature Publishing Group","page":"589-597","source":"www-nature-com.ep.fjernadgang.kb.dk","title":"The impact of low-frequency and rare variants on lipid levels","volume":"47","author":[{"family":"Surakka","given":"Ida"},{"family":"Horikoshi","given":"Momoko"},{"family":"Mägi","given":"Reedik"},{"family":"Sarin","given":"Antti-Pekka"},{"family":"Mahajan","given":"Anubha"},{"family":"Lagou","given":"Vasiliki"},{"family":"Marullo","given":"Letizia"},{"family":"Ferreira","given":"Teresa"},{"family":"Miraglio","given":"Benjamin"},{"family":"Timonen","given":"Sanna"},{"family":"Kettunen","given":"Johannes"},{"family":"Pirinen","given":"Matti"},{"family":"Karjalainen","given":"Juha"},{"family":"Thorleifsson","given":"Gudmar"},{"family":"Hägg","given":"Sara"},{"family":"Hottenga","given":"Jouke-Jan"},{"family":"Isaacs","given":"Aaron"},{"family":"Ladenvall","given":"Claes"},{"family":"Beekman","given":"Marian"},{"family":"Esko","given":"Tõnu"},{"family":"Ried","given":"Janina S."},{"family":"Nelson","given":"Christopher P."},{"family":"Willenborg","given":"Christina"},{"family":"Gustafsson","given":"Stefan"},{"family":"Westra","given":"Harm-Jan"},{"family":"Blades","given":"Matthew"},{"family":"Craen","given":"Anton J. M.","non-dropping-particle":"de"},{"family":"Geus","given":"Eco J.","non-dropping-particle":"de"},{"family":"Deelen","given":"Joris"},{"family":"Grallert","given":"Harald"},{"family":"Hamsten","given":"Anders"},{"family":"Havulinna","given":"Aki S."},{"family":"Hengstenberg","given":"Christian"},{"family":"Houwing-Duistermaat","given":"Jeanine J."},{"family":"Hyppönen","given":"Elina"},{"family":"Karssen","given":"Lennart C."},{"family":"Lehtimäki","given":"Terho"},{"family":"Lyssenko","given":"Valeriya"},{"family":"Magnusson","given":"Patrik K. E."},{"family":"Mihailov","given":"Evelin"},{"family":"Müller-Nurasyid","given":"Martina"},{"family":"Mpindi","given":"John-Patrick"},{"family":"Pedersen","given":"Nancy L."},{"family":"Penninx","given":"Brenda W. J. H."},{"family":"Perola","given":"Markus"},{"family":"Pers","given":"Tune H."},{"family":"Peters","given":"Annette"},{"family":"Rung","given":"Johan"},{"family":"Smit","given":"Johannes H."},{"family":"Steinthorsdottir","given":"Valgerdur"},{"family":"Tobin","given":"Martin D."},{"family":"Tsernikova","given":"Natalia"},{"family":"Leeuwen","given":"Elisabeth M.","non-dropping-particle":"van"},{"family":"Viikari","given":"Jorma S."},{"family":"Willems","given":"Sara M."},{"family":"Willemsen","given":"Gonneke"},{"family":"Schunkert","given":"Heribert"},{"family":"Erdmann","given":"Jeanette"},{"family":"Samani","given":"Nilesh J."},{"family":"Kaprio","given":"Jaakko"},{"family":"Lind","given":"Lars"},{"family":"Gieger","given":"Christian"},{"family":"Metspalu","given":"Andres"},{"family":"Slagboom","given":"P. Eline"},{"family":"Groop","given":"Leif"},{"family":"Duijn","given":"Cornelia M.","non-dropping-particle":"van"},{"family":"Eriksson","given":"Johan G."},{"family":"Jula","given":"Antti"},{"family":"Salomaa","given":"Veikko"},{"family":"Boomsma","given":"Dorret I."},{"family":"Power","given":"Christine"},{"family":"Raitakari","given":"Olli T."},{"family":"Ingelsson","given":"Erik"},{"family":"Järvelin","given":"Marjo-Riitta"},{"family":"Thorsteinsdottir","given":"Unnur"},{"family":"Franke","given":"Lude"},{"family":"Ikonen","given":"Elina"},{"family":"Kallioniemi","given":"Olli"},{"family":"Pietiäinen","given":"Vilja"},{"family":"Lindgren","given":"Cecilia M."},{"family":"Stefansson","given":"Kari"},{"family":"Palotie","given":"Aarno"},{"family":"McCarthy","given":"Mark I."},{"family":"Morris","given":"Andrew P."},{"family":"Prokopenko","given":"Inga"},{"family":"Ripatti","given":"Samuli"}],"issued":{"date-parts":[["2015",6]]},"citation-key":"surakkaImpactLowfrequencyRare2015"}}],"schema":"https://github.com/citation-style-language/schema/raw/master/csl-citation.json"} </w:instrText>
      </w:r>
      <w:r>
        <w:fldChar w:fldCharType="separate"/>
      </w:r>
      <w:r w:rsidR="00521971" w:rsidRPr="00521971">
        <w:t>(9)</w:t>
      </w:r>
      <w:r>
        <w:fldChar w:fldCharType="end"/>
      </w:r>
      <w:r>
        <w:t>, non-alcoholic fatty liver disease</w:t>
      </w:r>
      <w:r>
        <w:fldChar w:fldCharType="begin"/>
      </w:r>
      <w:r w:rsidR="00521971">
        <w:instrText xml:space="preserve"> ADDIN ZOTERO_ITEM CSL_CITATION {"citationID":"cHHdy0Wc","properties":{"formattedCitation":"(10)","plainCitation":"(10)","noteIndex":0},"citationItems":[{"id":2419,"uris":["http://zotero.org/groups/4543840/items/RJ2UG399"],"itemData":{"id":2419,"type":"article-journal","abstract":"Background &amp; Aims\nGenetic factors associated with non-alcoholic fatty liver disease (NAFLD) remain incompletely understood. To date, most genome-wide association studies (GWASs) have adopted radiologically assessed hepatic triglyceride content as the reference phenotype and so cannot address steatohepatitis or fibrosis. We describe a GWAS encompassing the full spectrum of histologically characterised NAFLD.\nMethods\nThe GWAS involved 1,483 European NAFLD cases and 17,781 genetically matched controls. A replication cohort of 559 NAFLD cases and 945 controls was genotyped to confirm signals showing genome-wide or close to genome-wide significance.\nResults\nCase-control analysis identified signals showing p values ≤5 × 10−8 at 4 locations (chromosome [chr] 2 GCKR/C2ORF16; chr4 HSD17B13; chr19 TM6SF2; chr22 PNPLA3) together with 2 other signals with p &lt;1 × 10−7 (chr1 near LEPR and chr8 near IDO2/TC1). Case-only analysis of quantitative traits showed that the PNPLA3 signal (rs738409) had genome-wide significance for steatosis, fibrosis and NAFLD activity score and a new signal (PYGO1 rs62021874) had close to genome-wide significance for steatosis (p = 8.2 × 10−8). Subgroup case-control analysis for NASH confirmed the PNPLA3 signal. The chr1 LEPR single nucleotide polymorphism also showed genome-wide significance for this phenotype. Considering the subgroup with advanced fibrosis (≥F3), the signals on chr2, chr19 and chr22 maintained their genome-wide significance. Except for GCKR/C2ORF16, the genome-wide significance signals were replicated.\nConclusions\nThis study confirms PNPLA3 as a risk factor for the full histological spectrum of NAFLD at genome-wide significance levels, with important contributions from TM6SF2 and HSD17B13. PYGO1 is a novel steatosis modifier, suggesting that Wnt signalling pathways may be relevant in NAFLD pathogenesis.\nLay summary\nNon-alcoholic fatty liver disease is a common disease where excessive fat accumulates in the liver and may result in cirrhosis. To understand who is at risk of developing this disease and suffering liver damage, we undertook a genetic study to compare the genetic profiles of people suffering from fatty liver disease with genetic profiles seen in the general population. We found that particular sequences in 4 different areas of the human genome were seen at different frequencies in the fatty liver disease cases. These sequences may help predict an individual's risk of developing advanced disease. Some genes where these sequences are located may also be good targets for future drug treatments.","container-title":"Journal of Hepatology","DOI":"10.1016/j.jhep.2020.04.003","ISSN":"0168-8278","issue":"3","journalAbbreviation":"Journal of Hepatology","language":"en","page":"505-515","source":"ScienceDirect","title":"Genome-wide association study of non-alcoholic fatty liver and steatohepatitis in a histologically characterised cohort</w:instrText>
      </w:r>
      <w:r w:rsidR="00521971">
        <w:rPr>
          <w:rFonts w:ascii="Segoe UI Symbol" w:hAnsi="Segoe UI Symbol" w:cs="Segoe UI Symbol"/>
        </w:rPr>
        <w:instrText>☆</w:instrText>
      </w:r>
      <w:r w:rsidR="00521971">
        <w:instrText xml:space="preserve">","volume":"73","author":[{"family":"Anstee","given":"Quentin M."},{"family":"Darlay","given":"Rebecca"},{"family":"Cockell","given":"Simon"},{"family":"Meroni","given":"Marica"},{"family":"Govaere","given":"Olivier"},{"family":"Tiniakos","given":"Dina"},{"family":"Burt","given":"Alastair D."},{"family":"Bedossa","given":"Pierre"},{"family":"Palmer","given":"Jeremy"},{"family":"Liu","given":"Yang-Lin"},{"family":"Aithal","given":"Guruprasad P."},{"family":"Allison","given":"Michael"},{"family":"Yki-Järvinen","given":"Hannele"},{"family":"Vacca","given":"Michele"},{"family":"Dufour","given":"Jean-Francois"},{"family":"Invernizzi","given":"Pietro"},{"family":"Prati","given":"Daniele"},{"family":"Ekstedt","given":"Mattias"},{"family":"Kechagias","given":"Stergios"},{"family":"Francque","given":"Sven"},{"family":"Petta","given":"Salvatore"},{"family":"Bugianesi","given":"Elisabetta"},{"family":"Clement","given":"Karine"},{"family":"Ratziu","given":"Vlad"},{"family":"Schattenberg","given":"Jörn M."},{"family":"Valenti","given":"Luca"},{"family":"Day","given":"Christopher P."},{"family":"Cordell","given":"Heather J."},{"family":"Daly","given":"Ann K."}],"issued":{"date-parts":[["2020",9,1]]},"citation-key":"ansteeGenomewideAssociationStudy2020"}}],"schema":"https://github.com/citation-style-language/schema/raw/master/csl-citation.json"} </w:instrText>
      </w:r>
      <w:r>
        <w:fldChar w:fldCharType="separate"/>
      </w:r>
      <w:r w:rsidR="00521971" w:rsidRPr="00521971">
        <w:t>(10)</w:t>
      </w:r>
      <w:r>
        <w:fldChar w:fldCharType="end"/>
      </w:r>
      <w:r>
        <w:t xml:space="preserve">, </w:t>
      </w:r>
      <w:r w:rsidRPr="003177F9">
        <w:t>immune-mediated inflammatory diseases</w:t>
      </w:r>
      <w:r>
        <w:fldChar w:fldCharType="begin"/>
      </w:r>
      <w:r w:rsidR="00521971">
        <w:instrText xml:space="preserve"> ADDIN ZOTERO_ITEM CSL_CITATION {"citationID":"SIVwzXi2","properties":{"formattedCitation":"(11)","plainCitation":"(11)","noteIndex":0},"citationItems":[{"id":2422,"uris":["http://zotero.org/groups/4543840/items/SCG3XJK9"],"itemData":{"id":2422,"type":"article-journal","abstract":"Objective Immune-mediated inflammatory diseases (IMIDs) are heterogeneous and complex conditions with overlapping clinical symptoms and elevated familial aggregation, which suggests the existence of a shared genetic component. In order to identify this genetic background in a systematic fashion, we performed the first cross-disease genome-wide meta-analysis in systemic seropositive rheumatic diseases, namely, systemic sclerosis, systemic lupus erythematosus, rheumatoid arthritis and idiopathic inflammatory myopathies.\nMethods We meta-analysed ~6.5 million single nucleotide polymorphisms in 11 678 cases and 19 704 non-affected controls of European descent populations. The functional roles of the associated variants were interrogated using publicly available databases.\nResults Our analysis revealed five shared genome-wide significant independent loci that had not been previously associated with these diseases: NAB1, KPNA4-ARL14, DGQK, LIMK1 and PRR12. All of these loci are related with immune processes such as interferon and epidermal growth factor signalling, response to methotrexate, cytoskeleton dynamics and coagulation cascade. Remarkably, several of the associated loci are known key players in autoimmunity, which supports the validity of our results. All the associated variants showed significant functional enrichment in DNase hypersensitivity sites, chromatin states and histone marks in relevant immune cells, including shared expression quantitative trait loci. Additionally, our results were significantly enriched in drugs that are being tested for the treatment of the diseases under study.\nConclusions We have identified shared new risk loci with functional value across diseases and pinpoint new potential candidate loci that could be further investigated. Our results highlight the potential of drug repositioning among related systemic seropositive rheumatic IMIDs.","container-title":"Annals of the Rheumatic Diseases","DOI":"10.1136/annrheumdis-2018-214127","ISSN":"0003-4967, 1468-2060","issue":"3","language":"en","license":"© Author(s) (or their employer(s)) 2019. No commercial re-use. See rights and permissions. Published by BMJ.","note":"publisher: BMJ Publishing Group Ltd\nsection: Autoimmunity\nPMID: 30573655","page":"311-319","source":"ard.bmj.com","title":"Genome-wide meta-analysis reveals shared new loci in systemic seropositive rheumatic diseases","volume":"78","author":[{"family":"Acosta-Herrera","given":"Marialbert"},{"family":"Kerick","given":"Martin"},{"family":"González-Serna","given":"David"},{"family":"Consortium","given":"Myositis Genetics"},{"family":"Consortium","given":"Scleroderma Genetics"},{"family":"Wijmenga","given":"Cisca"},{"family":"Franke","given":"Andre"},{"family":"Gregersen","given":"Peter K."},{"family":"Padyukov","given":"Leonid"},{"family":"Worthington","given":"Jane"},{"family":"Vyse","given":"Timothy James"},{"family":"Alarcón-Riquelme","given":"Marta Eugenia"},{"family":"Mayes","given":"Maureen D."},{"family":"Martin","given":"Javier"}],"issued":{"date-parts":[["2019",3,1]]},"citation-key":"acosta-herreraGenomewideMetaanalysisReveals2019"}}],"schema":"https://github.com/citation-style-language/schema/raw/master/csl-citation.json"} </w:instrText>
      </w:r>
      <w:r>
        <w:fldChar w:fldCharType="separate"/>
      </w:r>
      <w:r w:rsidR="00521971" w:rsidRPr="00521971">
        <w:t>(11)</w:t>
      </w:r>
      <w:r>
        <w:fldChar w:fldCharType="end"/>
      </w:r>
      <w:r w:rsidRPr="003177F9">
        <w:t>, chronic kidney disease</w:t>
      </w:r>
      <w:r>
        <w:fldChar w:fldCharType="begin"/>
      </w:r>
      <w:r w:rsidR="00521971">
        <w:instrText xml:space="preserve"> ADDIN ZOTERO_ITEM CSL_CITATION {"citationID":"1VXjXrgB","properties":{"formattedCitation":"(12)","plainCitation":"(12)","noteIndex":0},"citationItems":[{"id":2426,"uris":["http://zotero.org/groups/4543840/items/F7IZM658"],"itemData":{"id":2426,"type":"article-journal","abstract":"Chronic kidney disease (CKD) is responsible for a public health burden with multi-systemic complications. Through trans-ancestry meta-analysis of genome-wide association studies of estimated glomerular filtration rate (eGFR) and independent replication (n = 1,046,070), we identified 264 associated loci (166 new). Of these, 147 were likely to be relevant for kidney function on the basis of associations with the alternative kidney function marker blood urea nitrogen (n = 416,178). Pathway and enrichment analyses, including mouse models with renal phenotypes, support the kidney as the main target organ. A genetic risk score for lower eGFR was associated with clinically diagnosed CKD in 452,264 independent individuals. Colocalization analyses of associations with eGFR among 783,978 European-ancestry individuals and gene expression across 46 human tissues, including tubulo-interstitial and glomerular kidney compartments, identified 17 genes differentially expressed in kidney. Fine-mapping highlighted missense driver variants in 11 genes and kidney-specific regulatory variants. These results provide a comprehensive priority list of molecular targets for translational research.","container-title":"Nature Genetics","DOI":"10.1038/s41588-019-0407-x","ISSN":"1546-1718","issue":"6","journalAbbreviation":"Nat Genet","language":"en","license":"2019 The Author(s), under exclusive licence to Springer Nature America, Inc.","note":"number: 6\npublisher: Nature Publishing Group","page":"957-972","source":"www-nature-com.ep.fjernadgang.kb.dk","title":"A catalog of genetic loci associated with kidney function from analyses of a million individuals","volume":"51","author":[{"family":"Wuttke","given":"Matthias"},{"family":"Li","given":"Yong"},{"family":"Li","given":"Man"},{"family":"Sieber","given":"Karsten B."},{"family":"Feitosa","given":"Mary F."},{"family":"Gorski","given":"Mathias"},{"family":"Tin","given":"Adrienne"},{"family":"Wang","given":"Lihua"},{"family":"Chu","given":"Audrey Y."},{"family":"Hoppmann","given":"Anselm"},{"family":"Kirsten","given":"Holger"},{"family":"Giri","given":"Ayush"},{"family":"Chai","given":"Jin-Fang"},{"family":"Sveinbjornsson","given":"Gardar"},{"family":"Tayo","given":"Bamidele O."},{"family":"Nutile","given":"Teresa"},{"family":"Fuchsberger","given":"Christian"},{"family":"Marten","given":"Jonathan"},{"family":"Cocca","given":"Massimiliano"},{"family":"Ghasemi","given":"Sahar"},{"family":"Xu","given":"Yizhe"},{"family":"Horn","given":"Katrin"},{"family":"Noce","given":"Damia"},{"family":"Most","given":"Peter J.","non-dropping-particle":"van der"},{"family":"Sedaghat","given":"Sanaz"},{"family":"Yu","given":"Zhi"},{"family":"Akiyama","given":"Masato"},{"family":"Afaq","given":"Saima"},{"family":"Ahluwalia","given":"Tarunveer S."},{"family":"Almgren","given":"Peter"},{"family":"Amin","given":"Najaf"},{"family":"Ärnlöv","given":"Johan"},{"family":"Bakker","given":"Stephan J. L."},{"family":"Bansal","given":"Nisha"},{"family":"Baptista","given":"Daniela"},{"family":"Bergmann","given":"Sven"},{"family":"Biggs","given":"Mary L."},{"family":"Biino","given":"Ginevra"},{"family":"Boehnke","given":"Michael"},{"family":"Boerwinkle","given":"Eric"},{"family":"Boissel","given":"Mathilde"},{"family":"Bottinger","given":"Erwin P."},{"family":"Boutin","given":"Thibaud S."},{"family":"Brenner","given":"Hermann"},{"family":"Brumat","given":"Marco"},{"family":"Burkhardt","given":"Ralph"},{"family":"Butterworth","given":"Adam S."},{"family":"Campana","given":"Eric"},{"family":"Campbell","given":"Archie"},{"family":"Campbell","given":"Harry"},{"family":"Canouil","given":"Mickaël"},{"family":"Carroll","given":"Robert J."},{"family":"Catamo","given":"Eulalia"},{"family":"Chambers","given":"John C."},{"family":"Chee","given":"Miao-Ling"},{"family":"Chee","given":"Miao-Li"},{"family":"Chen","given":"Xu"},{"family":"Cheng","given":"Ching-Yu"},{"family":"Cheng","given":"Yurong"},{"family":"Christensen","given":"Kaare"},{"family":"Cifkova","given":"Renata"},{"family":"Ciullo","given":"Marina"},{"family":"Concas","given":"Maria Pina"},{"family":"Cook","given":"James P."},{"family":"Coresh","given":"Josef"},{"family":"Corre","given":"Tanguy"},{"family":"Sala","given":"Cinzia Felicita"},{"family":"Cusi","given":"Daniele"},{"family":"Danesh","given":"John"},{"family":"Daw","given":"E. Warwick"},{"family":"Borst","given":"Martin H.","non-dropping-particle":"de"},{"family":"De Grandi","given":"Alessandro"},{"family":"Mutsert","given":"Renée","non-dropping-particle":"de"},{"family":"Vries","given":"Aiko P. J.","non-dropping-particle":"de"},{"family":"Degenhardt","given":"Frauke"},{"family":"Delgado","given":"Graciela"},{"family":"Demirkan","given":"Ayse"},{"family":"Di Angelantonio","given":"Emanuele"},{"family":"Dittrich","given":"Katalin"},{"family":"Divers","given":"Jasmin"},{"family":"Dorajoo","given":"Rajkumar"},{"family":"Eckardt","given":"Kai-Uwe"},{"family":"Ehret","given":"Georg"},{"family":"Elliott","given":"Paul"},{"family":"Endlich","given":"Karlhans"},{"family":"Evans","given":"Michele K."},{"family":"Felix","given":"Janine F."},{"family":"Foo","given":"Valencia Hui Xian"},{"family":"Franco","given":"Oscar H."},{"family":"Franke","given":"Andre"},{"family":"Freedman","given":"Barry I."},{"family":"Freitag-Wolf","given":"Sandra"},{"family":"Friedlander","given":"Yechiel"},{"family":"Froguel","given":"Philippe"},{"family":"Gansevoort","given":"Ron T."},{"family":"Gao","given":"He"},{"family":"Gasparini","given":"Paolo"},{"family":"Gaziano","given":"J. Michael"},{"family":"Giedraitis","given":"Vilmantas"},{"family":"Gieger","given":"Christian"},{"family":"Girotto","given":"Giorgia"},{"family":"Giulianini","given":"Franco"},{"family":"Gögele","given":"Martin"},{"family":"Gordon","given":"Scott D."},{"family":"Gudbjartsson","given":"Daniel F."},{"family":"Gudnason","given":"Vilmundur"},{"family":"Haller","given":"Toomas"},{"family":"Hamet","given":"Pavel"},{"family":"Harris","given":"Tamara B."},{"family":"Hartman","given":"Catharina A."},{"family":"Hayward","given":"Caroline"},{"family":"Hellwege","given":"Jacklyn N."},{"family":"Heng","given":"Chew-Kiat"},{"family":"Hicks","given":"Andrew A."},{"family":"Hofer","given":"Edith"},{"family":"Huang","given":"Wei"},{"family":"Hutri-Kähönen","given":"Nina"},{"family":"Hwang","given":"Shih-Jen"},{"family":"Ikram","given":"M. Arfan"},{"family":"Indridason","given":"Olafur S."},{"family":"Ingelsson","given":"Erik"},{"family":"Ising","given":"Marcus"},{"family":"Jaddoe","given":"Vincent W. V."},{"family":"Jakobsdottir","given":"Johanna"},{"family":"Jonas","given":"Jost B."},{"family":"Joshi","given":"Peter K."},{"family":"Josyula","given":"Navya Shilpa"},{"family":"Jung","given":"Bettina"},{"family":"Kähönen","given":"Mika"},{"family":"Kamatani","given":"Yoichiro"},{"family":"Kammerer","given":"Candace M."},{"family":"Kanai","given":"Masahiro"},{"family":"Kastarinen","given":"Mika"},{"family":"Kerr","given":"Shona M."},{"family":"Khor","given":"Chiea-Chuen"},{"family":"Kiess","given":"Wieland"},{"family":"Kleber","given":"Marcus E."},{"family":"Koenig","given":"Wolfgang"},{"family":"Kooner","given":"Jaspal S."},{"family":"Körner","given":"Antje"},{"family":"Kovacs","given":"Peter"},{"family":"Kraja","given":"Aldi T."},{"family":"Krajcoviechova","given":"Alena"},{"family":"Kramer","given":"Holly"},{"family":"Krämer","given":"Bernhard K."},{"family":"Kronenberg","given":"Florian"},{"family":"Kubo","given":"Michiaki"},{"family":"Kühnel","given":"Brigitte"},{"family":"Kuokkanen","given":"Mikko"},{"family":"Kuusisto","given":"Johanna"},{"family":"La Bianca","given":"Martina"},{"family":"Laakso","given":"Markku"},{"family":"Lange","given":"Leslie A."},{"family":"Langefeld","given":"Carl D."},{"family":"Lee","given":"Jeannette Jen-Mai"},{"family":"Lehne","given":"Benjamin"},{"family":"Lehtimäki","given":"Terho"},{"family":"Lieb","given":"Wolfgang"},{"family":"Lim","given":"Su-Chi"},{"family":"Lind","given":"Lars"},{"family":"Lindgren","given":"Cecilia M."},{"family":"Liu","given":"Jun"},{"family":"Liu","given":"Jianjun"},{"family":"Loeffler","given":"Markus"},{"family":"Loos","given":"Ruth J. F."},{"family":"Lucae","given":"Susanne"},{"family":"Lukas","given":"Mary Ann"},{"family":"Lyytikäinen","given":"Leo-Pekka"},{"family":"Mägi","given":"Reedik"},{"family":"Magnusson","given":"Patrik K. E."},{"family":"Mahajan","given":"Anubha"},{"family":"Martin","given":"Nicholas G."},{"family":"Martins","given":"Jade"},{"family":"März","given":"Winfried"},{"family":"Mascalzoni","given":"Deborah"},{"family":"Matsuda","given":"Koichi"},{"family":"Meisinger","given":"Christa"},{"family":"Meitinger","given":"Thomas"},{"family":"Melander","given":"Olle"},{"family":"Metspalu","given":"Andres"},{"family":"Mikaelsdottir","given":"Evgenia K."},{"family":"Milaneschi","given":"Yuri"},{"family":"Miliku","given":"Kozeta"},{"family":"Mishra","given":"Pashupati P."},{"family":"Mohlke","given":"Karen L."},{"family":"Mononen","given":"Nina"},{"family":"Montgomery","given":"Grant W."},{"family":"Mook-Kanamori","given":"Dennis O."},{"family":"Mychaleckyj","given":"Josyf C."},{"family":"Nadkarni","given":"Girish N."},{"family":"Nalls","given":"Mike A."},{"family":"Nauck","given":"Matthias"},{"family":"Nikus","given":"Kjell"},{"family":"Ning","given":"Boting"},{"family":"Nolte","given":"Ilja M."},{"family":"Noordam","given":"Raymond"},{"family":"O’Connell","given":"Jeffrey"},{"family":"O’Donoghue","given":"Michelle L."},{"family":"Olafsson","given":"Isleifur"},{"family":"Oldehinkel","given":"Albertine J."},{"family":"Orho-Melander","given":"Marju"},{"family":"Ouwehand","given":"Willem H."},{"family":"Padmanabhan","given":"Sandosh"},{"family":"Palmer","given":"Nicholette D."},{"family":"Palsson","given":"Runolfur"},{"family":"Penninx","given":"Brenda W. J. H."},{"family":"Perls","given":"Thomas"},{"family":"Perola","given":"Markus"},{"family":"Pirastu","given":"Mario"},{"family":"Pirastu","given":"Nicola"},{"family":"Pistis","given":"Giorgio"},{"family":"Podgornaia","given":"Anna I."},{"family":"Polasek","given":"Ozren"},{"family":"Ponte","given":"Belen"},{"family":"Porteous","given":"David J."},{"family":"Poulain","given":"Tanja"},{"family":"Pramstaller","given":"Peter P."},{"family":"Preuss","given":"Michael H."},{"family":"Prins","given":"Bram P."},{"family":"Province","given":"Michael A."},{"family":"Rabelink","given":"Ton J."},{"family":"Raffield","given":"Laura M."},{"family":"Raitakari","given":"Olli T."},{"family":"Reilly","given":"Dermot F."},{"family":"Rettig","given":"Rainer"},{"family":"Rheinberger","given":"Myriam"},{"family":"Rice","given":"Kenneth M."},{"family":"Ridker","given":"Paul M."},{"family":"Rivadeneira","given":"Fernando"},{"family":"Rizzi","given":"Federica"},{"family":"Roberts","given":"David J."},{"family":"Robino","given":"Antonietta"},{"family":"Rossing","given":"Peter"},{"family":"Rudan","given":"Igor"},{"family":"Rueedi","given":"Rico"},{"family":"Ruggiero","given":"Daniela"},{"family":"Ryan","given":"Kathleen A."},{"family":"Saba","given":"Yasaman"},{"family":"Sabanayagam","given":"Charumathi"},{"family":"Salomaa","given":"Veikko"},{"family":"Salvi","given":"Erika"},{"family":"Saum","given":"Kai-Uwe"},{"family":"Schmidt","given":"Helena"},{"family":"Schmidt","given":"Reinhold"},{"family":"Schöttker","given":"Ben"},{"family":"Schulz","given":"Christina-Alexandra"},{"family":"Schupf","given":"Nicole"},{"family":"Shaffer","given":"Christian M."},{"family":"Shi","given":"Yuan"},{"family":"Smith","given":"Albert V."},{"family":"Smith","given":"Blair H."},{"family":"Soranzo","given":"Nicole"},{"family":"Spracklen","given":"Cassandra N."},{"family":"Strauch","given":"Konstantin"},{"family":"Stringham","given":"Heather M."},{"family":"Stumvoll","given":"Michael"},{"family":"Svensson","given":"Per O."},{"family":"Szymczak","given":"Silke"},{"family":"Tai","given":"E.-Shyong"},{"family":"Tajuddin","given":"Salman M."},{"family":"Tan","given":"Nicholas Y. Q."},{"family":"Taylor","given":"Kent D."},{"family":"Teren","given":"Andrej"},{"family":"Tham","given":"Yih-Chung"},{"family":"Thiery","given":"Joachim"},{"family":"Thio","given":"Chris H. L."},{"family":"Thomsen","given":"Hauke"},{"family":"Thorleifsson","given":"Gudmar"},{"family":"Toniolo","given":"Daniela"},{"family":"Tönjes","given":"Anke"},{"family":"Tremblay","given":"Johanne"},{"family":"Tzoulaki","given":"Ioanna"},{"family":"Uitterlinden","given":"André G."},{"family":"Vaccargiu","given":"Simona"},{"family":"Dam","given":"Rob M.","non-dropping-particle":"van"},{"family":"Harst","given":"Pim","non-dropping-particle":"van der"},{"family":"Duijn","given":"Cornelia M.","non-dropping-particle":"van"},{"family":"Velez Edward","given":"Digna R."},{"family":"Verweij","given":"Niek"},{"family":"Vogelezang","given":"Suzanne"},{"family":"Völker","given":"Uwe"},{"family":"Vollenweider","given":"Peter"},{"family":"Waeber","given":"Gerard"},{"family":"Waldenberger","given":"Melanie"},{"family":"Wallentin","given":"Lars"},{"family":"Wang","given":"Ya Xing"},{"family":"Wang","given":"Chaolong"},{"family":"Waterworth","given":"Dawn M."},{"family":"Bin Wei","given":"Wen"},{"family":"White","given":"Harvey"},{"family":"Whitfield","given":"John B."},{"family":"Wild","given":"Sarah H."},{"family":"Wilson","given":"James F."},{"family":"Wojczynski","given":"Mary K."},{"family":"Wong","given":"Charlene"},{"family":"Wong","given":"Tien-Yin"},{"family":"Xu","given":"Liang"},{"family":"Yang","given":"Qiong"},{"family":"Yasuda","given":"Masayuki"},{"family":"Yerges-Armstrong","given":"Laura M."},{"family":"Zhang","given":"Weihua"},{"family":"Zonderman","given":"Alan B."},{"family":"Rotter","given":"Jerome I."},{"family":"Bochud","given":"Murielle"},{"family":"Psaty","given":"Bruce M."},{"family":"Vitart","given":"Veronique"},{"family":"Wilson","given":"James G."},{"family":"Dehghan","given":"Abbas"},{"family":"Parsa","given":"Afshin"},{"family":"Chasman","given":"Daniel I."},{"family":"Ho","given":"Kevin"},{"family":"Morris","given":"Andrew P."},{"family":"Devuyst","given":"Olivier"},{"family":"Akilesh","given":"Shreeram"},{"family":"Pendergrass","given":"Sarah A."},{"family":"Sim","given":"Xueling"},{"family":"Böger","given":"Carsten A."},{"family":"Okada","given":"Yukinori"},{"family":"Edwards","given":"Todd L."},{"family":"Snieder","given":"Harold"},{"family":"Stefansson","given":"Kari"},{"family":"Hung","given":"Adriana M."},{"family":"Heid","given":"Iris M."},{"family":"Scholz","given":"Markus"},{"family":"Teumer","given":"Alexander"},{"family":"Köttgen","given":"Anna"},{"family":"Pattaro","given":"Cristian"}],"issued":{"date-parts":[["2019",6]]},"citation-key":"wuttkeCatalogGeneticLoci2019"}}],"schema":"https://github.com/citation-style-language/schema/raw/master/csl-citation.json"} </w:instrText>
      </w:r>
      <w:r>
        <w:fldChar w:fldCharType="separate"/>
      </w:r>
      <w:r w:rsidR="00521971" w:rsidRPr="00521971">
        <w:t>(12)</w:t>
      </w:r>
      <w:r>
        <w:fldChar w:fldCharType="end"/>
      </w:r>
      <w:r w:rsidRPr="003177F9">
        <w:t xml:space="preserve">, </w:t>
      </w:r>
      <w:r>
        <w:t>body mass index</w:t>
      </w:r>
      <w:r>
        <w:fldChar w:fldCharType="begin"/>
      </w:r>
      <w:r w:rsidR="00521971">
        <w:instrText xml:space="preserve"> ADDIN ZOTERO_ITEM CSL_CITATION {"citationID":"DHahSahX","properties":{"formattedCitation":"(13)","plainCitation":"(13)","noteIndex":0},"citationItems":[{"id":2431,"uris":["http://zotero.org/groups/4543840/items/3XB6M97U"],"itemData":{"id":2431,"type":"article-journal","abstract":"Recent genome-wide association studies (GWAS) of height and body mass index (BMI) in ∼250000 European participants have led to the discovery of ∼700 and ∼100 nearly independent single nucleotide polymorphisms (SNPs) associated with these traits, respectively. Here we combine summary statistics from those two studies with GWAS of height and BMI performed in ∼450000 UK Biobank participants of European ancestry. Overall, our combined GWAS meta-analysis reaches N ∼700000 individuals and substantially increases the number of GWAS signals associated with these traits. We identified 3290 and 941 near-independent SNPs associated with height and BMI, respectively (at a revised genome-wide significance threshold of P &amp;lt; 1 × 10−8), including 1185 height-associated SNPs and 751 BMI-associated SNPs located within loci not previously identified by these two GWAS. The near-independent genome-wide significant SNPs explain ∼24.6% of the variance of height and ∼6.0% of the variance of BMI in an independent sample from the Health and Retirement Study (HRS). Correlations between polygenic scores based upon these SNPs with actual height and BMI in HRS participants were ∼0.44 and ∼0.22, respectively. From analyses of integrating GWAS and expression quantitative trait loci (eQTL) data by summary-data-based Mendelian randomization, we identified an enrichment of eQTLs among lead height and BMI signals, prioritizing 610 and 138 genes, respectively. Our study demonstrates that, as previously predicted, increasing GWAS sample sizes continues to deliver, by the discovery of new loci, increasing prediction accuracy and providing additional data to achieve deeper insight into complex trait biology. All summary statistics are made available for follow-up studies.","container-title":"Human Molecular Genetics","DOI":"10.1093/hmg/ddy271","ISSN":"0964-6906","issue":"20","journalAbbreviation":"Human Molecular Genetics","page":"3641-3649","source":"Silverchair","title":"Meta-analysis of genome-wide association studies for height and body mass index in ∼700000 individuals of European ancestry","volume":"27","author":[{"family":"Yengo","given":"Loic"},{"family":"Sidorenko","given":"Julia"},{"family":"Kemper","given":"Kathryn E"},{"family":"Zheng","given":"Zhili"},{"family":"Wood","given":"Andrew R"},{"family":"Weedon","given":"Michael N"},{"family":"Frayling","given":"Timothy M"},{"family":"Hirschhorn","given":"Joel"},{"family":"Yang","given":"Jian"},{"family":"Visscher","given":"Peter M"},{"literal":"the GIANT Consortium"}],"issued":{"date-parts":[["2018",10,15]]},"citation-key":"yengoMetaanalysisGenomewideAssociation2018"}}],"schema":"https://github.com/citation-style-language/schema/raw/master/csl-citation.json"} </w:instrText>
      </w:r>
      <w:r>
        <w:fldChar w:fldCharType="separate"/>
      </w:r>
      <w:r w:rsidR="00521971" w:rsidRPr="00521971">
        <w:t>(13)</w:t>
      </w:r>
      <w:r>
        <w:fldChar w:fldCharType="end"/>
      </w:r>
      <w:r>
        <w:t xml:space="preserve">, </w:t>
      </w:r>
      <w:r w:rsidRPr="003177F9">
        <w:t>type 2 diabetes with adjustment for BMI</w:t>
      </w:r>
      <w:r>
        <w:fldChar w:fldCharType="begin"/>
      </w:r>
      <w:r w:rsidR="00521971">
        <w:instrText xml:space="preserve"> ADDIN ZOTERO_ITEM CSL_CITATION {"citationID":"T96xEtPr","properties":{"formattedCitation":"(14)","plainCitation":"(14)","noteIndex":0},"citationItems":[{"id":2432,"uris":["http://zotero.org/groups/4543840/items/GZFZ358H"],"itemData":{"id":2432,"type":"article-journal","abstract":"We expanded GWAS discovery for type 2 diabetes (T2D) by combining data from 898,130 European-descent individuals (9% cases), after imputation to high-density reference panels. With these data, we (i) extend the inventory of T2D-risk variants (243 loci, 135 newly implicated in T2D predisposition, comprising 403 distinct association signals); (ii) enrich discovery of lower-frequency risk alleles (80 index variants with minor allele frequency &lt;5%, 14 with estimated allelic odds ratio &gt;2); (iii) substantially improve fine-mapping of causal variants (at 51 signals, one variant accounted for &gt;80% posterior probability of association (PPA)); (iv) extend fine-mapping through integration of tissue-specific epigenomic information (islet regulatory annotations extend the number of variants with PPA &gt;80% to 73); (v) highlight validated therapeutic targets (18 genes with associations attributable to coding variants); and (vi) demonstrate enhanced potential for clinical translation (genome-wide chip heritability explains 18% of T2D risk; individuals in the extremes of a T2D polygenic risk score differ more than ninefold in prevalence).","container-title":"Nature Genetics","DOI":"10.1038/s41588-018-0241-6","ISSN":"1546-1718","issue":"11","journalAbbreviation":"Nat Genet","language":"en","license":"2018 The Author(s), under exclusive licence to Springer Nature America, Inc.","note":"number: 11\npublisher: Nature Publishing Group","page":"1505-1513","source":"www-nature-com.ep.fjernadgang.kb.dk","title":"Fine-mapping type 2 diabetes loci to single-variant resolution using high-density imputation and islet-specific epigenome maps","volume":"50","author":[{"family":"Mahajan","given":"Anubha"},{"family":"Taliun","given":"Daniel"},{"family":"Thurner","given":"Matthias"},{"family":"Robertson","given":"Neil R."},{"family":"Torres","given":"Jason M."},{"family":"Rayner","given":"N. William"},{"family":"Payne","given":"Anthony J."},{"family":"Steinthorsdottir","given":"Valgerdur"},{"family":"Scott","given":"Robert A."},{"family":"Grarup","given":"Niels"},{"family":"Cook","given":"James P."},{"family":"Schmidt","given":"Ellen M."},{"family":"Wuttke","given":"Matthias"},{"family":"Sarnowski","given":"Chloé"},{"family":"Mägi","given":"Reedik"},{"family":"Nano","given":"Jana"},{"family":"Gieger","given":"Christian"},{"family":"Trompet","given":"Stella"},{"family":"Lecoeur","given":"Cécile"},{"family":"Preuss","given":"Michael H."},{"family":"Prins","given":"Bram Peter"},{"family":"Guo","given":"Xiuqing"},{"family":"Bielak","given":"Lawrence F."},{"family":"Below","given":"Jennifer E."},{"family":"Bowden","given":"Donald W."},{"family":"Chambers","given":"John Campbell"},{"family":"Kim","given":"Young Jin"},{"family":"Ng","given":"Maggie C. Y."},{"family":"Petty","given":"Lauren E."},{"family":"Sim","given":"Xueling"},{"family":"Zhang","given":"Weihua"},{"family":"Bennett","given":"Amanda J."},{"family":"Bork-Jensen","given":"Jette"},{"family":"Brummett","given":"Chad M."},{"family":"Canouil","given":"Mickaël"},{"family":"Ec kardt","given":"Kai-Uwe"},{"family":"Fischer","given":"Krista"},{"family":"Kardia","given":"Sharon L. R."},{"family":"Kronenberg","given":"Florian"},{"family":"Läll","given":"Kristi"},{"family":"Liu","given":"Ching-Ti"},{"family":"Locke","given":"Adam E."},{"family":"Luan","given":"Jian’an"},{"family":"Ntalla","given":"Ioanna"},{"family":"Nylander","given":"Vibe"},{"family":"Schönherr","given":"Sebastian"},{"family":"Schurmann","given":"Claudia"},{"family":"Yengo","given":"Loïc"},{"family":"Bottinger","given":"Erwin P."},{"family":"Brandslund","given":"Ivan"},{"family":"Christensen","given":"Cramer"},{"family":"Dedoussis","given":"George"},{"family":"Florez","given":"Jose C."},{"family":"Ford","given":"Ian"},{"family":"Franco","given":"Oscar H."},{"family":"Frayling","given":"Timothy M."},{"family":"Giedraitis","given":"Vilmantas"},{"family":"Hackinger","given":"Sophie"},{"family":"Hattersley","given":"Andrew T."},{"family":"Herder","given":"Christian"},{"family":"Ikram","given":"M. Arfan"},{"family":"Ingelsson","given":"Martin"},{"family":"Jørgensen","given":"Marit E."},{"family":"Jørgensen","given":"Torben"},{"family":"Kriebel","given":"Jennifer"},{"family":"Kuusisto","given":"Johanna"},{"family":"Ligthart","given":"Symen"},{"family":"Lindgren","given":"Cecilia M."},{"family":"Linneberg","given":"Allan"},{"family":"Lyssenko","given":"Valeriya"},{"family":"Mamakou","given":"Vasiliki"},{"family":"Meitinger","given":"Thomas"},{"family":"Mohlke","given":"Karen L."},{"family":"Morris","given":"Andrew D."},{"family":"Nadkarni","given":"Girish"},{"family":"Pankow","given":"James S."},{"family":"Peters","given":"Annette"},{"family":"Sattar","given":"Naveed"},{"family":"Stančáková","given":"Alena"},{"family":"Strauch","given":"Konstantin"},{"family":"Taylor","given":"Kent D."},{"family":"Thorand","given":"Barbara"},{"family":"Thorleifsson","given":"Gudmar"},{"family":"Thorsteinsdottir","given":"Unnur"},{"family":"Tuomilehto","given":"Jaakko"},{"family":"Witte","given":"Daniel R."},{"family":"Dupuis","given":"Josée"},{"family":"Peyser","given":"Patricia A."},{"family":"Zeggini","given":"Eleftheria"},{"family":"Loos","given":"Ruth J. F."},{"family":"Froguel","given":"Philippe"},{"family":"Ingelsson","given":"Erik"},{"family":"Lind","given":"Lars"},{"family":"Groop","given":"Leif"},{"family":"Laakso","given":"Markku"},{"family":"Collins","given":"Francis S."},{"family":"Jukema","given":"J. Wouter"},{"family":"Palmer","given":"Colin N. A."},{"family":"Grallert","given":"Harald"},{"family":"Metspalu","given":"Andres"},{"family":"Dehghan","given":"Abbas"},{"family":"Köttgen","given":"Anna"},{"family":"Abecasis","given":"Goncalo R."},{"family":"Meigs","given":"James B."},{"family":"Rotter","given":"Jerome I."},{"family":"Marchini","given":"Jonathan"},{"family":"Pedersen","given":"Oluf"},{"family":"Hansen","given":"Torben"},{"family":"Langenberg","given":"Claudia"},{"family":"Wareham","given":"Nicholas J."},{"family":"Stefansson","given":"Kari"},{"family":"Gloyn","given":"Anna L."},{"family":"Morris","given":"Andrew P."},{"family":"Boehnke","given":"Michael"},{"family":"McCarthy","given":"Mark I."}],"issued":{"date-parts":[["2018",11]]},"citation-key":"mahajanFinemappingTypeDiabetes2018"}}],"schema":"https://github.com/citation-style-language/schema/raw/master/csl-citation.json"} </w:instrText>
      </w:r>
      <w:r>
        <w:fldChar w:fldCharType="separate"/>
      </w:r>
      <w:r w:rsidR="00521971" w:rsidRPr="00521971">
        <w:t>(14)</w:t>
      </w:r>
      <w:r>
        <w:fldChar w:fldCharType="end"/>
      </w:r>
      <w:r>
        <w:t>, frailty index</w:t>
      </w:r>
      <w:r>
        <w:fldChar w:fldCharType="begin"/>
      </w:r>
      <w:r w:rsidR="00521971">
        <w:instrText xml:space="preserve"> ADDIN ZOTERO_ITEM CSL_CITATION {"citationID":"cgPajQIs","properties":{"formattedCitation":"(15)","plainCitation":"(15)","noteIndex":0},"citationItems":[{"id":2429,"uris":["http://zotero.org/groups/4543840/items/67UG49ZW"],"itemData":{"id":2429,"type":"article-journal","abstract":"Frailty is a common geriatric syndrome and strongly associated with disability, mortality and hospitalization. Frailty is commonly measured using the frailty index (FI), based on the accumulation of a number of health deficits during the life course. The mechanisms underlying FI are multifactorial and not well understood, but a genetic basis has been suggested with heritability estimates between 30 and 45%. Understanding the genetic determinants and biological mechanisms underpinning FI may help to delay or even prevent frailty. We performed a genome-wide association study (GWAS) meta-analysis of a frailty index in European descent UK Biobank participants (n = 164,610, 60–70 years) and Swedish TwinGene participants (n = 10,616, 41–87 years). FI calculation was based on 49 or 44 self-reported items on symptoms, disabilities and diagnosed diseases for UK Biobank and TwinGene, respectively. 14 loci were associated with the FI (p &lt; 5*10−8). Many FI-associated loci have established associations with traits such as body mass index, cardiovascular disease, smoking, HLA proteins, depression and neuroticism; however, one appears to be novel. The estimated single nucleotide polymorphism (SNP) heritability of the FI was 11% (0.11, SE 0.005). In enrichment analysis, genes expressed in the frontal cortex and hippocampus were significantly downregulated (adjusted p &lt; 0.05). We also used Mendelian randomization to identify modifiable traits and exposures that may affect frailty risk, with a higher educational attainment genetic risk score being associated with a lower degree of frailty. Risk of frailty is influenced by many genetic factors, including well-known disease risk factors and mental health, with particular emphasis on pathways in the brain.","container-title":"Aging Cell","DOI":"10.1111/acel.13459","ISSN":"1474-9726","issue":"9","language":"en","note":"_eprint: https://onlinelibrary.wiley.com/doi/pdf/10.1111/acel.13459","page":"e13459","source":"Wiley Online Library","title":"A genome-wide association study of the frailty index highlights brain pathways in ageing","volume":"20","author":[{"family":"Atkins","given":"Janice L."},{"family":"Jylhävä","given":"Juulia"},{"family":"Pedersen","given":"Nancy L."},{"family":"Magnusson","given":"Patrik K."},{"family":"Lu","given":"Yi"},{"family":"Wang","given":"Yunzhang"},{"family":"Hägg","given":"Sara"},{"family":"Melzer","given":"David"},{"family":"Williams","given":"Dylan M."},{"family":"Pilling","given":"Luke C."}],"issued":{"date-parts":[["2021"]]},"citation-key":"atkinsGenomewideAssociationStudy2021"}}],"schema":"https://github.com/citation-style-language/schema/raw/master/csl-citation.json"} </w:instrText>
      </w:r>
      <w:r>
        <w:fldChar w:fldCharType="separate"/>
      </w:r>
      <w:r w:rsidR="00521971" w:rsidRPr="00521971">
        <w:t>(15)</w:t>
      </w:r>
      <w:r>
        <w:fldChar w:fldCharType="end"/>
      </w:r>
      <w:r w:rsidRPr="003177F9">
        <w:t>.</w:t>
      </w:r>
    </w:p>
    <w:p w14:paraId="4DB722F3" w14:textId="77777777" w:rsidR="00CA10FC" w:rsidRDefault="001658CF" w:rsidP="00121D18">
      <w:pPr>
        <w:spacing w:line="480" w:lineRule="auto"/>
        <w:jc w:val="left"/>
        <w:rPr>
          <w:lang w:val="en-GB"/>
        </w:rPr>
      </w:pPr>
      <w:r w:rsidRPr="00A11C98">
        <w:rPr>
          <w:lang w:val="en-GB"/>
        </w:rPr>
        <w:t xml:space="preserve">Autosomal genotypes from 188,462 individuals in the CHB Cardiovascular Disease Cohort </w:t>
      </w:r>
      <w:r w:rsidR="00B95963" w:rsidRPr="00A11C98">
        <w:rPr>
          <w:lang w:val="en-GB"/>
        </w:rPr>
        <w:t>were</w:t>
      </w:r>
      <w:r w:rsidRPr="00A11C98">
        <w:rPr>
          <w:lang w:val="en-GB"/>
        </w:rPr>
        <w:t xml:space="preserve"> filtered to only include variants present in the HapMap3 set of 1,120,696 reference variants. Any missing genotype information was conservatively imputed to be the affected locus’ reference allele. We identified a set of 978,246 genotyped variants present in both genotype and GWAS summary statistics data that we subsequently subjected to Ldpred2’s recommended standard deviation quality control. After variant matching and quality control, a mean of 969,607 (S.D. 8,777) variants remained for per-chromosome risk score calculation for each of the 19 traits. We used the Ldpred2-auto algorithm with 30 Gibbs sampling chains, 1,000 burn-in iterations and 500 iterations after burn-in. The initial values for the 30 sampling chains were a) the LDSC regression estimate for heritability h</w:t>
      </w:r>
      <w:r w:rsidRPr="00A11C98">
        <w:rPr>
          <w:vertAlign w:val="superscript"/>
          <w:lang w:val="en-GB"/>
        </w:rPr>
        <w:t>2</w:t>
      </w:r>
      <w:r w:rsidRPr="00A11C98">
        <w:rPr>
          <w:lang w:val="en-GB"/>
        </w:rPr>
        <w:t xml:space="preserve"> (same for all chains); b) one of 30 initial values for the proportion of causal variants p, evenly spaced on a logarithmic scale from 10</w:t>
      </w:r>
      <w:r w:rsidRPr="00A11C98">
        <w:rPr>
          <w:vertAlign w:val="superscript"/>
          <w:lang w:val="en-GB"/>
        </w:rPr>
        <w:t>-4</w:t>
      </w:r>
      <w:r w:rsidRPr="00A11C98">
        <w:rPr>
          <w:lang w:val="en-GB"/>
        </w:rPr>
        <w:t xml:space="preserve"> to 0.9. Final per-chromosome effect sizes were calculated from each set of 30 sampling chains (per trait and chromosome) through a three-step process, which serves to ensure that the model (spanning 30 chains) converged: 1) computing the standard deviations of each chains’ predicted scores, 2) keeping only the chains within three median absolute deviations from the median standard deviation, 3) averaging the effect sizes of the remaining chains. Across the 418 per-chromosome models (19 traits times 22 chromosomes), 26.89 chains were included in the final score on </w:t>
      </w:r>
      <w:r w:rsidRPr="00A11C98">
        <w:rPr>
          <w:lang w:val="en-GB"/>
        </w:rPr>
        <w:lastRenderedPageBreak/>
        <w:t xml:space="preserve">average. The lowest number of included chains was 18. Finally, the resulting per-chromosome risk scores were added together into genome-wide polygenic scores. </w:t>
      </w:r>
    </w:p>
    <w:p w14:paraId="485E6A7C" w14:textId="2401F5D1" w:rsidR="001135B6" w:rsidRDefault="00CA10FC" w:rsidP="00CA10FC">
      <w:pPr>
        <w:pStyle w:val="BodyText"/>
        <w:spacing w:line="480" w:lineRule="auto"/>
        <w:jc w:val="left"/>
        <w:rPr>
          <w:rFonts w:ascii="Calibri" w:hAnsi="Calibri"/>
          <w:b/>
          <w:color w:val="2A216A"/>
          <w:sz w:val="28"/>
          <w:lang w:val="en-GB"/>
        </w:rPr>
      </w:pPr>
      <w:r>
        <w:rPr>
          <w:rFonts w:ascii="Calibri" w:hAnsi="Calibri"/>
          <w:b/>
          <w:color w:val="2A216A"/>
          <w:sz w:val="28"/>
          <w:lang w:val="en-GB"/>
        </w:rPr>
        <w:t>Neural network architecture</w:t>
      </w:r>
    </w:p>
    <w:p w14:paraId="4FB96F38" w14:textId="72D34AAA" w:rsidR="00CA10FC" w:rsidRDefault="00CA10FC" w:rsidP="00CA10FC">
      <w:pPr>
        <w:pStyle w:val="BodyText"/>
        <w:spacing w:line="480" w:lineRule="auto"/>
        <w:jc w:val="left"/>
        <w:rPr>
          <w:lang w:val="en-GB"/>
        </w:rPr>
      </w:pPr>
      <w:bookmarkStart w:id="2" w:name="_Hlk135248856"/>
      <w:r>
        <w:rPr>
          <w:lang w:val="en-GB"/>
        </w:rPr>
        <w:t xml:space="preserve">The neural network architecture </w:t>
      </w:r>
      <w:r w:rsidR="00591AE8">
        <w:rPr>
          <w:lang w:val="en-GB"/>
        </w:rPr>
        <w:t xml:space="preserve">is a relatively simple feed-forward neural network with between one and three </w:t>
      </w:r>
      <w:commentRangeStart w:id="3"/>
      <w:r w:rsidR="00591AE8">
        <w:rPr>
          <w:lang w:val="en-GB"/>
        </w:rPr>
        <w:t xml:space="preserve">densely </w:t>
      </w:r>
      <w:commentRangeEnd w:id="3"/>
      <w:r w:rsidR="00B81C8C">
        <w:rPr>
          <w:rStyle w:val="CommentReference"/>
        </w:rPr>
        <w:commentReference w:id="3"/>
      </w:r>
      <w:r w:rsidR="00591AE8">
        <w:rPr>
          <w:lang w:val="en-GB"/>
        </w:rPr>
        <w:t xml:space="preserve">connected hidden layers with rectified linear units as the activation function and with a dropout layer after each hidden layer. The output layer has 30 outputs – one for each time bin – and is being fed through a </w:t>
      </w:r>
      <w:proofErr w:type="spellStart"/>
      <w:r w:rsidR="00591AE8">
        <w:rPr>
          <w:lang w:val="en-GB"/>
        </w:rPr>
        <w:t>softmax</w:t>
      </w:r>
      <w:proofErr w:type="spellEnd"/>
      <w:r w:rsidR="00591AE8">
        <w:rPr>
          <w:lang w:val="en-GB"/>
        </w:rPr>
        <w:t xml:space="preserve"> activation function to produce probabilities. The neural network architecture is sketched out in figure </w:t>
      </w:r>
      <w:r w:rsidR="00131AB1">
        <w:rPr>
          <w:lang w:val="en-GB"/>
        </w:rPr>
        <w:t>S5.</w:t>
      </w:r>
    </w:p>
    <w:bookmarkEnd w:id="2"/>
    <w:p w14:paraId="6126C45D" w14:textId="77777777" w:rsidR="00A50054" w:rsidRDefault="00A50054" w:rsidP="00CA10FC">
      <w:pPr>
        <w:pStyle w:val="BodyText"/>
        <w:spacing w:line="480" w:lineRule="auto"/>
        <w:jc w:val="left"/>
        <w:rPr>
          <w:b/>
          <w:bCs/>
          <w:lang w:val="en-GB"/>
        </w:rPr>
      </w:pPr>
      <w:r>
        <w:rPr>
          <w:b/>
          <w:bCs/>
          <w:lang w:val="en-GB"/>
        </w:rPr>
        <w:t>Hyperparameter optimization</w:t>
      </w:r>
    </w:p>
    <w:p w14:paraId="1841F367" w14:textId="338F945D" w:rsidR="00424A61" w:rsidRPr="00951667" w:rsidRDefault="005668E2" w:rsidP="00CA10FC">
      <w:pPr>
        <w:pStyle w:val="BodyText"/>
        <w:spacing w:line="480" w:lineRule="auto"/>
        <w:jc w:val="left"/>
        <w:rPr>
          <w:lang w:val="en-GB"/>
        </w:rPr>
      </w:pPr>
      <w:r>
        <w:rPr>
          <w:lang w:val="en-GB"/>
        </w:rPr>
        <w:t xml:space="preserve">For hyperparameter optimization we used the </w:t>
      </w:r>
      <w:proofErr w:type="spellStart"/>
      <w:r>
        <w:rPr>
          <w:lang w:val="en-GB"/>
        </w:rPr>
        <w:t>Optuna</w:t>
      </w:r>
      <w:proofErr w:type="spellEnd"/>
      <w:r>
        <w:rPr>
          <w:lang w:val="en-GB"/>
        </w:rPr>
        <w:t xml:space="preserve"> hyperparameter optimization package for python</w:t>
      </w:r>
      <w:r w:rsidR="009378E2">
        <w:rPr>
          <w:lang w:val="en-GB"/>
        </w:rPr>
        <w:t xml:space="preserve"> </w:t>
      </w:r>
      <w:r w:rsidR="00521971">
        <w:rPr>
          <w:lang w:val="en-GB"/>
        </w:rPr>
        <w:fldChar w:fldCharType="begin"/>
      </w:r>
      <w:r w:rsidR="00521971">
        <w:rPr>
          <w:lang w:val="en-GB"/>
        </w:rPr>
        <w:instrText xml:space="preserve"> ADDIN ZOTERO_ITEM CSL_CITATION {"citationID":"U37Aefgk","properties":{"formattedCitation":"(16)","plainCitation":"(16)","noteIndex":0},"citationItems":[{"id":2335,"uris":["http://zotero.org/groups/4543840/items/66ZF7DGK"],"itemData":{"id":2335,"type":"report","abstract":"The purpose of this study is to introduce new design-criteria for next-generation hyperparameter optimization software. The criteria we propose include (1) define-by-run API that allows users to construct the parameter search space dynamically, (2) efficient implementation of both searching and pruning strategies, and (3) easy-to-setup, versatile architecture that can be deployed for various purposes, ranging from scalable distributed computing to light-weight experiment conducted via interactive interface. In order to prove our point, we will introduce Optuna, an optimization software which is a culmination of our effort in the development of a next generation optimization software. As an optimization software designed with define-by-run principle, Optuna is particularly the first of its kind. We will present the design-techniques that became necessary in the development of the software that meets the above criteria, and demonstrate the power of our new design through experimental results and real world applications. Our software is available under the MIT license (https://github.com/pfnet/optuna/).","note":"license: http://arxiv.org/licenses/nonexclusive-distrib/1.0/\nThis CSL Item was generated by Manubot v0.5.3 from its persistent identifier (standard_id).\nstandard_id: arxiv:1907.10902\nLoaded from an external bibliography file by Manubot.\nsource_bibliography: bibliography.csl.json\noriginal_id: 17gM0WgiU","number":"1907.10902","publisher":"arXiv","title":"Optuna: A Next-generation Hyperparameter Optimization Framework","URL":"https://arxiv.org/abs/1907.10902","author":[{"family":"Akiba","given":"Takuya"},{"family":"Sano","given":"Shotaro"},{"family":"Yanase","given":"Toshihiko"},{"family":"Ohta","given":"Takeru"},{"family":"Koyama","given":"Masanori"}],"issued":{"date-parts":[["2019",7,26]]},"citation-key":"akibaOptunaNextgenerationHyperparameter2019"}}],"schema":"https://github.com/citation-style-language/schema/raw/master/csl-citation.json"} </w:instrText>
      </w:r>
      <w:r w:rsidR="00521971">
        <w:rPr>
          <w:lang w:val="en-GB"/>
        </w:rPr>
        <w:fldChar w:fldCharType="separate"/>
      </w:r>
      <w:r w:rsidR="00521971" w:rsidRPr="00521971">
        <w:t>(16)</w:t>
      </w:r>
      <w:r w:rsidR="00521971">
        <w:rPr>
          <w:lang w:val="en-GB"/>
        </w:rPr>
        <w:fldChar w:fldCharType="end"/>
      </w:r>
      <w:r>
        <w:rPr>
          <w:lang w:val="en-GB"/>
        </w:rPr>
        <w:t xml:space="preserve">. </w:t>
      </w:r>
      <w:r w:rsidR="009378E2">
        <w:rPr>
          <w:lang w:val="en-GB"/>
        </w:rPr>
        <w:t>For all hyperparameter sweeps, we ran 2500 trials. For each trial, h</w:t>
      </w:r>
      <w:r w:rsidR="004047DA">
        <w:rPr>
          <w:lang w:val="en-GB"/>
        </w:rPr>
        <w:t xml:space="preserve">yperparameters </w:t>
      </w:r>
      <w:r w:rsidR="00521971">
        <w:rPr>
          <w:lang w:val="en-GB"/>
        </w:rPr>
        <w:t>were</w:t>
      </w:r>
      <w:r w:rsidR="004047DA">
        <w:rPr>
          <w:lang w:val="en-GB"/>
        </w:rPr>
        <w:t xml:space="preserve"> sample</w:t>
      </w:r>
      <w:r w:rsidR="009378E2">
        <w:rPr>
          <w:lang w:val="en-GB"/>
        </w:rPr>
        <w:t>d</w:t>
      </w:r>
      <w:r w:rsidR="004047DA">
        <w:rPr>
          <w:lang w:val="en-GB"/>
        </w:rPr>
        <w:t xml:space="preserve"> using the </w:t>
      </w:r>
      <w:r w:rsidR="004047DA" w:rsidRPr="004047DA">
        <w:rPr>
          <w:lang w:val="en-GB"/>
        </w:rPr>
        <w:t xml:space="preserve">TPE (Tree-structured </w:t>
      </w:r>
      <w:proofErr w:type="spellStart"/>
      <w:r w:rsidR="004047DA" w:rsidRPr="004047DA">
        <w:rPr>
          <w:lang w:val="en-GB"/>
        </w:rPr>
        <w:t>Parzen</w:t>
      </w:r>
      <w:proofErr w:type="spellEnd"/>
      <w:r w:rsidR="004047DA" w:rsidRPr="004047DA">
        <w:rPr>
          <w:lang w:val="en-GB"/>
        </w:rPr>
        <w:t xml:space="preserve"> Estimator) algorithm</w:t>
      </w:r>
      <w:r w:rsidR="004047DA">
        <w:rPr>
          <w:lang w:val="en-GB"/>
        </w:rPr>
        <w:t xml:space="preserve"> as implemented in </w:t>
      </w:r>
      <w:proofErr w:type="spellStart"/>
      <w:r w:rsidR="004047DA">
        <w:rPr>
          <w:lang w:val="en-GB"/>
        </w:rPr>
        <w:t>Optuna</w:t>
      </w:r>
      <w:proofErr w:type="spellEnd"/>
      <w:r w:rsidR="004047DA">
        <w:rPr>
          <w:lang w:val="en-GB"/>
        </w:rPr>
        <w:t xml:space="preserve"> using 400 startup trials and otherwise all other arguments left on default settings</w:t>
      </w:r>
      <w:r w:rsidR="00521971">
        <w:rPr>
          <w:lang w:val="en-GB"/>
        </w:rPr>
        <w:fldChar w:fldCharType="begin"/>
      </w:r>
      <w:r w:rsidR="00521971">
        <w:rPr>
          <w:lang w:val="en-GB"/>
        </w:rPr>
        <w:instrText xml:space="preserve"> ADDIN ZOTERO_ITEM CSL_CITATION {"citationID":"H0bbjwDt","properties":{"formattedCitation":"(17)","plainCitation":"(17)","noteIndex":0},"citationItems":[{"id":2542,"uris":["http://zotero.org/groups/4543840/items/LDGFU7QS"],"itemData":{"id":2542,"type":"paper-conference","abstract":"Several recent advances to the state of the art in image classification benchmarks have come from better configurations of existing techniques rather than novel approaches to feature learning. Traditionally, hyper-parameter optimization has been the job of humans because they can be very efficient in regimes where only a few trials are possible. Presently, computer clusters and GPU processors make it possible to run more trials and we show that algorithmic approaches can find better results. We present hyper-parameter optimization results on tasks of training neural networks and deep belief networks (DBNs). We optimize hyper-parameters using random search and two new greedy sequential methods based on the expected improvement criterion. Random search has been shown to be sufficiently efficient for learning neural networks for several datasets, but we show it is unreliable for training DBNs. The sequential algorithms are applied to the most difficult DBN learning problems from [Larochelle et al., 2007] and find significantly better results than the best previously reported. This work contributes novel techniques for making response surface models P (y|x) in which many elements of hyper-parameter assignment (x) are known to be irrelevant given particular values of other elements.","container-title":"Advances in Neural Information Processing Systems","publisher":"Curran Associates, Inc.","source":"Neural Information Processing Systems","title":"Algorithms for Hyper-Parameter Optimization","URL":"https://proceedings.neurips.cc/paper_files/paper/2011/hash/86e8f7ab32cfd12577bc2619bc635690-Abstract.html","volume":"24","author":[{"family":"Bergstra","given":"James"},{"family":"Bardenet","given":"Rémi"},{"family":"Bengio","given":"Yoshua"},{"family":"Kégl","given":"Balázs"}],"accessed":{"date-parts":[["2023",6,14]]},"issued":{"date-parts":[["2011"]]},"citation-key":"bergstraAlgorithms2011"}}],"schema":"https://github.com/citation-style-language/schema/raw/master/csl-citation.json"} </w:instrText>
      </w:r>
      <w:r w:rsidR="00521971">
        <w:rPr>
          <w:lang w:val="en-GB"/>
        </w:rPr>
        <w:fldChar w:fldCharType="separate"/>
      </w:r>
      <w:r w:rsidR="00521971" w:rsidRPr="00521971">
        <w:t>(17)</w:t>
      </w:r>
      <w:r w:rsidR="00521971">
        <w:rPr>
          <w:lang w:val="en-GB"/>
        </w:rPr>
        <w:fldChar w:fldCharType="end"/>
      </w:r>
      <w:r w:rsidR="004047DA" w:rsidRPr="004047DA">
        <w:rPr>
          <w:lang w:val="en-GB"/>
        </w:rPr>
        <w:t>.</w:t>
      </w:r>
      <w:r w:rsidR="00AA5139">
        <w:rPr>
          <w:lang w:val="en-GB"/>
        </w:rPr>
        <w:t xml:space="preserve"> To prune unpromising trials, we used the hyperband pruner, with a minimum resource of 20, and a reduction factor of 3.</w:t>
      </w:r>
    </w:p>
    <w:p w14:paraId="4BCB3118" w14:textId="0756D118" w:rsidR="00424A61" w:rsidRPr="00951667" w:rsidRDefault="00424A61" w:rsidP="00424A61">
      <w:pPr>
        <w:pStyle w:val="BodyText"/>
        <w:rPr>
          <w:b/>
          <w:bCs/>
          <w:lang w:val="en-GB"/>
        </w:rPr>
      </w:pPr>
      <w:r w:rsidRPr="00951667">
        <w:rPr>
          <w:b/>
          <w:bCs/>
          <w:lang w:val="en-GB"/>
        </w:rPr>
        <w:t>Resiliency of PMHnet to missingness</w:t>
      </w:r>
    </w:p>
    <w:p w14:paraId="4EDD8CAC" w14:textId="23AD6EDB" w:rsidR="001658CF" w:rsidRPr="00951667" w:rsidRDefault="00424A61" w:rsidP="00951667">
      <w:pPr>
        <w:pStyle w:val="BodyText"/>
        <w:spacing w:line="480" w:lineRule="auto"/>
        <w:jc w:val="left"/>
        <w:rPr>
          <w:lang w:val="en-GB"/>
        </w:rPr>
      </w:pPr>
      <w:r>
        <w:rPr>
          <w:lang w:val="en-GB"/>
        </w:rPr>
        <w:t xml:space="preserve">Finally, the resiliency of the model was assessed as described in Methods. Across the 584 features, age was the only single feature, where the change in </w:t>
      </w:r>
      <w:proofErr w:type="spellStart"/>
      <w:r>
        <w:rPr>
          <w:lang w:val="en-GB"/>
        </w:rPr>
        <w:t>tdAUC</w:t>
      </w:r>
      <w:proofErr w:type="spellEnd"/>
      <w:r>
        <w:rPr>
          <w:lang w:val="en-GB"/>
        </w:rPr>
        <w:t xml:space="preserve"> changed significantly when artificially removed. In the case of model calibration, missingness of six individual features significantly affected the performance. These features were troponins, LVEF, age, </w:t>
      </w:r>
      <w:r>
        <w:rPr>
          <w:lang w:val="en-GB"/>
        </w:rPr>
        <w:lastRenderedPageBreak/>
        <w:t xml:space="preserve">smoking status, abnormal ECG, and coronary pathology. Taken together, these results are evidence that PMHnet is </w:t>
      </w:r>
      <w:r w:rsidR="00B81C8C">
        <w:rPr>
          <w:lang w:val="en-GB"/>
        </w:rPr>
        <w:t xml:space="preserve">quite </w:t>
      </w:r>
      <w:r>
        <w:rPr>
          <w:lang w:val="en-GB"/>
        </w:rPr>
        <w:t>resilient to missing data.</w:t>
      </w:r>
      <w:r w:rsidR="001658CF" w:rsidRPr="00A11C98">
        <w:rPr>
          <w:lang w:val="en-GB"/>
        </w:rPr>
        <w:br w:type="page"/>
      </w:r>
    </w:p>
    <w:p w14:paraId="2289C0D6" w14:textId="5B7136A4" w:rsidR="001658CF" w:rsidRPr="00A11C98" w:rsidRDefault="001658CF" w:rsidP="00121D18">
      <w:pPr>
        <w:pStyle w:val="CaptionedFigure"/>
        <w:spacing w:line="480" w:lineRule="auto"/>
        <w:jc w:val="left"/>
        <w:rPr>
          <w:lang w:val="en-GB"/>
        </w:rPr>
      </w:pPr>
      <w:bookmarkStart w:id="4" w:name="supplementary-figures"/>
      <w:bookmarkEnd w:id="4"/>
      <w:r w:rsidRPr="008A2C53">
        <w:rPr>
          <w:rStyle w:val="Heading1Char"/>
          <w:rFonts w:eastAsia="Cambria"/>
        </w:rPr>
        <w:lastRenderedPageBreak/>
        <w:t xml:space="preserve"> </w:t>
      </w:r>
      <w:bookmarkStart w:id="5" w:name="_Toc126935409"/>
      <w:r w:rsidRPr="008A2C53">
        <w:rPr>
          <w:rStyle w:val="Heading1Char"/>
          <w:rFonts w:eastAsia="Cambria"/>
        </w:rPr>
        <w:t>Supplementary figures</w:t>
      </w:r>
      <w:bookmarkEnd w:id="5"/>
      <w:r w:rsidR="003211C6" w:rsidRPr="00A11C98">
        <w:rPr>
          <w:noProof/>
          <w:lang w:val="en-GB" w:eastAsia="da-DK"/>
        </w:rPr>
        <w:drawing>
          <wp:inline distT="0" distB="0" distL="0" distR="0" wp14:anchorId="06C8B451" wp14:editId="759A9551">
            <wp:extent cx="5905500" cy="3368040"/>
            <wp:effectExtent l="0" t="0" r="0" b="0"/>
            <wp:docPr id="8" name="Picture 8" descr="Figure S1: Kaplan-Meier estimates for the PMHnet derivation cohort. Kaplan-Meier estimates for the training (blue) and testing (red) set of 34,749 and 5,000 patients, respective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S1: Kaplan-Meier estimates for the PMHnet derivation cohort. Kaplan-Meier estimates for the training (blue) and testing (red) set of 34,749 and 5,000 patients, respectively."/>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05500" cy="3368040"/>
                    </a:xfrm>
                    <a:prstGeom prst="rect">
                      <a:avLst/>
                    </a:prstGeom>
                    <a:noFill/>
                    <a:ln>
                      <a:noFill/>
                    </a:ln>
                  </pic:spPr>
                </pic:pic>
              </a:graphicData>
            </a:graphic>
          </wp:inline>
        </w:drawing>
      </w:r>
    </w:p>
    <w:p w14:paraId="34F9736A" w14:textId="6D76A42F" w:rsidR="001658CF" w:rsidRPr="00A11C98" w:rsidRDefault="001658CF" w:rsidP="001338B0">
      <w:pPr>
        <w:pStyle w:val="ImageCaption"/>
        <w:spacing w:line="480" w:lineRule="auto"/>
        <w:jc w:val="left"/>
        <w:rPr>
          <w:lang w:val="en-GB"/>
        </w:rPr>
      </w:pPr>
      <w:bookmarkStart w:id="6" w:name="fig:observed-survival"/>
      <w:bookmarkEnd w:id="6"/>
      <w:r w:rsidRPr="00A11C98">
        <w:rPr>
          <w:lang w:val="en-GB"/>
        </w:rPr>
        <w:t xml:space="preserve">Figure S1: </w:t>
      </w:r>
      <w:r w:rsidRPr="00A11C98">
        <w:rPr>
          <w:b/>
          <w:bCs/>
          <w:lang w:val="en-GB"/>
        </w:rPr>
        <w:t>Kaplan-Meier estimates for the PMHnet derivation cohort.</w:t>
      </w:r>
      <w:r w:rsidRPr="00A11C98">
        <w:rPr>
          <w:lang w:val="en-GB"/>
        </w:rPr>
        <w:t xml:space="preserve"> Kaplan-Meier estimates for the training (blue) and testing (red) set of 34,749 and 5,000 patients, respectively.</w:t>
      </w:r>
      <w:r w:rsidRPr="00A11C98">
        <w:rPr>
          <w:lang w:val="en-GB"/>
        </w:rPr>
        <w:br w:type="page"/>
      </w:r>
    </w:p>
    <w:p w14:paraId="47EF9699" w14:textId="5BA2C3D0" w:rsidR="001658CF" w:rsidRPr="00A11C98" w:rsidRDefault="003211C6" w:rsidP="00121D18">
      <w:pPr>
        <w:pStyle w:val="CaptionedFigure"/>
        <w:spacing w:line="480" w:lineRule="auto"/>
        <w:jc w:val="left"/>
        <w:rPr>
          <w:lang w:val="en-GB"/>
        </w:rPr>
      </w:pPr>
      <w:r w:rsidRPr="00A11C98">
        <w:rPr>
          <w:noProof/>
          <w:lang w:val="en-GB" w:eastAsia="da-DK"/>
        </w:rPr>
        <w:lastRenderedPageBreak/>
        <w:drawing>
          <wp:inline distT="0" distB="0" distL="0" distR="0" wp14:anchorId="5CBA29BE" wp14:editId="7127A14E">
            <wp:extent cx="5844540" cy="2857500"/>
            <wp:effectExtent l="0" t="0" r="0" b="0"/>
            <wp:docPr id="9" name="Picture 9" descr="Figure S2: Difference in predicted risk between PMHnet-alpha and GRACE2.0. Scatterplot showing the difference between the 3-year predicted risk by PMHnet-alpha (x-axis) and GRACE2.0 (conventional) [left-panel, y-axis] or GRACE2.0 (re-fitted) [right-panel, y-axis]. Points are colored according to how many patients in the test set fall in that particular bin. Contour lines indicate 90% and 95% point dens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 S2: Difference in predicted risk between PMHnet-alpha and GRACE2.0. Scatterplot showing the difference between the 3-year predicted risk by PMHnet-alpha (x-axis) and GRACE2.0 (conventional) [left-panel, y-axis] or GRACE2.0 (re-fitted) [right-panel, y-axis]. Points are colored according to how many patients in the test set fall in that particular bin. Contour lines indicate 90% and 95% point densiti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44540" cy="2857500"/>
                    </a:xfrm>
                    <a:prstGeom prst="rect">
                      <a:avLst/>
                    </a:prstGeom>
                    <a:noFill/>
                    <a:ln>
                      <a:noFill/>
                    </a:ln>
                  </pic:spPr>
                </pic:pic>
              </a:graphicData>
            </a:graphic>
          </wp:inline>
        </w:drawing>
      </w:r>
    </w:p>
    <w:p w14:paraId="041EF60E" w14:textId="3B752D9A" w:rsidR="001658CF" w:rsidRPr="00A11C98" w:rsidRDefault="001658CF" w:rsidP="008A2C53">
      <w:pPr>
        <w:pStyle w:val="ImageCaption"/>
        <w:spacing w:line="480" w:lineRule="auto"/>
        <w:jc w:val="left"/>
        <w:rPr>
          <w:lang w:val="en-GB"/>
        </w:rPr>
      </w:pPr>
      <w:bookmarkStart w:id="7" w:name="fig:model-comparison"/>
      <w:bookmarkEnd w:id="7"/>
      <w:r w:rsidRPr="00A11C98">
        <w:rPr>
          <w:lang w:val="en-GB"/>
        </w:rPr>
        <w:t xml:space="preserve">Figure S2: </w:t>
      </w:r>
      <w:r w:rsidRPr="00A11C98">
        <w:rPr>
          <w:b/>
          <w:bCs/>
          <w:lang w:val="en-GB"/>
        </w:rPr>
        <w:t>Difference in predicted risk between PMHnet and GRACE2.0.</w:t>
      </w:r>
      <w:r w:rsidRPr="00A11C98">
        <w:rPr>
          <w:lang w:val="en-GB"/>
        </w:rPr>
        <w:t xml:space="preserve"> Binned scatterplot showing the difference between the 3-year predicted risk by PMHnet (</w:t>
      </w:r>
      <w:r w:rsidRPr="00A11C98">
        <w:rPr>
          <w:iCs/>
          <w:lang w:val="en-GB"/>
        </w:rPr>
        <w:t>y</w:t>
      </w:r>
      <w:r w:rsidRPr="00A11C98">
        <w:rPr>
          <w:lang w:val="en-GB"/>
        </w:rPr>
        <w:t xml:space="preserve">-axis) and GRACE2.0 (conventional) [left-panel, </w:t>
      </w:r>
      <w:r w:rsidRPr="00A11C98">
        <w:rPr>
          <w:iCs/>
          <w:lang w:val="en-GB"/>
        </w:rPr>
        <w:t>x-axis</w:t>
      </w:r>
      <w:r w:rsidRPr="00A11C98">
        <w:rPr>
          <w:lang w:val="en-GB"/>
        </w:rPr>
        <w:t xml:space="preserve">] or GRACE2.0 (re-fitted) [right-panel, </w:t>
      </w:r>
      <w:r w:rsidRPr="00A11C98">
        <w:rPr>
          <w:iCs/>
          <w:lang w:val="en-GB"/>
        </w:rPr>
        <w:t>x</w:t>
      </w:r>
      <w:r w:rsidRPr="00A11C98">
        <w:rPr>
          <w:lang w:val="en-GB"/>
        </w:rPr>
        <w:t xml:space="preserve">-axis]. Points are </w:t>
      </w:r>
      <w:proofErr w:type="spellStart"/>
      <w:r w:rsidRPr="00A11C98">
        <w:rPr>
          <w:lang w:val="en-GB"/>
        </w:rPr>
        <w:t>colored</w:t>
      </w:r>
      <w:proofErr w:type="spellEnd"/>
      <w:r w:rsidRPr="00A11C98">
        <w:rPr>
          <w:lang w:val="en-GB"/>
        </w:rPr>
        <w:t xml:space="preserve"> according to how many patients in the test set fall in that bin. Contour lines indicate 90%- and 95%-point densities.</w:t>
      </w:r>
      <w:r w:rsidR="00842AA4" w:rsidRPr="00842AA4">
        <w:t xml:space="preserve"> </w:t>
      </w:r>
      <w:r w:rsidR="00842AA4">
        <w:rPr>
          <w:noProof/>
        </w:rPr>
        <w:lastRenderedPageBreak/>
        <w:drawing>
          <wp:inline distT="0" distB="0" distL="0" distR="0" wp14:anchorId="08878060" wp14:editId="1FF05240">
            <wp:extent cx="5943600" cy="5053965"/>
            <wp:effectExtent l="0" t="0" r="0" b="0"/>
            <wp:docPr id="1458232224" name="Picture 145823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5053965"/>
                    </a:xfrm>
                    <a:prstGeom prst="rect">
                      <a:avLst/>
                    </a:prstGeom>
                    <a:noFill/>
                    <a:ln>
                      <a:noFill/>
                    </a:ln>
                  </pic:spPr>
                </pic:pic>
              </a:graphicData>
            </a:graphic>
          </wp:inline>
        </w:drawing>
      </w:r>
      <w:r w:rsidRPr="00A11C98">
        <w:rPr>
          <w:lang w:val="en-GB"/>
        </w:rPr>
        <w:t xml:space="preserve">Figure S3: </w:t>
      </w:r>
      <w:r w:rsidRPr="00A11C98">
        <w:rPr>
          <w:b/>
          <w:bCs/>
          <w:lang w:val="en-GB"/>
        </w:rPr>
        <w:t>External validation of PMHnet on Icelandic data.</w:t>
      </w:r>
      <w:r w:rsidRPr="00A11C98">
        <w:rPr>
          <w:lang w:val="en-GB"/>
        </w:rPr>
        <w:t xml:space="preserve"> </w:t>
      </w:r>
      <w:r w:rsidRPr="00A11C98">
        <w:rPr>
          <w:iCs/>
          <w:lang w:val="en-GB"/>
        </w:rPr>
        <w:t>A)</w:t>
      </w:r>
      <w:r w:rsidRPr="00A11C98">
        <w:rPr>
          <w:lang w:val="en-GB"/>
        </w:rPr>
        <w:t xml:space="preserve"> Time-dependent ROC curves at three different prediction horizons for PMHnet evaluated on the Danish test set and the Icelandic external validation set</w:t>
      </w:r>
      <w:r w:rsidR="00B95963" w:rsidRPr="00A11C98">
        <w:rPr>
          <w:lang w:val="en-GB"/>
        </w:rPr>
        <w:t>,</w:t>
      </w:r>
      <w:r w:rsidRPr="00A11C98">
        <w:rPr>
          <w:lang w:val="en-GB"/>
        </w:rPr>
        <w:t xml:space="preserve"> respectively. Text labels show the corresponding </w:t>
      </w:r>
      <w:proofErr w:type="spellStart"/>
      <w:r w:rsidRPr="00A11C98">
        <w:rPr>
          <w:lang w:val="en-GB"/>
        </w:rPr>
        <w:t>tdAUC</w:t>
      </w:r>
      <w:proofErr w:type="spellEnd"/>
      <w:r w:rsidRPr="00A11C98">
        <w:rPr>
          <w:lang w:val="en-GB"/>
        </w:rPr>
        <w:t xml:space="preserve"> scores. </w:t>
      </w:r>
      <w:r w:rsidRPr="00A11C98">
        <w:rPr>
          <w:iCs/>
          <w:lang w:val="en-GB"/>
        </w:rPr>
        <w:t>B)</w:t>
      </w:r>
      <w:r w:rsidRPr="00A11C98">
        <w:rPr>
          <w:lang w:val="en-GB"/>
        </w:rPr>
        <w:t xml:space="preserve"> Calibration curves showing the relation between predicted risk and the estimated actual risk. Labels show the Brier score for each of </w:t>
      </w:r>
      <w:r w:rsidR="004D5260">
        <w:rPr>
          <w:lang w:val="en-GB"/>
        </w:rPr>
        <w:t>datasets</w:t>
      </w:r>
      <w:r w:rsidRPr="00A11C98">
        <w:rPr>
          <w:lang w:val="en-GB"/>
        </w:rPr>
        <w:t xml:space="preserve">. Lower scores are associated with better calibration and discrimination of predictions. Data for both type of plots and scores were generated using </w:t>
      </w:r>
      <w:proofErr w:type="spellStart"/>
      <w:r w:rsidRPr="00A11C98">
        <w:rPr>
          <w:lang w:val="en-GB"/>
        </w:rPr>
        <w:t>riskRegression</w:t>
      </w:r>
      <w:proofErr w:type="spellEnd"/>
      <w:r w:rsidRPr="00A11C98">
        <w:rPr>
          <w:lang w:val="en-GB"/>
        </w:rPr>
        <w:t xml:space="preserve"> and visualized using ggplot2.</w:t>
      </w:r>
    </w:p>
    <w:p w14:paraId="0F228A3E" w14:textId="196334A8" w:rsidR="001658CF" w:rsidRDefault="001658CF" w:rsidP="008A2C53">
      <w:pPr>
        <w:spacing w:line="480" w:lineRule="auto"/>
        <w:jc w:val="left"/>
        <w:rPr>
          <w:lang w:val="en-GB"/>
        </w:rPr>
      </w:pPr>
      <w:r w:rsidRPr="00A11C98">
        <w:rPr>
          <w:lang w:val="en-GB"/>
        </w:rPr>
        <w:br w:type="page"/>
      </w:r>
      <w:r w:rsidRPr="00A11C98">
        <w:rPr>
          <w:lang w:val="en-GB"/>
        </w:rPr>
        <w:lastRenderedPageBreak/>
        <w:t xml:space="preserve"> </w:t>
      </w:r>
    </w:p>
    <w:p w14:paraId="6208BD5F" w14:textId="12BE9B17" w:rsidR="00E42414" w:rsidRPr="00A11C98" w:rsidRDefault="002665D3" w:rsidP="008A2C53">
      <w:pPr>
        <w:spacing w:line="480" w:lineRule="auto"/>
        <w:jc w:val="left"/>
        <w:rPr>
          <w:lang w:val="en-GB"/>
        </w:rPr>
      </w:pPr>
      <w:r w:rsidRPr="002665D3">
        <w:rPr>
          <w:noProof/>
          <w:lang w:val="en-GB"/>
        </w:rPr>
        <w:drawing>
          <wp:inline distT="0" distB="0" distL="0" distR="0" wp14:anchorId="35506AF1" wp14:editId="183656E3">
            <wp:extent cx="5943600" cy="2933065"/>
            <wp:effectExtent l="0" t="0" r="0" b="635"/>
            <wp:docPr id="1762351231" name="Picture 176235123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351231" name="Picture 1" descr="A graph of different colored lines&#10;&#10;Description automatically generated"/>
                    <pic:cNvPicPr/>
                  </pic:nvPicPr>
                  <pic:blipFill>
                    <a:blip r:embed="rId15"/>
                    <a:stretch>
                      <a:fillRect/>
                    </a:stretch>
                  </pic:blipFill>
                  <pic:spPr>
                    <a:xfrm>
                      <a:off x="0" y="0"/>
                      <a:ext cx="5943600" cy="2933065"/>
                    </a:xfrm>
                    <a:prstGeom prst="rect">
                      <a:avLst/>
                    </a:prstGeom>
                  </pic:spPr>
                </pic:pic>
              </a:graphicData>
            </a:graphic>
          </wp:inline>
        </w:drawing>
      </w:r>
    </w:p>
    <w:p w14:paraId="0C4302BF" w14:textId="40690F7F" w:rsidR="001658CF" w:rsidRPr="00A11C98" w:rsidRDefault="001658CF" w:rsidP="008A2C53">
      <w:pPr>
        <w:pStyle w:val="ImageCaption"/>
        <w:spacing w:line="480" w:lineRule="auto"/>
        <w:jc w:val="left"/>
        <w:rPr>
          <w:lang w:val="en-GB"/>
        </w:rPr>
      </w:pPr>
      <w:r w:rsidRPr="00A11C98">
        <w:rPr>
          <w:lang w:val="en-GB"/>
        </w:rPr>
        <w:t xml:space="preserve">Figure S4: </w:t>
      </w:r>
      <w:r w:rsidRPr="00A11C98">
        <w:rPr>
          <w:b/>
          <w:bCs/>
          <w:lang w:val="en-GB"/>
        </w:rPr>
        <w:t>Effect of including polygenic risk scores to clinical features.</w:t>
      </w:r>
      <w:r w:rsidRPr="00A11C98">
        <w:rPr>
          <w:lang w:val="en-GB"/>
        </w:rPr>
        <w:t xml:space="preserve"> </w:t>
      </w:r>
    </w:p>
    <w:p w14:paraId="2CDD223B" w14:textId="74072A0C" w:rsidR="00591AE8" w:rsidRDefault="001658CF" w:rsidP="001338B0">
      <w:pPr>
        <w:pStyle w:val="ImageCaption"/>
        <w:spacing w:line="480" w:lineRule="auto"/>
        <w:jc w:val="left"/>
        <w:rPr>
          <w:lang w:val="en-GB"/>
        </w:rPr>
      </w:pPr>
      <w:r w:rsidRPr="00A11C98">
        <w:rPr>
          <w:lang w:val="en-GB"/>
        </w:rPr>
        <w:t>[</w:t>
      </w:r>
      <w:proofErr w:type="gramStart"/>
      <w:r w:rsidRPr="00A11C98">
        <w:rPr>
          <w:lang w:val="en-GB"/>
        </w:rPr>
        <w:t>A</w:t>
      </w:r>
      <w:proofErr w:type="gramEnd"/>
      <w:r w:rsidRPr="00A11C98">
        <w:rPr>
          <w:lang w:val="en-GB"/>
        </w:rPr>
        <w:t xml:space="preserve">] </w:t>
      </w:r>
      <w:r w:rsidR="00B95963" w:rsidRPr="00A11C98">
        <w:rPr>
          <w:lang w:val="en-GB"/>
        </w:rPr>
        <w:t>The</w:t>
      </w:r>
      <w:r w:rsidRPr="00A11C98">
        <w:rPr>
          <w:lang w:val="en-GB"/>
        </w:rPr>
        <w:t xml:space="preserve"> time-dependent AUC values for different models evaluated on the subset of the </w:t>
      </w:r>
      <w:r w:rsidR="00302E6E" w:rsidRPr="00A11C98">
        <w:rPr>
          <w:lang w:val="en-GB"/>
        </w:rPr>
        <w:t>hold</w:t>
      </w:r>
      <w:r w:rsidR="004C0CF9" w:rsidRPr="00A11C98">
        <w:rPr>
          <w:lang w:val="en-GB"/>
        </w:rPr>
        <w:t>-</w:t>
      </w:r>
      <w:r w:rsidR="00302E6E" w:rsidRPr="00A11C98">
        <w:rPr>
          <w:lang w:val="en-GB"/>
        </w:rPr>
        <w:t>out</w:t>
      </w:r>
      <w:r w:rsidR="0002766F">
        <w:rPr>
          <w:lang w:val="en-GB"/>
        </w:rPr>
        <w:t xml:space="preserve"> </w:t>
      </w:r>
      <w:r w:rsidRPr="00A11C98">
        <w:rPr>
          <w:lang w:val="en-GB"/>
        </w:rPr>
        <w:t xml:space="preserve">test set where genetic information could be obtained. </w:t>
      </w:r>
      <w:r w:rsidR="001E0E62">
        <w:rPr>
          <w:lang w:val="en-GB"/>
        </w:rPr>
        <w:t>From top to bottom, the first two lines show the performance of the complete model</w:t>
      </w:r>
      <w:r w:rsidR="00EB7ED3">
        <w:rPr>
          <w:lang w:val="en-GB"/>
        </w:rPr>
        <w:t xml:space="preserve"> (“006”)</w:t>
      </w:r>
      <w:r w:rsidR="001E0E62">
        <w:rPr>
          <w:lang w:val="en-GB"/>
        </w:rPr>
        <w:t xml:space="preserve"> with and without PRS </w:t>
      </w:r>
      <w:r w:rsidR="00EB7ED3">
        <w:rPr>
          <w:lang w:val="en-GB"/>
        </w:rPr>
        <w:t xml:space="preserve">features added. The next </w:t>
      </w:r>
      <w:r w:rsidR="00B34606">
        <w:rPr>
          <w:lang w:val="en-GB"/>
        </w:rPr>
        <w:t xml:space="preserve">sets of </w:t>
      </w:r>
      <w:r w:rsidR="00EB7ED3">
        <w:rPr>
          <w:lang w:val="en-GB"/>
        </w:rPr>
        <w:t>two correspond to</w:t>
      </w:r>
      <w:r w:rsidR="00B34606">
        <w:rPr>
          <w:lang w:val="en-GB"/>
        </w:rPr>
        <w:t xml:space="preserve"> a</w:t>
      </w:r>
      <w:r w:rsidR="00EB7ED3">
        <w:rPr>
          <w:lang w:val="en-GB"/>
        </w:rPr>
        <w:t xml:space="preserve"> model only </w:t>
      </w:r>
      <w:r w:rsidR="00B34606">
        <w:rPr>
          <w:lang w:val="en-GB"/>
        </w:rPr>
        <w:t>using clinical features (“009”, ClinicalOne + ClinicalTwo)</w:t>
      </w:r>
      <w:r w:rsidR="00EB7ED3">
        <w:rPr>
          <w:lang w:val="en-GB"/>
        </w:rPr>
        <w:t xml:space="preserve"> </w:t>
      </w:r>
      <w:r w:rsidR="00B34606">
        <w:rPr>
          <w:lang w:val="en-GB"/>
        </w:rPr>
        <w:t xml:space="preserve">and a model only using diagnosis codes (“001”). Finally, </w:t>
      </w:r>
      <w:r w:rsidR="00CB2503">
        <w:rPr>
          <w:lang w:val="en-GB"/>
        </w:rPr>
        <w:t xml:space="preserve">the last line is the performance of a model that is using PRSs as the sole predictors. </w:t>
      </w:r>
      <w:r w:rsidRPr="00A11C98">
        <w:rPr>
          <w:lang w:val="en-GB"/>
        </w:rPr>
        <w:t xml:space="preserve">[B] </w:t>
      </w:r>
      <w:r w:rsidR="00CB2503">
        <w:rPr>
          <w:lang w:val="en-GB"/>
        </w:rPr>
        <w:t xml:space="preserve">A formal test of </w:t>
      </w:r>
      <w:proofErr w:type="spellStart"/>
      <w:r w:rsidRPr="00A11C98">
        <w:rPr>
          <w:lang w:val="en-GB"/>
        </w:rPr>
        <w:t>ΔtdAUC</w:t>
      </w:r>
      <w:proofErr w:type="spellEnd"/>
      <w:r w:rsidRPr="00A11C98">
        <w:rPr>
          <w:lang w:val="en-GB"/>
        </w:rPr>
        <w:t xml:space="preserve"> obtained by adding PRS information </w:t>
      </w:r>
      <w:r w:rsidR="002448FB">
        <w:rPr>
          <w:lang w:val="en-GB"/>
        </w:rPr>
        <w:t>to each of the models in panel A</w:t>
      </w:r>
      <w:proofErr w:type="gramStart"/>
      <w:r w:rsidR="002448FB">
        <w:rPr>
          <w:lang w:val="en-GB"/>
        </w:rPr>
        <w:t>)._</w:t>
      </w:r>
      <w:proofErr w:type="gramEnd"/>
      <w:r w:rsidRPr="00A11C98">
        <w:rPr>
          <w:lang w:val="en-GB"/>
        </w:rPr>
        <w:t xml:space="preserve">Ribbon shows confidence interval obtained through the “Score” function from the </w:t>
      </w:r>
      <w:proofErr w:type="spellStart"/>
      <w:r w:rsidRPr="00A11C98">
        <w:rPr>
          <w:lang w:val="en-GB"/>
        </w:rPr>
        <w:t>riskRegression</w:t>
      </w:r>
      <w:proofErr w:type="spellEnd"/>
      <w:r w:rsidRPr="00A11C98">
        <w:rPr>
          <w:lang w:val="en-GB"/>
        </w:rPr>
        <w:t xml:space="preserve"> R-package. </w:t>
      </w:r>
    </w:p>
    <w:p w14:paraId="005D979F" w14:textId="77777777" w:rsidR="00591AE8" w:rsidRDefault="00591AE8">
      <w:pPr>
        <w:spacing w:after="0" w:line="240" w:lineRule="auto"/>
        <w:jc w:val="left"/>
        <w:rPr>
          <w:i/>
          <w:lang w:val="en-GB"/>
        </w:rPr>
      </w:pPr>
      <w:r>
        <w:rPr>
          <w:lang w:val="en-GB"/>
        </w:rPr>
        <w:br w:type="page"/>
      </w:r>
    </w:p>
    <w:p w14:paraId="5761796E" w14:textId="77777777" w:rsidR="00131AB1" w:rsidRDefault="00131AB1" w:rsidP="001338B0">
      <w:pPr>
        <w:pStyle w:val="ImageCaption"/>
        <w:spacing w:line="480" w:lineRule="auto"/>
        <w:jc w:val="left"/>
        <w:rPr>
          <w:lang w:val="en-GB"/>
        </w:rPr>
      </w:pPr>
      <w:r>
        <w:rPr>
          <w:noProof/>
        </w:rPr>
        <w:lastRenderedPageBreak/>
        <w:drawing>
          <wp:inline distT="0" distB="0" distL="0" distR="0" wp14:anchorId="6BE4B3F2" wp14:editId="3FD8493E">
            <wp:extent cx="2571750" cy="4333875"/>
            <wp:effectExtent l="0" t="0" r="0" b="9525"/>
            <wp:docPr id="1383656305" name="Graphic 1383656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656305"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2571750" cy="4333875"/>
                    </a:xfrm>
                    <a:prstGeom prst="rect">
                      <a:avLst/>
                    </a:prstGeom>
                  </pic:spPr>
                </pic:pic>
              </a:graphicData>
            </a:graphic>
          </wp:inline>
        </w:drawing>
      </w:r>
    </w:p>
    <w:p w14:paraId="1EDC62D1" w14:textId="77777777" w:rsidR="00131AB1" w:rsidRDefault="00131AB1" w:rsidP="001338B0">
      <w:pPr>
        <w:pStyle w:val="ImageCaption"/>
        <w:spacing w:line="480" w:lineRule="auto"/>
        <w:jc w:val="left"/>
        <w:rPr>
          <w:b/>
          <w:bCs/>
          <w:lang w:val="en-GB"/>
        </w:rPr>
      </w:pPr>
      <w:r>
        <w:rPr>
          <w:lang w:val="en-GB"/>
        </w:rPr>
        <w:t xml:space="preserve">Figure S5: </w:t>
      </w:r>
      <w:r>
        <w:rPr>
          <w:b/>
          <w:bCs/>
          <w:lang w:val="en-GB"/>
        </w:rPr>
        <w:t>Neural network architecture of PMHnet (full version).</w:t>
      </w:r>
    </w:p>
    <w:p w14:paraId="3245BCA7" w14:textId="5EDCA23C" w:rsidR="00121D18" w:rsidRPr="001338B0" w:rsidRDefault="00131AB1" w:rsidP="001338B0">
      <w:pPr>
        <w:pStyle w:val="ImageCaption"/>
        <w:spacing w:line="480" w:lineRule="auto"/>
        <w:jc w:val="left"/>
        <w:rPr>
          <w:lang w:val="en-GB"/>
        </w:rPr>
      </w:pPr>
      <w:r>
        <w:rPr>
          <w:lang w:val="en-GB"/>
        </w:rPr>
        <w:t xml:space="preserve">Using the PyTorch machine learning framework for python, the illustrated neural network architecture was implemented. The architecture hyperparameters, number of layers; number of units; and </w:t>
      </w:r>
      <w:proofErr w:type="spellStart"/>
      <w:r>
        <w:rPr>
          <w:lang w:val="en-GB"/>
        </w:rPr>
        <w:t>droprate</w:t>
      </w:r>
      <w:proofErr w:type="spellEnd"/>
      <w:r>
        <w:rPr>
          <w:lang w:val="en-GB"/>
        </w:rPr>
        <w:t xml:space="preserve">, were determined from the hyperparameter search performed using the </w:t>
      </w:r>
      <w:proofErr w:type="spellStart"/>
      <w:r>
        <w:rPr>
          <w:lang w:val="en-GB"/>
        </w:rPr>
        <w:t>Optuna</w:t>
      </w:r>
      <w:proofErr w:type="spellEnd"/>
      <w:r>
        <w:rPr>
          <w:lang w:val="en-GB"/>
        </w:rPr>
        <w:t xml:space="preserve"> hyperparameter optimization framework as detailed in the methods section.</w:t>
      </w:r>
    </w:p>
    <w:p w14:paraId="681117FB" w14:textId="77777777" w:rsidR="00951667" w:rsidRDefault="00951667">
      <w:pPr>
        <w:spacing w:after="0" w:line="240" w:lineRule="auto"/>
        <w:jc w:val="left"/>
        <w:rPr>
          <w:rFonts w:ascii="Calibri" w:eastAsia="Times New Roman" w:hAnsi="Calibri"/>
          <w:b/>
          <w:bCs/>
          <w:color w:val="2A216A"/>
          <w:sz w:val="32"/>
          <w:szCs w:val="32"/>
          <w:lang w:val="en-GB"/>
        </w:rPr>
      </w:pPr>
      <w:bookmarkStart w:id="8" w:name="_Toc126935410"/>
      <w:r>
        <w:rPr>
          <w:lang w:val="en-GB"/>
        </w:rPr>
        <w:br w:type="page"/>
      </w:r>
    </w:p>
    <w:p w14:paraId="23052C5C" w14:textId="2C237A21" w:rsidR="001658CF" w:rsidRPr="00A11C98" w:rsidRDefault="001658CF" w:rsidP="0077265F">
      <w:pPr>
        <w:pStyle w:val="Heading1"/>
        <w:spacing w:line="480" w:lineRule="auto"/>
        <w:jc w:val="left"/>
        <w:rPr>
          <w:lang w:val="en-GB"/>
        </w:rPr>
      </w:pPr>
      <w:r w:rsidRPr="00A11C98">
        <w:rPr>
          <w:lang w:val="en-GB"/>
        </w:rPr>
        <w:lastRenderedPageBreak/>
        <w:t>Supplementary tables</w:t>
      </w:r>
      <w:bookmarkEnd w:id="8"/>
    </w:p>
    <w:tbl>
      <w:tblPr>
        <w:tblpPr w:leftFromText="141" w:rightFromText="141" w:vertAnchor="text" w:horzAnchor="margin" w:tblpY="54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16"/>
        <w:gridCol w:w="3117"/>
        <w:gridCol w:w="3117"/>
      </w:tblGrid>
      <w:tr w:rsidR="001338B0" w:rsidRPr="00A11C98" w14:paraId="347F2EE1" w14:textId="77777777" w:rsidTr="001338B0">
        <w:trPr>
          <w:trHeight w:val="609"/>
        </w:trPr>
        <w:tc>
          <w:tcPr>
            <w:tcW w:w="1666" w:type="pct"/>
            <w:vAlign w:val="bottom"/>
          </w:tcPr>
          <w:p w14:paraId="528EDC55"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sz w:val="20"/>
                <w:szCs w:val="20"/>
                <w:lang w:val="en-GB"/>
              </w:rPr>
              <w:t>ClinicalOne</w:t>
            </w:r>
            <w:r w:rsidRPr="00A11C98">
              <w:rPr>
                <w:b/>
                <w:bCs/>
                <w:i w:val="0"/>
                <w:iCs/>
                <w:sz w:val="20"/>
                <w:szCs w:val="20"/>
                <w:lang w:val="en-GB"/>
              </w:rPr>
              <w:t xml:space="preserve"> features</w:t>
            </w:r>
          </w:p>
        </w:tc>
        <w:tc>
          <w:tcPr>
            <w:tcW w:w="1667" w:type="pct"/>
            <w:vAlign w:val="bottom"/>
          </w:tcPr>
          <w:p w14:paraId="4DA78B42"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i w:val="0"/>
                <w:iCs/>
                <w:sz w:val="20"/>
                <w:szCs w:val="20"/>
                <w:lang w:val="en-GB"/>
              </w:rPr>
              <w:t>training</w:t>
            </w:r>
          </w:p>
        </w:tc>
        <w:tc>
          <w:tcPr>
            <w:tcW w:w="1667" w:type="pct"/>
            <w:vAlign w:val="bottom"/>
          </w:tcPr>
          <w:p w14:paraId="2F964FC6"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i w:val="0"/>
                <w:iCs/>
                <w:sz w:val="20"/>
                <w:szCs w:val="20"/>
                <w:lang w:val="en-GB"/>
              </w:rPr>
              <w:t>testing</w:t>
            </w:r>
          </w:p>
        </w:tc>
      </w:tr>
      <w:tr w:rsidR="001338B0" w:rsidRPr="00A11C98" w14:paraId="3439DDD3" w14:textId="77777777" w:rsidTr="001338B0">
        <w:tc>
          <w:tcPr>
            <w:tcW w:w="1666" w:type="pct"/>
          </w:tcPr>
          <w:p w14:paraId="0E364050"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Systolic blood pressure</w:t>
            </w:r>
          </w:p>
        </w:tc>
        <w:tc>
          <w:tcPr>
            <w:tcW w:w="1667" w:type="pct"/>
          </w:tcPr>
          <w:p w14:paraId="524DF6FB"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18%</w:t>
            </w:r>
          </w:p>
        </w:tc>
        <w:tc>
          <w:tcPr>
            <w:tcW w:w="1667" w:type="pct"/>
          </w:tcPr>
          <w:p w14:paraId="1408E4B0"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18%</w:t>
            </w:r>
          </w:p>
        </w:tc>
      </w:tr>
      <w:tr w:rsidR="001338B0" w:rsidRPr="00A11C98" w14:paraId="518A3301" w14:textId="77777777" w:rsidTr="001338B0">
        <w:tc>
          <w:tcPr>
            <w:tcW w:w="1666" w:type="pct"/>
          </w:tcPr>
          <w:p w14:paraId="2AFFAFBC"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Elevated cardiac enzymes</w:t>
            </w:r>
          </w:p>
        </w:tc>
        <w:tc>
          <w:tcPr>
            <w:tcW w:w="1667" w:type="pct"/>
          </w:tcPr>
          <w:p w14:paraId="2E058F1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39%</w:t>
            </w:r>
          </w:p>
        </w:tc>
        <w:tc>
          <w:tcPr>
            <w:tcW w:w="1667" w:type="pct"/>
          </w:tcPr>
          <w:p w14:paraId="264F76B8"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40%</w:t>
            </w:r>
          </w:p>
        </w:tc>
      </w:tr>
      <w:tr w:rsidR="001338B0" w:rsidRPr="00A11C98" w14:paraId="3D1DD7F7" w14:textId="77777777" w:rsidTr="001338B0">
        <w:tc>
          <w:tcPr>
            <w:tcW w:w="1666" w:type="pct"/>
          </w:tcPr>
          <w:p w14:paraId="3DD3961D"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 xml:space="preserve">Cardiac arrest </w:t>
            </w:r>
          </w:p>
        </w:tc>
        <w:tc>
          <w:tcPr>
            <w:tcW w:w="1667" w:type="pct"/>
          </w:tcPr>
          <w:p w14:paraId="7932ADD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284368F2"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7A32BC5E" w14:textId="77777777" w:rsidTr="001338B0">
        <w:tc>
          <w:tcPr>
            <w:tcW w:w="1666" w:type="pct"/>
          </w:tcPr>
          <w:p w14:paraId="3CF30695"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Age</w:t>
            </w:r>
          </w:p>
        </w:tc>
        <w:tc>
          <w:tcPr>
            <w:tcW w:w="1667" w:type="pct"/>
          </w:tcPr>
          <w:p w14:paraId="52505287"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6E7ADB0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 xml:space="preserve">0% </w:t>
            </w:r>
          </w:p>
        </w:tc>
      </w:tr>
      <w:tr w:rsidR="001338B0" w:rsidRPr="00A11C98" w14:paraId="4599AA19" w14:textId="77777777" w:rsidTr="001338B0">
        <w:tc>
          <w:tcPr>
            <w:tcW w:w="1666" w:type="pct"/>
          </w:tcPr>
          <w:p w14:paraId="07714DF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STEMI</w:t>
            </w:r>
          </w:p>
        </w:tc>
        <w:tc>
          <w:tcPr>
            <w:tcW w:w="1667" w:type="pct"/>
          </w:tcPr>
          <w:p w14:paraId="20C90B9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5BCF9526"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450409DC" w14:textId="77777777" w:rsidTr="001338B0">
        <w:tc>
          <w:tcPr>
            <w:tcW w:w="1666" w:type="pct"/>
          </w:tcPr>
          <w:p w14:paraId="331F4C0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Heart rate</w:t>
            </w:r>
          </w:p>
        </w:tc>
        <w:tc>
          <w:tcPr>
            <w:tcW w:w="1667" w:type="pct"/>
          </w:tcPr>
          <w:p w14:paraId="52B3DB24"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20%</w:t>
            </w:r>
          </w:p>
        </w:tc>
        <w:tc>
          <w:tcPr>
            <w:tcW w:w="1667" w:type="pct"/>
          </w:tcPr>
          <w:p w14:paraId="58EADBED"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21%</w:t>
            </w:r>
          </w:p>
        </w:tc>
      </w:tr>
      <w:tr w:rsidR="001338B0" w:rsidRPr="00A11C98" w14:paraId="21620B12" w14:textId="77777777" w:rsidTr="001338B0">
        <w:tc>
          <w:tcPr>
            <w:tcW w:w="1666" w:type="pct"/>
          </w:tcPr>
          <w:p w14:paraId="46FB12F1"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Creatinine</w:t>
            </w:r>
          </w:p>
        </w:tc>
        <w:tc>
          <w:tcPr>
            <w:tcW w:w="1667" w:type="pct"/>
          </w:tcPr>
          <w:p w14:paraId="29126F1C"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10%</w:t>
            </w:r>
          </w:p>
        </w:tc>
        <w:tc>
          <w:tcPr>
            <w:tcW w:w="1667" w:type="pct"/>
          </w:tcPr>
          <w:p w14:paraId="433D4A8E"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11%</w:t>
            </w:r>
          </w:p>
        </w:tc>
      </w:tr>
      <w:tr w:rsidR="001338B0" w:rsidRPr="00A11C98" w14:paraId="50EFC553" w14:textId="77777777" w:rsidTr="001338B0">
        <w:trPr>
          <w:trHeight w:val="318"/>
        </w:trPr>
        <w:tc>
          <w:tcPr>
            <w:tcW w:w="1666" w:type="pct"/>
          </w:tcPr>
          <w:p w14:paraId="494F7114"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Killip-class</w:t>
            </w:r>
          </w:p>
        </w:tc>
        <w:tc>
          <w:tcPr>
            <w:tcW w:w="1667" w:type="pct"/>
          </w:tcPr>
          <w:p w14:paraId="07B1E74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57%</w:t>
            </w:r>
          </w:p>
        </w:tc>
        <w:tc>
          <w:tcPr>
            <w:tcW w:w="1667" w:type="pct"/>
          </w:tcPr>
          <w:p w14:paraId="4F03696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56%</w:t>
            </w:r>
          </w:p>
        </w:tc>
      </w:tr>
      <w:tr w:rsidR="001338B0" w:rsidRPr="00A11C98" w14:paraId="387B735B" w14:textId="77777777" w:rsidTr="001338B0">
        <w:trPr>
          <w:trHeight w:val="647"/>
        </w:trPr>
        <w:tc>
          <w:tcPr>
            <w:tcW w:w="1666" w:type="pct"/>
            <w:vAlign w:val="bottom"/>
          </w:tcPr>
          <w:p w14:paraId="1971D560"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sz w:val="20"/>
                <w:szCs w:val="20"/>
                <w:lang w:val="en-GB"/>
              </w:rPr>
              <w:t>ClinicalTwo</w:t>
            </w:r>
            <w:r w:rsidRPr="00A11C98">
              <w:rPr>
                <w:b/>
                <w:bCs/>
                <w:i w:val="0"/>
                <w:iCs/>
                <w:sz w:val="20"/>
                <w:szCs w:val="20"/>
                <w:lang w:val="en-GB"/>
              </w:rPr>
              <w:t xml:space="preserve"> features</w:t>
            </w:r>
          </w:p>
        </w:tc>
        <w:tc>
          <w:tcPr>
            <w:tcW w:w="1667" w:type="pct"/>
            <w:vAlign w:val="bottom"/>
          </w:tcPr>
          <w:p w14:paraId="3F137DA5"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i w:val="0"/>
                <w:iCs/>
                <w:sz w:val="20"/>
                <w:szCs w:val="20"/>
                <w:lang w:val="en-GB"/>
              </w:rPr>
              <w:t>training</w:t>
            </w:r>
          </w:p>
        </w:tc>
        <w:tc>
          <w:tcPr>
            <w:tcW w:w="1667" w:type="pct"/>
            <w:vAlign w:val="bottom"/>
          </w:tcPr>
          <w:p w14:paraId="69C7FE80" w14:textId="77777777" w:rsidR="001338B0" w:rsidRPr="00A11C98" w:rsidRDefault="001338B0" w:rsidP="001338B0">
            <w:pPr>
              <w:pStyle w:val="ImageCaption"/>
              <w:spacing w:after="0" w:line="360" w:lineRule="auto"/>
              <w:jc w:val="left"/>
              <w:rPr>
                <w:b/>
                <w:bCs/>
                <w:i w:val="0"/>
                <w:iCs/>
                <w:sz w:val="20"/>
                <w:szCs w:val="20"/>
                <w:lang w:val="en-GB"/>
              </w:rPr>
            </w:pPr>
            <w:r w:rsidRPr="00A11C98">
              <w:rPr>
                <w:b/>
                <w:bCs/>
                <w:i w:val="0"/>
                <w:iCs/>
                <w:sz w:val="20"/>
                <w:szCs w:val="20"/>
                <w:lang w:val="en-GB"/>
              </w:rPr>
              <w:t>testing</w:t>
            </w:r>
          </w:p>
        </w:tc>
      </w:tr>
      <w:tr w:rsidR="001338B0" w:rsidRPr="00A11C98" w14:paraId="4246BCE1" w14:textId="77777777" w:rsidTr="001338B0">
        <w:tc>
          <w:tcPr>
            <w:tcW w:w="1666" w:type="pct"/>
          </w:tcPr>
          <w:p w14:paraId="7305316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Abnormal ECG</w:t>
            </w:r>
          </w:p>
        </w:tc>
        <w:tc>
          <w:tcPr>
            <w:tcW w:w="1667" w:type="pct"/>
          </w:tcPr>
          <w:p w14:paraId="2944A02C"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48C17F8A"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0E992440" w14:textId="77777777" w:rsidTr="001338B0">
        <w:tc>
          <w:tcPr>
            <w:tcW w:w="1666" w:type="pct"/>
          </w:tcPr>
          <w:p w14:paraId="2EC8E53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Abnormal QRS-ST</w:t>
            </w:r>
          </w:p>
        </w:tc>
        <w:tc>
          <w:tcPr>
            <w:tcW w:w="1667" w:type="pct"/>
          </w:tcPr>
          <w:p w14:paraId="6C0E7B3E"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029AFAEE"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581BC081" w14:textId="77777777" w:rsidTr="001338B0">
        <w:tc>
          <w:tcPr>
            <w:tcW w:w="1666" w:type="pct"/>
          </w:tcPr>
          <w:p w14:paraId="2410700A"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Canadian cardiovascular score</w:t>
            </w:r>
          </w:p>
        </w:tc>
        <w:tc>
          <w:tcPr>
            <w:tcW w:w="1667" w:type="pct"/>
          </w:tcPr>
          <w:p w14:paraId="25A6F05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8.6%</w:t>
            </w:r>
          </w:p>
        </w:tc>
        <w:tc>
          <w:tcPr>
            <w:tcW w:w="1667" w:type="pct"/>
          </w:tcPr>
          <w:p w14:paraId="106043F5"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8.8%</w:t>
            </w:r>
          </w:p>
        </w:tc>
      </w:tr>
      <w:tr w:rsidR="001338B0" w:rsidRPr="00A11C98" w14:paraId="588AD151" w14:textId="77777777" w:rsidTr="001338B0">
        <w:tc>
          <w:tcPr>
            <w:tcW w:w="1666" w:type="pct"/>
          </w:tcPr>
          <w:p w14:paraId="3BB4FF0A"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Diastolic blood pressure</w:t>
            </w:r>
          </w:p>
        </w:tc>
        <w:tc>
          <w:tcPr>
            <w:tcW w:w="1667" w:type="pct"/>
          </w:tcPr>
          <w:p w14:paraId="29A8E4D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33.5%</w:t>
            </w:r>
          </w:p>
        </w:tc>
        <w:tc>
          <w:tcPr>
            <w:tcW w:w="1667" w:type="pct"/>
          </w:tcPr>
          <w:p w14:paraId="4F61085E"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34%</w:t>
            </w:r>
          </w:p>
        </w:tc>
      </w:tr>
      <w:tr w:rsidR="001338B0" w:rsidRPr="00A11C98" w14:paraId="2ECA8F69" w14:textId="77777777" w:rsidTr="001338B0">
        <w:tc>
          <w:tcPr>
            <w:tcW w:w="1666" w:type="pct"/>
          </w:tcPr>
          <w:p w14:paraId="608D0217"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Dominance</w:t>
            </w:r>
          </w:p>
        </w:tc>
        <w:tc>
          <w:tcPr>
            <w:tcW w:w="1667" w:type="pct"/>
          </w:tcPr>
          <w:p w14:paraId="1C961B40"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3.7%</w:t>
            </w:r>
          </w:p>
        </w:tc>
        <w:tc>
          <w:tcPr>
            <w:tcW w:w="1667" w:type="pct"/>
          </w:tcPr>
          <w:p w14:paraId="45A0397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3.8%</w:t>
            </w:r>
          </w:p>
        </w:tc>
      </w:tr>
      <w:tr w:rsidR="001338B0" w:rsidRPr="00A11C98" w14:paraId="05432E89" w14:textId="77777777" w:rsidTr="001338B0">
        <w:tc>
          <w:tcPr>
            <w:tcW w:w="1666" w:type="pct"/>
          </w:tcPr>
          <w:p w14:paraId="2BEC738E" w14:textId="77777777" w:rsidR="001338B0" w:rsidRPr="00A11C98" w:rsidRDefault="001338B0" w:rsidP="001338B0">
            <w:pPr>
              <w:pStyle w:val="ImageCaption"/>
              <w:spacing w:after="0" w:line="360" w:lineRule="auto"/>
              <w:jc w:val="left"/>
              <w:rPr>
                <w:i w:val="0"/>
                <w:iCs/>
                <w:sz w:val="20"/>
                <w:szCs w:val="20"/>
                <w:lang w:val="en-GB"/>
              </w:rPr>
            </w:pPr>
            <w:r>
              <w:rPr>
                <w:i w:val="0"/>
                <w:iCs/>
                <w:sz w:val="20"/>
                <w:szCs w:val="20"/>
                <w:lang w:val="en-GB"/>
              </w:rPr>
              <w:t>Familial IHD</w:t>
            </w:r>
          </w:p>
        </w:tc>
        <w:tc>
          <w:tcPr>
            <w:tcW w:w="1667" w:type="pct"/>
          </w:tcPr>
          <w:p w14:paraId="2919E235"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6107DA00"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7119FE24" w14:textId="77777777" w:rsidTr="001338B0">
        <w:tc>
          <w:tcPr>
            <w:tcW w:w="1666" w:type="pct"/>
          </w:tcPr>
          <w:p w14:paraId="7D5CECE5"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Height</w:t>
            </w:r>
          </w:p>
        </w:tc>
        <w:tc>
          <w:tcPr>
            <w:tcW w:w="1667" w:type="pct"/>
          </w:tcPr>
          <w:p w14:paraId="70F9170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6.4%</w:t>
            </w:r>
          </w:p>
        </w:tc>
        <w:tc>
          <w:tcPr>
            <w:tcW w:w="1667" w:type="pct"/>
          </w:tcPr>
          <w:p w14:paraId="1EF67CA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6.4%</w:t>
            </w:r>
          </w:p>
        </w:tc>
      </w:tr>
      <w:tr w:rsidR="001338B0" w:rsidRPr="00A11C98" w14:paraId="6922E62F" w14:textId="77777777" w:rsidTr="001338B0">
        <w:tc>
          <w:tcPr>
            <w:tcW w:w="1666" w:type="pct"/>
          </w:tcPr>
          <w:p w14:paraId="0D37B09B"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ICD-or-PM</w:t>
            </w:r>
          </w:p>
        </w:tc>
        <w:tc>
          <w:tcPr>
            <w:tcW w:w="1667" w:type="pct"/>
          </w:tcPr>
          <w:p w14:paraId="2C7ED1CC"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18434E6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10E1C809" w14:textId="77777777" w:rsidTr="001338B0">
        <w:tc>
          <w:tcPr>
            <w:tcW w:w="1666" w:type="pct"/>
          </w:tcPr>
          <w:p w14:paraId="7AE57814"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Ischemia test</w:t>
            </w:r>
          </w:p>
        </w:tc>
        <w:tc>
          <w:tcPr>
            <w:tcW w:w="1667" w:type="pct"/>
          </w:tcPr>
          <w:p w14:paraId="503CA3C1"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41631322"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2FD8AF34" w14:textId="77777777" w:rsidTr="001338B0">
        <w:tc>
          <w:tcPr>
            <w:tcW w:w="1666" w:type="pct"/>
          </w:tcPr>
          <w:p w14:paraId="40C3BC17"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LVEF</w:t>
            </w:r>
          </w:p>
        </w:tc>
        <w:tc>
          <w:tcPr>
            <w:tcW w:w="1667" w:type="pct"/>
          </w:tcPr>
          <w:p w14:paraId="3013886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7864031F"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47DDC4F1" w14:textId="77777777" w:rsidTr="001338B0">
        <w:tc>
          <w:tcPr>
            <w:tcW w:w="1666" w:type="pct"/>
          </w:tcPr>
          <w:p w14:paraId="26C629F2"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NYHA</w:t>
            </w:r>
          </w:p>
        </w:tc>
        <w:tc>
          <w:tcPr>
            <w:tcW w:w="1667" w:type="pct"/>
          </w:tcPr>
          <w:p w14:paraId="1B43EA67"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75.9%</w:t>
            </w:r>
          </w:p>
        </w:tc>
        <w:tc>
          <w:tcPr>
            <w:tcW w:w="1667" w:type="pct"/>
          </w:tcPr>
          <w:p w14:paraId="178441D2"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76.8%</w:t>
            </w:r>
          </w:p>
        </w:tc>
      </w:tr>
      <w:tr w:rsidR="001338B0" w:rsidRPr="00A11C98" w14:paraId="10A12AE6" w14:textId="77777777" w:rsidTr="001338B0">
        <w:tc>
          <w:tcPr>
            <w:tcW w:w="1666" w:type="pct"/>
          </w:tcPr>
          <w:p w14:paraId="21D93F7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Sex</w:t>
            </w:r>
          </w:p>
        </w:tc>
        <w:tc>
          <w:tcPr>
            <w:tcW w:w="1667" w:type="pct"/>
          </w:tcPr>
          <w:p w14:paraId="2664CA58"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03B34D17"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6F8DA000" w14:textId="77777777" w:rsidTr="001338B0">
        <w:tc>
          <w:tcPr>
            <w:tcW w:w="1666" w:type="pct"/>
          </w:tcPr>
          <w:p w14:paraId="11F76E3B"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 xml:space="preserve">Smoking </w:t>
            </w:r>
          </w:p>
        </w:tc>
        <w:tc>
          <w:tcPr>
            <w:tcW w:w="1667" w:type="pct"/>
          </w:tcPr>
          <w:p w14:paraId="5C4C9B82"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9.2%</w:t>
            </w:r>
          </w:p>
        </w:tc>
        <w:tc>
          <w:tcPr>
            <w:tcW w:w="1667" w:type="pct"/>
          </w:tcPr>
          <w:p w14:paraId="01F6AE69"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9.0%</w:t>
            </w:r>
          </w:p>
        </w:tc>
      </w:tr>
      <w:tr w:rsidR="001338B0" w:rsidRPr="00A11C98" w14:paraId="694D6243" w14:textId="77777777" w:rsidTr="001338B0">
        <w:tc>
          <w:tcPr>
            <w:tcW w:w="1666" w:type="pct"/>
          </w:tcPr>
          <w:p w14:paraId="27400023"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Vessel status</w:t>
            </w:r>
          </w:p>
        </w:tc>
        <w:tc>
          <w:tcPr>
            <w:tcW w:w="1667" w:type="pct"/>
          </w:tcPr>
          <w:p w14:paraId="5D520AEA"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c>
          <w:tcPr>
            <w:tcW w:w="1667" w:type="pct"/>
          </w:tcPr>
          <w:p w14:paraId="2F79A8CC"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0%</w:t>
            </w:r>
          </w:p>
        </w:tc>
      </w:tr>
      <w:tr w:rsidR="001338B0" w:rsidRPr="00A11C98" w14:paraId="65D03200" w14:textId="77777777" w:rsidTr="001338B0">
        <w:tc>
          <w:tcPr>
            <w:tcW w:w="1666" w:type="pct"/>
          </w:tcPr>
          <w:p w14:paraId="58BFA178"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Weight</w:t>
            </w:r>
          </w:p>
        </w:tc>
        <w:tc>
          <w:tcPr>
            <w:tcW w:w="1667" w:type="pct"/>
          </w:tcPr>
          <w:p w14:paraId="4AA25F78"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4.3%</w:t>
            </w:r>
          </w:p>
        </w:tc>
        <w:tc>
          <w:tcPr>
            <w:tcW w:w="1667" w:type="pct"/>
          </w:tcPr>
          <w:p w14:paraId="5235677E" w14:textId="77777777" w:rsidR="001338B0" w:rsidRPr="00A11C98" w:rsidRDefault="001338B0" w:rsidP="001338B0">
            <w:pPr>
              <w:pStyle w:val="ImageCaption"/>
              <w:spacing w:after="0" w:line="360" w:lineRule="auto"/>
              <w:jc w:val="left"/>
              <w:rPr>
                <w:i w:val="0"/>
                <w:iCs/>
                <w:sz w:val="20"/>
                <w:szCs w:val="20"/>
                <w:lang w:val="en-GB"/>
              </w:rPr>
            </w:pPr>
            <w:r w:rsidRPr="00A11C98">
              <w:rPr>
                <w:i w:val="0"/>
                <w:iCs/>
                <w:sz w:val="20"/>
                <w:szCs w:val="20"/>
                <w:lang w:val="en-GB"/>
              </w:rPr>
              <w:t>4.1%</w:t>
            </w:r>
          </w:p>
        </w:tc>
      </w:tr>
    </w:tbl>
    <w:p w14:paraId="4248182B" w14:textId="021F2407" w:rsidR="008A2C53" w:rsidRPr="001338B0" w:rsidRDefault="001338B0" w:rsidP="001338B0">
      <w:pPr>
        <w:pStyle w:val="ImageCaption"/>
        <w:spacing w:line="480" w:lineRule="auto"/>
        <w:jc w:val="left"/>
        <w:rPr>
          <w:lang w:val="en-GB"/>
        </w:rPr>
      </w:pPr>
      <w:r w:rsidRPr="00A11C98">
        <w:rPr>
          <w:lang w:val="en-GB"/>
        </w:rPr>
        <w:t xml:space="preserve"> </w:t>
      </w:r>
      <w:r w:rsidR="001658CF" w:rsidRPr="00A11C98">
        <w:rPr>
          <w:lang w:val="en-GB"/>
        </w:rPr>
        <w:t xml:space="preserve">Table S1: </w:t>
      </w:r>
      <w:r w:rsidR="001658CF" w:rsidRPr="00A11C98">
        <w:rPr>
          <w:b/>
          <w:bCs/>
          <w:lang w:val="en-GB"/>
        </w:rPr>
        <w:t>Missingness across clinical features for the Danish derivation data.</w:t>
      </w:r>
      <w:r w:rsidR="008A2C53">
        <w:rPr>
          <w:i w:val="0"/>
          <w:iCs/>
          <w:lang w:val="en-GB"/>
        </w:rPr>
        <w:br w:type="page"/>
      </w:r>
    </w:p>
    <w:tbl>
      <w:tblPr>
        <w:tblpPr w:leftFromText="141" w:rightFromText="141" w:vertAnchor="text" w:horzAnchor="margin" w:tblpY="135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47"/>
        <w:gridCol w:w="2352"/>
        <w:gridCol w:w="2313"/>
        <w:gridCol w:w="2338"/>
      </w:tblGrid>
      <w:tr w:rsidR="008A2C53" w:rsidRPr="00A11C98" w14:paraId="32FA052F" w14:textId="77777777" w:rsidTr="008A2C53">
        <w:tc>
          <w:tcPr>
            <w:tcW w:w="1255" w:type="pct"/>
          </w:tcPr>
          <w:p w14:paraId="0A9843FC" w14:textId="77777777" w:rsidR="008A2C53" w:rsidRPr="00A11C98" w:rsidRDefault="008A2C53" w:rsidP="008A2C53">
            <w:pPr>
              <w:spacing w:after="0" w:line="480" w:lineRule="auto"/>
              <w:jc w:val="left"/>
              <w:rPr>
                <w:i/>
                <w:iCs/>
                <w:sz w:val="18"/>
                <w:szCs w:val="18"/>
                <w:lang w:val="en-GB"/>
              </w:rPr>
            </w:pPr>
            <w:r w:rsidRPr="00A11C98">
              <w:rPr>
                <w:i/>
                <w:iCs/>
                <w:sz w:val="18"/>
                <w:szCs w:val="18"/>
                <w:lang w:val="en-GB"/>
              </w:rPr>
              <w:lastRenderedPageBreak/>
              <w:t>Outcomes</w:t>
            </w:r>
          </w:p>
        </w:tc>
        <w:tc>
          <w:tcPr>
            <w:tcW w:w="1258" w:type="pct"/>
          </w:tcPr>
          <w:p w14:paraId="0E74D538" w14:textId="77777777" w:rsidR="008A2C53" w:rsidRPr="00A11C98" w:rsidRDefault="008A2C53" w:rsidP="008A2C53">
            <w:pPr>
              <w:spacing w:after="0" w:line="480" w:lineRule="auto"/>
              <w:jc w:val="left"/>
              <w:rPr>
                <w:sz w:val="18"/>
                <w:szCs w:val="18"/>
                <w:lang w:val="en-GB"/>
              </w:rPr>
            </w:pPr>
            <w:r w:rsidRPr="00A11C98">
              <w:rPr>
                <w:sz w:val="18"/>
                <w:szCs w:val="18"/>
                <w:lang w:val="en-GB"/>
              </w:rPr>
              <w:t>Training set</w:t>
            </w:r>
          </w:p>
        </w:tc>
        <w:tc>
          <w:tcPr>
            <w:tcW w:w="1237" w:type="pct"/>
          </w:tcPr>
          <w:p w14:paraId="33248170" w14:textId="77777777" w:rsidR="008A2C53" w:rsidRPr="00A11C98" w:rsidRDefault="008A2C53" w:rsidP="008A2C53">
            <w:pPr>
              <w:spacing w:after="0" w:line="480" w:lineRule="auto"/>
              <w:jc w:val="left"/>
              <w:rPr>
                <w:sz w:val="18"/>
                <w:szCs w:val="18"/>
                <w:lang w:val="en-GB"/>
              </w:rPr>
            </w:pPr>
            <w:r w:rsidRPr="00A11C98">
              <w:rPr>
                <w:sz w:val="18"/>
                <w:szCs w:val="18"/>
                <w:lang w:val="en-GB"/>
              </w:rPr>
              <w:t>Test set</w:t>
            </w:r>
          </w:p>
        </w:tc>
        <w:tc>
          <w:tcPr>
            <w:tcW w:w="1250" w:type="pct"/>
          </w:tcPr>
          <w:p w14:paraId="1A867317" w14:textId="77777777" w:rsidR="008A2C53" w:rsidRPr="00A11C98" w:rsidRDefault="008A2C53" w:rsidP="008A2C53">
            <w:pPr>
              <w:spacing w:after="0" w:line="480" w:lineRule="auto"/>
              <w:jc w:val="left"/>
              <w:rPr>
                <w:sz w:val="18"/>
                <w:szCs w:val="18"/>
                <w:lang w:val="en-GB"/>
              </w:rPr>
            </w:pPr>
            <w:r w:rsidRPr="00A11C98">
              <w:rPr>
                <w:sz w:val="18"/>
                <w:szCs w:val="18"/>
                <w:lang w:val="en-GB"/>
              </w:rPr>
              <w:t>External validation set</w:t>
            </w:r>
          </w:p>
        </w:tc>
      </w:tr>
      <w:tr w:rsidR="008A2C53" w:rsidRPr="00A11C98" w14:paraId="219F13C2" w14:textId="77777777" w:rsidTr="008A2C53">
        <w:tc>
          <w:tcPr>
            <w:tcW w:w="1255" w:type="pct"/>
          </w:tcPr>
          <w:p w14:paraId="3CA5AF05" w14:textId="77777777" w:rsidR="008A2C53" w:rsidRPr="00A11C98" w:rsidRDefault="008A2C53" w:rsidP="008A2C53">
            <w:pPr>
              <w:spacing w:after="0" w:line="480" w:lineRule="auto"/>
              <w:jc w:val="left"/>
              <w:rPr>
                <w:sz w:val="18"/>
                <w:szCs w:val="18"/>
                <w:lang w:val="en-GB"/>
              </w:rPr>
            </w:pPr>
            <w:r w:rsidRPr="00A11C98">
              <w:rPr>
                <w:sz w:val="18"/>
                <w:szCs w:val="18"/>
                <w:lang w:val="en-GB"/>
              </w:rPr>
              <w:t> </w:t>
            </w:r>
            <w:r w:rsidRPr="00A11C98">
              <w:rPr>
                <w:sz w:val="18"/>
                <w:szCs w:val="18"/>
                <w:lang w:val="en-GB"/>
              </w:rPr>
              <w:t xml:space="preserve"> </w:t>
            </w:r>
            <w:proofErr w:type="gramStart"/>
            <w:r w:rsidRPr="00A11C98">
              <w:rPr>
                <w:sz w:val="18"/>
                <w:szCs w:val="18"/>
                <w:lang w:val="en-GB"/>
              </w:rPr>
              <w:t>RMST(</w:t>
            </w:r>
            <w:proofErr w:type="gramEnd"/>
            <w:r w:rsidRPr="00A11C98">
              <w:rPr>
                <w:sz w:val="18"/>
                <w:szCs w:val="18"/>
                <w:lang w:val="en-GB"/>
              </w:rPr>
              <w:t>1825), days</w:t>
            </w:r>
          </w:p>
          <w:p w14:paraId="3B382F94" w14:textId="77777777" w:rsidR="008A2C53" w:rsidRPr="00A11C98" w:rsidRDefault="008A2C53" w:rsidP="008A2C53">
            <w:pPr>
              <w:spacing w:after="0" w:line="480" w:lineRule="auto"/>
              <w:jc w:val="left"/>
              <w:rPr>
                <w:sz w:val="18"/>
                <w:szCs w:val="18"/>
                <w:lang w:val="en-GB"/>
              </w:rPr>
            </w:pPr>
            <w:r w:rsidRPr="00A11C98">
              <w:rPr>
                <w:sz w:val="18"/>
                <w:szCs w:val="18"/>
                <w:lang w:val="en-GB"/>
              </w:rPr>
              <w:t> </w:t>
            </w:r>
            <w:r w:rsidRPr="00A11C98">
              <w:rPr>
                <w:sz w:val="18"/>
                <w:szCs w:val="18"/>
                <w:lang w:val="en-GB"/>
              </w:rPr>
              <w:t xml:space="preserve"> KM-estimate, 6 months</w:t>
            </w:r>
          </w:p>
          <w:p w14:paraId="758615A8" w14:textId="77777777" w:rsidR="008A2C53" w:rsidRPr="00A11C98" w:rsidRDefault="008A2C53" w:rsidP="008A2C53">
            <w:pPr>
              <w:spacing w:after="0" w:line="480" w:lineRule="auto"/>
              <w:jc w:val="left"/>
              <w:rPr>
                <w:sz w:val="18"/>
                <w:szCs w:val="18"/>
                <w:lang w:val="en-GB"/>
              </w:rPr>
            </w:pPr>
            <w:r w:rsidRPr="00A11C98">
              <w:rPr>
                <w:sz w:val="18"/>
                <w:szCs w:val="18"/>
                <w:lang w:val="en-GB"/>
              </w:rPr>
              <w:t> </w:t>
            </w:r>
            <w:r w:rsidRPr="00A11C98">
              <w:rPr>
                <w:sz w:val="18"/>
                <w:szCs w:val="18"/>
                <w:lang w:val="en-GB"/>
              </w:rPr>
              <w:t xml:space="preserve"> KM-estimate, 1 year</w:t>
            </w:r>
          </w:p>
          <w:p w14:paraId="33F9C684" w14:textId="77777777" w:rsidR="008A2C53" w:rsidRPr="00A11C98" w:rsidRDefault="008A2C53" w:rsidP="008A2C53">
            <w:pPr>
              <w:spacing w:after="0" w:line="480" w:lineRule="auto"/>
              <w:jc w:val="left"/>
              <w:rPr>
                <w:sz w:val="18"/>
                <w:szCs w:val="18"/>
                <w:lang w:val="en-GB"/>
              </w:rPr>
            </w:pPr>
            <w:r w:rsidRPr="00A11C98">
              <w:rPr>
                <w:sz w:val="18"/>
                <w:szCs w:val="18"/>
                <w:lang w:val="en-GB"/>
              </w:rPr>
              <w:t> </w:t>
            </w:r>
            <w:r w:rsidRPr="00A11C98">
              <w:rPr>
                <w:sz w:val="18"/>
                <w:szCs w:val="18"/>
                <w:lang w:val="en-GB"/>
              </w:rPr>
              <w:t xml:space="preserve"> KM-estimate, 3 years</w:t>
            </w:r>
          </w:p>
          <w:p w14:paraId="104192CB" w14:textId="77777777" w:rsidR="008A2C53" w:rsidRPr="00A11C98" w:rsidRDefault="008A2C53" w:rsidP="008A2C53">
            <w:pPr>
              <w:spacing w:after="0" w:line="480" w:lineRule="auto"/>
              <w:jc w:val="left"/>
              <w:rPr>
                <w:sz w:val="18"/>
                <w:szCs w:val="18"/>
                <w:lang w:val="en-GB"/>
              </w:rPr>
            </w:pPr>
            <w:r w:rsidRPr="00A11C98">
              <w:rPr>
                <w:sz w:val="18"/>
                <w:szCs w:val="18"/>
                <w:lang w:val="en-GB"/>
              </w:rPr>
              <w:t> </w:t>
            </w:r>
            <w:r w:rsidRPr="00A11C98">
              <w:rPr>
                <w:sz w:val="18"/>
                <w:szCs w:val="18"/>
                <w:lang w:val="en-GB"/>
              </w:rPr>
              <w:t xml:space="preserve"> KM-estimate, 5 years</w:t>
            </w:r>
          </w:p>
        </w:tc>
        <w:tc>
          <w:tcPr>
            <w:tcW w:w="1258" w:type="pct"/>
          </w:tcPr>
          <w:p w14:paraId="3EA92B3F" w14:textId="77777777" w:rsidR="008A2C53" w:rsidRPr="00A11C98" w:rsidRDefault="008A2C53" w:rsidP="008A2C53">
            <w:pPr>
              <w:spacing w:after="0" w:line="480" w:lineRule="auto"/>
              <w:jc w:val="left"/>
              <w:rPr>
                <w:sz w:val="18"/>
                <w:szCs w:val="18"/>
                <w:lang w:val="en-GB"/>
              </w:rPr>
            </w:pPr>
            <w:r w:rsidRPr="00A11C98">
              <w:rPr>
                <w:sz w:val="18"/>
                <w:szCs w:val="18"/>
                <w:lang w:val="en-GB"/>
              </w:rPr>
              <w:t> 1635, SE: 2.58</w:t>
            </w:r>
          </w:p>
          <w:p w14:paraId="7AECDDE2" w14:textId="77777777" w:rsidR="008A2C53" w:rsidRPr="00A11C98" w:rsidRDefault="008A2C53" w:rsidP="008A2C53">
            <w:pPr>
              <w:spacing w:after="0" w:line="480" w:lineRule="auto"/>
              <w:jc w:val="left"/>
              <w:rPr>
                <w:sz w:val="18"/>
                <w:szCs w:val="18"/>
                <w:lang w:val="en-GB"/>
              </w:rPr>
            </w:pPr>
            <w:r w:rsidRPr="00A11C98">
              <w:rPr>
                <w:sz w:val="18"/>
                <w:szCs w:val="18"/>
                <w:lang w:val="en-GB"/>
              </w:rPr>
              <w:t>95.5% [95.3; 95.8]</w:t>
            </w:r>
          </w:p>
          <w:p w14:paraId="6C092AAC" w14:textId="77777777" w:rsidR="008A2C53" w:rsidRPr="00A11C98" w:rsidRDefault="008A2C53" w:rsidP="008A2C53">
            <w:pPr>
              <w:spacing w:after="0" w:line="480" w:lineRule="auto"/>
              <w:jc w:val="left"/>
              <w:rPr>
                <w:sz w:val="18"/>
                <w:szCs w:val="18"/>
                <w:lang w:val="en-GB"/>
              </w:rPr>
            </w:pPr>
            <w:r w:rsidRPr="00A11C98">
              <w:rPr>
                <w:sz w:val="18"/>
                <w:szCs w:val="18"/>
                <w:lang w:val="en-GB"/>
              </w:rPr>
              <w:t>94.0% [93.8; 94.3]</w:t>
            </w:r>
          </w:p>
          <w:p w14:paraId="36B70730" w14:textId="77777777" w:rsidR="008A2C53" w:rsidRPr="00A11C98" w:rsidRDefault="008A2C53" w:rsidP="008A2C53">
            <w:pPr>
              <w:spacing w:after="0" w:line="480" w:lineRule="auto"/>
              <w:jc w:val="left"/>
              <w:rPr>
                <w:sz w:val="18"/>
                <w:szCs w:val="18"/>
                <w:lang w:val="en-GB"/>
              </w:rPr>
            </w:pPr>
            <w:r w:rsidRPr="00A11C98">
              <w:rPr>
                <w:sz w:val="18"/>
                <w:szCs w:val="18"/>
                <w:lang w:val="en-GB"/>
              </w:rPr>
              <w:t>88.1% [87.8; 88.5]</w:t>
            </w:r>
          </w:p>
          <w:p w14:paraId="269B9C46" w14:textId="77777777" w:rsidR="008A2C53" w:rsidRPr="00A11C98" w:rsidRDefault="008A2C53" w:rsidP="008A2C53">
            <w:pPr>
              <w:spacing w:after="0" w:line="480" w:lineRule="auto"/>
              <w:jc w:val="left"/>
              <w:rPr>
                <w:sz w:val="18"/>
                <w:szCs w:val="18"/>
                <w:lang w:val="en-GB"/>
              </w:rPr>
            </w:pPr>
            <w:r w:rsidRPr="00A11C98">
              <w:rPr>
                <w:sz w:val="18"/>
                <w:szCs w:val="18"/>
                <w:lang w:val="en-GB"/>
              </w:rPr>
              <w:t>81.8% [81.4; 82.2]</w:t>
            </w:r>
          </w:p>
        </w:tc>
        <w:tc>
          <w:tcPr>
            <w:tcW w:w="1237" w:type="pct"/>
          </w:tcPr>
          <w:p w14:paraId="3AC6E91F" w14:textId="77777777" w:rsidR="008A2C53" w:rsidRPr="00A11C98" w:rsidRDefault="008A2C53" w:rsidP="008A2C53">
            <w:pPr>
              <w:spacing w:after="0" w:line="480" w:lineRule="auto"/>
              <w:jc w:val="left"/>
              <w:rPr>
                <w:sz w:val="18"/>
                <w:szCs w:val="18"/>
                <w:lang w:val="en-GB"/>
              </w:rPr>
            </w:pPr>
            <w:r w:rsidRPr="00A11C98">
              <w:rPr>
                <w:sz w:val="18"/>
                <w:szCs w:val="18"/>
                <w:lang w:val="en-GB"/>
              </w:rPr>
              <w:t> 1651, SE: 6.49</w:t>
            </w:r>
          </w:p>
          <w:p w14:paraId="7BEA0CDF" w14:textId="77777777" w:rsidR="008A2C53" w:rsidRPr="00A11C98" w:rsidRDefault="008A2C53" w:rsidP="008A2C53">
            <w:pPr>
              <w:spacing w:after="0" w:line="480" w:lineRule="auto"/>
              <w:jc w:val="left"/>
              <w:rPr>
                <w:sz w:val="18"/>
                <w:szCs w:val="18"/>
                <w:lang w:val="en-GB"/>
              </w:rPr>
            </w:pPr>
            <w:r w:rsidRPr="00A11C98">
              <w:rPr>
                <w:sz w:val="18"/>
                <w:szCs w:val="18"/>
                <w:lang w:val="en-GB"/>
              </w:rPr>
              <w:t>96.1% [95.5; 96.6]</w:t>
            </w:r>
          </w:p>
          <w:p w14:paraId="5CFCB335" w14:textId="77777777" w:rsidR="008A2C53" w:rsidRPr="00A11C98" w:rsidRDefault="008A2C53" w:rsidP="008A2C53">
            <w:pPr>
              <w:spacing w:after="0" w:line="480" w:lineRule="auto"/>
              <w:jc w:val="left"/>
              <w:rPr>
                <w:sz w:val="18"/>
                <w:szCs w:val="18"/>
                <w:lang w:val="en-GB"/>
              </w:rPr>
            </w:pPr>
            <w:r w:rsidRPr="00A11C98">
              <w:rPr>
                <w:sz w:val="18"/>
                <w:szCs w:val="18"/>
                <w:lang w:val="en-GB"/>
              </w:rPr>
              <w:t>94.8% [94.2; 95.4]</w:t>
            </w:r>
          </w:p>
          <w:p w14:paraId="6573DD2E" w14:textId="77777777" w:rsidR="008A2C53" w:rsidRPr="00A11C98" w:rsidRDefault="008A2C53" w:rsidP="008A2C53">
            <w:pPr>
              <w:spacing w:after="0" w:line="480" w:lineRule="auto"/>
              <w:jc w:val="left"/>
              <w:rPr>
                <w:sz w:val="18"/>
                <w:szCs w:val="18"/>
                <w:lang w:val="en-GB"/>
              </w:rPr>
            </w:pPr>
            <w:r w:rsidRPr="00A11C98">
              <w:rPr>
                <w:sz w:val="18"/>
                <w:szCs w:val="18"/>
                <w:lang w:val="en-GB"/>
              </w:rPr>
              <w:t>89.2% [88.3; 90.1]</w:t>
            </w:r>
          </w:p>
          <w:p w14:paraId="28F92141" w14:textId="77777777" w:rsidR="008A2C53" w:rsidRPr="00A11C98" w:rsidRDefault="008A2C53" w:rsidP="008A2C53">
            <w:pPr>
              <w:spacing w:after="0" w:line="480" w:lineRule="auto"/>
              <w:jc w:val="left"/>
              <w:rPr>
                <w:sz w:val="18"/>
                <w:szCs w:val="18"/>
                <w:lang w:val="en-GB"/>
              </w:rPr>
            </w:pPr>
            <w:r w:rsidRPr="00A11C98">
              <w:rPr>
                <w:sz w:val="18"/>
                <w:szCs w:val="18"/>
                <w:lang w:val="en-GB"/>
              </w:rPr>
              <w:t>82.5% [81.3; 83.6]</w:t>
            </w:r>
          </w:p>
        </w:tc>
        <w:tc>
          <w:tcPr>
            <w:tcW w:w="1250" w:type="pct"/>
          </w:tcPr>
          <w:p w14:paraId="787D7188" w14:textId="3F5435DC" w:rsidR="008A2C53" w:rsidRPr="00A11C98" w:rsidRDefault="008A2C53" w:rsidP="008A2C53">
            <w:pPr>
              <w:spacing w:after="0" w:line="480" w:lineRule="auto"/>
              <w:jc w:val="left"/>
              <w:rPr>
                <w:sz w:val="18"/>
                <w:szCs w:val="18"/>
                <w:lang w:val="en-GB"/>
              </w:rPr>
            </w:pPr>
            <w:r w:rsidRPr="00A11C98">
              <w:rPr>
                <w:sz w:val="18"/>
                <w:szCs w:val="18"/>
                <w:lang w:val="en-GB"/>
              </w:rPr>
              <w:t>1697</w:t>
            </w:r>
            <w:r w:rsidR="00E00ED6">
              <w:rPr>
                <w:sz w:val="18"/>
                <w:szCs w:val="18"/>
                <w:lang w:val="en-GB"/>
              </w:rPr>
              <w:t>,</w:t>
            </w:r>
            <w:r w:rsidR="0088752F">
              <w:rPr>
                <w:sz w:val="18"/>
                <w:szCs w:val="18"/>
                <w:lang w:val="en-GB"/>
              </w:rPr>
              <w:t xml:space="preserve"> SE: 3.82</w:t>
            </w:r>
          </w:p>
          <w:p w14:paraId="1D500366" w14:textId="7EB36B2E" w:rsidR="008A2C53" w:rsidRPr="00A11C98" w:rsidRDefault="00E10B68" w:rsidP="008A2C53">
            <w:pPr>
              <w:spacing w:after="0" w:line="480" w:lineRule="auto"/>
              <w:jc w:val="left"/>
              <w:rPr>
                <w:sz w:val="18"/>
                <w:szCs w:val="18"/>
                <w:lang w:val="en-GB"/>
              </w:rPr>
            </w:pPr>
            <w:r w:rsidRPr="00E10B68">
              <w:rPr>
                <w:sz w:val="18"/>
                <w:szCs w:val="18"/>
                <w:lang w:val="en-GB"/>
              </w:rPr>
              <w:t>98.1% [97.9; 98.4]</w:t>
            </w:r>
            <w:r w:rsidR="00AC64F0" w:rsidRPr="00AC64F0">
              <w:rPr>
                <w:sz w:val="18"/>
                <w:szCs w:val="18"/>
                <w:lang w:val="en-GB"/>
              </w:rPr>
              <w:t>97.3% [97.0; 97.7]93.7% [93.2; 94.2]89.6% [88.9; 90.2]</w:t>
            </w:r>
          </w:p>
        </w:tc>
      </w:tr>
    </w:tbl>
    <w:p w14:paraId="75E0A4AB" w14:textId="140CA4C2" w:rsidR="00AE7AAF" w:rsidRDefault="008A2C53" w:rsidP="008A2C53">
      <w:pPr>
        <w:pStyle w:val="BodyText"/>
        <w:spacing w:line="480" w:lineRule="auto"/>
        <w:jc w:val="left"/>
        <w:rPr>
          <w:i/>
          <w:iCs/>
          <w:lang w:val="en-GB"/>
        </w:rPr>
      </w:pPr>
      <w:r w:rsidRPr="00A11C98">
        <w:rPr>
          <w:i/>
          <w:iCs/>
          <w:lang w:val="en-GB"/>
        </w:rPr>
        <w:t xml:space="preserve"> </w:t>
      </w:r>
      <w:r w:rsidR="001658CF" w:rsidRPr="00A11C98">
        <w:rPr>
          <w:i/>
          <w:iCs/>
          <w:lang w:val="en-GB"/>
        </w:rPr>
        <w:t>Table S2: Outcomes and Kaplan-Meier estimates across training, test, and external validation data.</w:t>
      </w:r>
    </w:p>
    <w:p w14:paraId="5C5DA7A9" w14:textId="77777777" w:rsidR="00131AB1" w:rsidRDefault="00131AB1">
      <w:pPr>
        <w:spacing w:after="0" w:line="240" w:lineRule="auto"/>
        <w:jc w:val="left"/>
        <w:rPr>
          <w:i/>
          <w:iCs/>
          <w:lang w:val="en-GB"/>
        </w:rPr>
      </w:pPr>
    </w:p>
    <w:p w14:paraId="02EBD81A" w14:textId="77777777" w:rsidR="00951667" w:rsidRDefault="00951667">
      <w:pPr>
        <w:spacing w:after="0" w:line="240" w:lineRule="auto"/>
        <w:jc w:val="left"/>
        <w:rPr>
          <w:i/>
          <w:iCs/>
          <w:lang w:val="en-GB"/>
        </w:rPr>
      </w:pPr>
    </w:p>
    <w:p w14:paraId="33599803" w14:textId="46A6AA9B" w:rsidR="00BF2C15" w:rsidRDefault="00131AB1">
      <w:pPr>
        <w:spacing w:after="0" w:line="240" w:lineRule="auto"/>
        <w:jc w:val="left"/>
        <w:rPr>
          <w:i/>
          <w:iCs/>
          <w:lang w:val="en-GB"/>
        </w:rPr>
      </w:pPr>
      <w:r>
        <w:rPr>
          <w:i/>
          <w:iCs/>
          <w:lang w:val="en-GB"/>
        </w:rPr>
        <w:t xml:space="preserve">Table S3: </w:t>
      </w:r>
      <w:r w:rsidR="00BF2C15">
        <w:rPr>
          <w:i/>
          <w:iCs/>
          <w:lang w:val="en-GB"/>
        </w:rPr>
        <w:t>Hyperparameters search space and final configuration</w:t>
      </w:r>
    </w:p>
    <w:p w14:paraId="6C531662" w14:textId="77777777" w:rsidR="00BF2C15" w:rsidRDefault="00BF2C15">
      <w:pPr>
        <w:spacing w:after="0" w:line="240" w:lineRule="auto"/>
        <w:jc w:val="left"/>
        <w:rPr>
          <w:i/>
          <w:iCs/>
          <w:lang w:val="en-GB"/>
        </w:rPr>
      </w:pPr>
    </w:p>
    <w:tbl>
      <w:tblPr>
        <w:tblStyle w:val="TableGrid"/>
        <w:tblW w:w="0" w:type="auto"/>
        <w:tblLook w:val="04A0" w:firstRow="1" w:lastRow="0" w:firstColumn="1" w:lastColumn="0" w:noHBand="0" w:noVBand="1"/>
      </w:tblPr>
      <w:tblGrid>
        <w:gridCol w:w="3506"/>
        <w:gridCol w:w="1508"/>
        <w:gridCol w:w="1715"/>
      </w:tblGrid>
      <w:tr w:rsidR="00BF2C15" w14:paraId="6AA95798" w14:textId="77777777" w:rsidTr="00951667">
        <w:tc>
          <w:tcPr>
            <w:tcW w:w="0" w:type="auto"/>
          </w:tcPr>
          <w:p w14:paraId="384DE555" w14:textId="5E72DB9A" w:rsidR="00BF2C15" w:rsidRDefault="00BF2C15">
            <w:pPr>
              <w:spacing w:after="0" w:line="240" w:lineRule="auto"/>
              <w:jc w:val="left"/>
              <w:rPr>
                <w:i/>
                <w:iCs/>
                <w:lang w:val="en-GB"/>
              </w:rPr>
            </w:pPr>
            <w:r>
              <w:rPr>
                <w:i/>
                <w:iCs/>
                <w:lang w:val="en-GB"/>
              </w:rPr>
              <w:t>Hyperparameter</w:t>
            </w:r>
          </w:p>
        </w:tc>
        <w:tc>
          <w:tcPr>
            <w:tcW w:w="0" w:type="auto"/>
          </w:tcPr>
          <w:p w14:paraId="4EB2F4E4" w14:textId="54FBDC22" w:rsidR="00BF2C15" w:rsidRDefault="00BF2C15">
            <w:pPr>
              <w:spacing w:after="0" w:line="240" w:lineRule="auto"/>
              <w:jc w:val="left"/>
              <w:rPr>
                <w:i/>
                <w:iCs/>
                <w:lang w:val="en-GB"/>
              </w:rPr>
            </w:pPr>
            <w:r>
              <w:rPr>
                <w:i/>
                <w:iCs/>
                <w:lang w:val="en-GB"/>
              </w:rPr>
              <w:t>Search space</w:t>
            </w:r>
          </w:p>
        </w:tc>
        <w:tc>
          <w:tcPr>
            <w:tcW w:w="0" w:type="auto"/>
          </w:tcPr>
          <w:p w14:paraId="4269A9F1" w14:textId="4E460C71" w:rsidR="00BF2C15" w:rsidRDefault="00BF2C15">
            <w:pPr>
              <w:spacing w:after="0" w:line="240" w:lineRule="auto"/>
              <w:jc w:val="left"/>
              <w:rPr>
                <w:i/>
                <w:iCs/>
                <w:lang w:val="en-GB"/>
              </w:rPr>
            </w:pPr>
            <w:r>
              <w:rPr>
                <w:i/>
                <w:iCs/>
                <w:lang w:val="en-GB"/>
              </w:rPr>
              <w:t>Best trial</w:t>
            </w:r>
          </w:p>
        </w:tc>
      </w:tr>
      <w:tr w:rsidR="00BF2C15" w14:paraId="6BA4B934" w14:textId="77777777" w:rsidTr="00951667">
        <w:tc>
          <w:tcPr>
            <w:tcW w:w="0" w:type="auto"/>
          </w:tcPr>
          <w:p w14:paraId="57D61929" w14:textId="22655708" w:rsidR="00BF2C15" w:rsidRDefault="00BF2C15">
            <w:pPr>
              <w:spacing w:after="0" w:line="240" w:lineRule="auto"/>
              <w:jc w:val="left"/>
              <w:rPr>
                <w:i/>
                <w:iCs/>
                <w:lang w:val="en-GB"/>
              </w:rPr>
            </w:pPr>
            <w:r>
              <w:rPr>
                <w:i/>
                <w:iCs/>
                <w:lang w:val="en-GB"/>
              </w:rPr>
              <w:t>Biochemical inclusion window</w:t>
            </w:r>
          </w:p>
        </w:tc>
        <w:tc>
          <w:tcPr>
            <w:tcW w:w="0" w:type="auto"/>
          </w:tcPr>
          <w:p w14:paraId="4B901AC7" w14:textId="77777777" w:rsidR="00BF2C15" w:rsidRDefault="00BF2C15">
            <w:pPr>
              <w:spacing w:after="0" w:line="240" w:lineRule="auto"/>
              <w:jc w:val="left"/>
              <w:rPr>
                <w:i/>
                <w:iCs/>
                <w:lang w:val="en-GB"/>
              </w:rPr>
            </w:pPr>
          </w:p>
        </w:tc>
        <w:tc>
          <w:tcPr>
            <w:tcW w:w="0" w:type="auto"/>
          </w:tcPr>
          <w:p w14:paraId="726018CF" w14:textId="01C32081" w:rsidR="00BF2C15" w:rsidRDefault="00BF2C15">
            <w:pPr>
              <w:spacing w:after="0" w:line="240" w:lineRule="auto"/>
              <w:jc w:val="left"/>
              <w:rPr>
                <w:i/>
                <w:iCs/>
                <w:lang w:val="en-GB"/>
              </w:rPr>
            </w:pPr>
            <w:r>
              <w:rPr>
                <w:i/>
                <w:iCs/>
                <w:lang w:val="en-GB"/>
              </w:rPr>
              <w:t>2.5 years</w:t>
            </w:r>
          </w:p>
        </w:tc>
      </w:tr>
      <w:tr w:rsidR="00BF2C15" w14:paraId="164A8396" w14:textId="77777777" w:rsidTr="00951667">
        <w:tc>
          <w:tcPr>
            <w:tcW w:w="0" w:type="auto"/>
          </w:tcPr>
          <w:p w14:paraId="3B02C678" w14:textId="6C152112" w:rsidR="00BF2C15" w:rsidRDefault="00BF2C15">
            <w:pPr>
              <w:spacing w:after="0" w:line="240" w:lineRule="auto"/>
              <w:jc w:val="left"/>
              <w:rPr>
                <w:i/>
                <w:iCs/>
                <w:lang w:val="en-GB"/>
              </w:rPr>
            </w:pPr>
            <w:r>
              <w:rPr>
                <w:i/>
                <w:iCs/>
                <w:lang w:val="en-GB"/>
              </w:rPr>
              <w:t>Diagnosis inclusion window</w:t>
            </w:r>
          </w:p>
        </w:tc>
        <w:tc>
          <w:tcPr>
            <w:tcW w:w="0" w:type="auto"/>
          </w:tcPr>
          <w:p w14:paraId="7484BB90" w14:textId="77777777" w:rsidR="00BF2C15" w:rsidRDefault="00BF2C15">
            <w:pPr>
              <w:spacing w:after="0" w:line="240" w:lineRule="auto"/>
              <w:jc w:val="left"/>
              <w:rPr>
                <w:i/>
                <w:iCs/>
                <w:lang w:val="en-GB"/>
              </w:rPr>
            </w:pPr>
          </w:p>
        </w:tc>
        <w:tc>
          <w:tcPr>
            <w:tcW w:w="0" w:type="auto"/>
          </w:tcPr>
          <w:p w14:paraId="231C7894" w14:textId="19F404CC" w:rsidR="00BF2C15" w:rsidRDefault="00BF2C15">
            <w:pPr>
              <w:spacing w:after="0" w:line="240" w:lineRule="auto"/>
              <w:jc w:val="left"/>
              <w:rPr>
                <w:i/>
                <w:iCs/>
                <w:lang w:val="en-GB"/>
              </w:rPr>
            </w:pPr>
            <w:r>
              <w:rPr>
                <w:i/>
                <w:iCs/>
                <w:lang w:val="en-GB"/>
              </w:rPr>
              <w:t>13.5 years</w:t>
            </w:r>
          </w:p>
        </w:tc>
      </w:tr>
      <w:tr w:rsidR="00BF2C15" w14:paraId="267ACF62" w14:textId="77777777" w:rsidTr="00BF2C15">
        <w:tc>
          <w:tcPr>
            <w:tcW w:w="0" w:type="auto"/>
          </w:tcPr>
          <w:p w14:paraId="398256AB" w14:textId="14E3A2BD" w:rsidR="00BF2C15" w:rsidRDefault="00BF2C15">
            <w:pPr>
              <w:spacing w:after="0" w:line="240" w:lineRule="auto"/>
              <w:jc w:val="left"/>
              <w:rPr>
                <w:i/>
                <w:iCs/>
                <w:lang w:val="en-GB"/>
              </w:rPr>
            </w:pPr>
            <w:r>
              <w:rPr>
                <w:i/>
                <w:iCs/>
                <w:lang w:val="en-GB"/>
              </w:rPr>
              <w:t>Procedures inclusion window</w:t>
            </w:r>
          </w:p>
        </w:tc>
        <w:tc>
          <w:tcPr>
            <w:tcW w:w="0" w:type="auto"/>
          </w:tcPr>
          <w:p w14:paraId="5843B915" w14:textId="77777777" w:rsidR="00BF2C15" w:rsidRDefault="00BF2C15">
            <w:pPr>
              <w:spacing w:after="0" w:line="240" w:lineRule="auto"/>
              <w:jc w:val="left"/>
              <w:rPr>
                <w:i/>
                <w:iCs/>
                <w:lang w:val="en-GB"/>
              </w:rPr>
            </w:pPr>
          </w:p>
        </w:tc>
        <w:tc>
          <w:tcPr>
            <w:tcW w:w="0" w:type="auto"/>
          </w:tcPr>
          <w:p w14:paraId="3920481A" w14:textId="54B224BB" w:rsidR="00BF2C15" w:rsidRDefault="00BF2C15">
            <w:pPr>
              <w:spacing w:after="0" w:line="240" w:lineRule="auto"/>
              <w:jc w:val="left"/>
              <w:rPr>
                <w:i/>
                <w:iCs/>
                <w:lang w:val="en-GB"/>
              </w:rPr>
            </w:pPr>
            <w:r>
              <w:rPr>
                <w:i/>
                <w:iCs/>
                <w:lang w:val="en-GB"/>
              </w:rPr>
              <w:t>3.5 years</w:t>
            </w:r>
          </w:p>
        </w:tc>
      </w:tr>
      <w:tr w:rsidR="00BF2C15" w14:paraId="682D1538" w14:textId="77777777" w:rsidTr="00951667">
        <w:tc>
          <w:tcPr>
            <w:tcW w:w="0" w:type="auto"/>
          </w:tcPr>
          <w:p w14:paraId="15F99051" w14:textId="496552A9" w:rsidR="00BF2C15" w:rsidRDefault="00BF2C15">
            <w:pPr>
              <w:spacing w:after="0" w:line="240" w:lineRule="auto"/>
              <w:jc w:val="left"/>
              <w:rPr>
                <w:i/>
                <w:iCs/>
                <w:lang w:val="en-GB"/>
              </w:rPr>
            </w:pPr>
            <w:r>
              <w:rPr>
                <w:i/>
                <w:iCs/>
                <w:lang w:val="en-GB"/>
              </w:rPr>
              <w:t>Number of hidden layers</w:t>
            </w:r>
          </w:p>
        </w:tc>
        <w:tc>
          <w:tcPr>
            <w:tcW w:w="0" w:type="auto"/>
          </w:tcPr>
          <w:p w14:paraId="222238BD" w14:textId="77777777" w:rsidR="00BF2C15" w:rsidRDefault="00BF2C15">
            <w:pPr>
              <w:spacing w:after="0" w:line="240" w:lineRule="auto"/>
              <w:jc w:val="left"/>
              <w:rPr>
                <w:i/>
                <w:iCs/>
                <w:lang w:val="en-GB"/>
              </w:rPr>
            </w:pPr>
          </w:p>
        </w:tc>
        <w:tc>
          <w:tcPr>
            <w:tcW w:w="0" w:type="auto"/>
          </w:tcPr>
          <w:p w14:paraId="15E75ED0" w14:textId="22856D73" w:rsidR="00BF2C15" w:rsidRDefault="00BF2C15">
            <w:pPr>
              <w:spacing w:after="0" w:line="240" w:lineRule="auto"/>
              <w:jc w:val="left"/>
              <w:rPr>
                <w:i/>
                <w:iCs/>
                <w:lang w:val="en-GB"/>
              </w:rPr>
            </w:pPr>
            <w:r>
              <w:rPr>
                <w:i/>
                <w:iCs/>
                <w:lang w:val="en-GB"/>
              </w:rPr>
              <w:t>2</w:t>
            </w:r>
          </w:p>
        </w:tc>
      </w:tr>
      <w:tr w:rsidR="00BF2C15" w14:paraId="7F296282" w14:textId="77777777" w:rsidTr="00951667">
        <w:trPr>
          <w:trHeight w:val="718"/>
        </w:trPr>
        <w:tc>
          <w:tcPr>
            <w:tcW w:w="0" w:type="auto"/>
          </w:tcPr>
          <w:p w14:paraId="1A2CC95F" w14:textId="6CA7588C" w:rsidR="00BF2C15" w:rsidRDefault="00BF2C15">
            <w:pPr>
              <w:spacing w:after="0" w:line="240" w:lineRule="auto"/>
              <w:jc w:val="left"/>
              <w:rPr>
                <w:i/>
                <w:iCs/>
                <w:lang w:val="en-GB"/>
              </w:rPr>
            </w:pPr>
            <w:r>
              <w:rPr>
                <w:i/>
                <w:iCs/>
                <w:lang w:val="en-GB"/>
              </w:rPr>
              <w:t>Number of units per hidden layer</w:t>
            </w:r>
          </w:p>
        </w:tc>
        <w:tc>
          <w:tcPr>
            <w:tcW w:w="0" w:type="auto"/>
          </w:tcPr>
          <w:p w14:paraId="433602B3" w14:textId="77777777" w:rsidR="00BF2C15" w:rsidRDefault="00BF2C15">
            <w:pPr>
              <w:spacing w:after="0" w:line="240" w:lineRule="auto"/>
              <w:jc w:val="left"/>
              <w:rPr>
                <w:i/>
                <w:iCs/>
                <w:lang w:val="en-GB"/>
              </w:rPr>
            </w:pPr>
          </w:p>
        </w:tc>
        <w:tc>
          <w:tcPr>
            <w:tcW w:w="0" w:type="auto"/>
          </w:tcPr>
          <w:p w14:paraId="4ED3A2FC" w14:textId="77777777" w:rsidR="00BF2C15" w:rsidRDefault="00BF2C15">
            <w:pPr>
              <w:spacing w:after="0" w:line="240" w:lineRule="auto"/>
              <w:jc w:val="left"/>
              <w:rPr>
                <w:i/>
                <w:iCs/>
                <w:lang w:val="en-GB"/>
              </w:rPr>
            </w:pPr>
            <w:r>
              <w:rPr>
                <w:i/>
                <w:iCs/>
                <w:lang w:val="en-GB"/>
              </w:rPr>
              <w:t xml:space="preserve">Layer 1: 71, </w:t>
            </w:r>
          </w:p>
          <w:p w14:paraId="0A1267EB" w14:textId="6BFFCE38" w:rsidR="00BF2C15" w:rsidRDefault="00BF2C15">
            <w:pPr>
              <w:spacing w:after="0" w:line="240" w:lineRule="auto"/>
              <w:jc w:val="left"/>
              <w:rPr>
                <w:i/>
                <w:iCs/>
                <w:lang w:val="en-GB"/>
              </w:rPr>
            </w:pPr>
            <w:r>
              <w:rPr>
                <w:i/>
                <w:iCs/>
                <w:lang w:val="en-GB"/>
              </w:rPr>
              <w:t>Layer 2: 113</w:t>
            </w:r>
          </w:p>
        </w:tc>
      </w:tr>
      <w:tr w:rsidR="00BF2C15" w14:paraId="37FD0680" w14:textId="77777777" w:rsidTr="00951667">
        <w:tc>
          <w:tcPr>
            <w:tcW w:w="0" w:type="auto"/>
          </w:tcPr>
          <w:p w14:paraId="0F49C6FE" w14:textId="365E8341" w:rsidR="00BF2C15" w:rsidRDefault="00BF2C15">
            <w:pPr>
              <w:spacing w:after="0" w:line="240" w:lineRule="auto"/>
              <w:jc w:val="left"/>
              <w:rPr>
                <w:i/>
                <w:iCs/>
                <w:lang w:val="en-GB"/>
              </w:rPr>
            </w:pPr>
            <w:proofErr w:type="spellStart"/>
            <w:r>
              <w:rPr>
                <w:i/>
                <w:iCs/>
                <w:lang w:val="en-GB"/>
              </w:rPr>
              <w:t>Droprate</w:t>
            </w:r>
            <w:proofErr w:type="spellEnd"/>
            <w:r>
              <w:rPr>
                <w:i/>
                <w:iCs/>
                <w:lang w:val="en-GB"/>
              </w:rPr>
              <w:t xml:space="preserve"> per hidden layer</w:t>
            </w:r>
          </w:p>
        </w:tc>
        <w:tc>
          <w:tcPr>
            <w:tcW w:w="0" w:type="auto"/>
          </w:tcPr>
          <w:p w14:paraId="1C63B5F3" w14:textId="77777777" w:rsidR="00BF2C15" w:rsidRDefault="00BF2C15">
            <w:pPr>
              <w:spacing w:after="0" w:line="240" w:lineRule="auto"/>
              <w:jc w:val="left"/>
              <w:rPr>
                <w:i/>
                <w:iCs/>
                <w:lang w:val="en-GB"/>
              </w:rPr>
            </w:pPr>
          </w:p>
        </w:tc>
        <w:tc>
          <w:tcPr>
            <w:tcW w:w="0" w:type="auto"/>
          </w:tcPr>
          <w:p w14:paraId="4A6B7384" w14:textId="77777777" w:rsidR="00BF2C15" w:rsidRDefault="00BF2C15">
            <w:pPr>
              <w:spacing w:after="0" w:line="240" w:lineRule="auto"/>
              <w:jc w:val="left"/>
              <w:rPr>
                <w:i/>
                <w:iCs/>
                <w:lang w:val="en-GB"/>
              </w:rPr>
            </w:pPr>
            <w:r>
              <w:rPr>
                <w:i/>
                <w:iCs/>
                <w:lang w:val="en-GB"/>
              </w:rPr>
              <w:t>Layer 1: 42.8%</w:t>
            </w:r>
          </w:p>
          <w:p w14:paraId="3847DD2E" w14:textId="42CE6ED0" w:rsidR="00BF2C15" w:rsidRDefault="00BF2C15">
            <w:pPr>
              <w:spacing w:after="0" w:line="240" w:lineRule="auto"/>
              <w:jc w:val="left"/>
              <w:rPr>
                <w:i/>
                <w:iCs/>
                <w:lang w:val="en-GB"/>
              </w:rPr>
            </w:pPr>
            <w:r>
              <w:rPr>
                <w:i/>
                <w:iCs/>
                <w:lang w:val="en-GB"/>
              </w:rPr>
              <w:t>Layer 2: 14.0%</w:t>
            </w:r>
          </w:p>
        </w:tc>
      </w:tr>
      <w:tr w:rsidR="00BF2C15" w14:paraId="35979E38" w14:textId="77777777" w:rsidTr="00951667">
        <w:tc>
          <w:tcPr>
            <w:tcW w:w="0" w:type="auto"/>
          </w:tcPr>
          <w:p w14:paraId="3BA4F7FF" w14:textId="7FC7E407" w:rsidR="00BF2C15" w:rsidRDefault="00BF2C15">
            <w:pPr>
              <w:spacing w:after="0" w:line="240" w:lineRule="auto"/>
              <w:jc w:val="left"/>
              <w:rPr>
                <w:i/>
                <w:iCs/>
                <w:lang w:val="en-GB"/>
              </w:rPr>
            </w:pPr>
            <w:r>
              <w:rPr>
                <w:i/>
                <w:iCs/>
                <w:lang w:val="en-GB"/>
              </w:rPr>
              <w:t>Learning rate</w:t>
            </w:r>
          </w:p>
        </w:tc>
        <w:tc>
          <w:tcPr>
            <w:tcW w:w="0" w:type="auto"/>
          </w:tcPr>
          <w:p w14:paraId="42CABD64" w14:textId="77777777" w:rsidR="00BF2C15" w:rsidRDefault="00BF2C15">
            <w:pPr>
              <w:spacing w:after="0" w:line="240" w:lineRule="auto"/>
              <w:jc w:val="left"/>
              <w:rPr>
                <w:i/>
                <w:iCs/>
                <w:lang w:val="en-GB"/>
              </w:rPr>
            </w:pPr>
          </w:p>
        </w:tc>
        <w:tc>
          <w:tcPr>
            <w:tcW w:w="0" w:type="auto"/>
          </w:tcPr>
          <w:p w14:paraId="76D0714D" w14:textId="77777777" w:rsidR="00BF2C15" w:rsidRDefault="00BF2C15">
            <w:pPr>
              <w:spacing w:after="0" w:line="240" w:lineRule="auto"/>
              <w:jc w:val="left"/>
              <w:rPr>
                <w:i/>
                <w:iCs/>
                <w:lang w:val="en-GB"/>
              </w:rPr>
            </w:pPr>
          </w:p>
        </w:tc>
      </w:tr>
      <w:tr w:rsidR="00BF2C15" w14:paraId="324F2DB5" w14:textId="77777777" w:rsidTr="00951667">
        <w:tc>
          <w:tcPr>
            <w:tcW w:w="0" w:type="auto"/>
          </w:tcPr>
          <w:p w14:paraId="7A021140" w14:textId="2B70226A" w:rsidR="00BF2C15" w:rsidRDefault="00BF2C15">
            <w:pPr>
              <w:spacing w:after="0" w:line="240" w:lineRule="auto"/>
              <w:jc w:val="left"/>
              <w:rPr>
                <w:i/>
                <w:iCs/>
                <w:lang w:val="en-GB"/>
              </w:rPr>
            </w:pPr>
            <w:r>
              <w:rPr>
                <w:i/>
                <w:iCs/>
                <w:lang w:val="en-GB"/>
              </w:rPr>
              <w:t>Momentum</w:t>
            </w:r>
          </w:p>
        </w:tc>
        <w:tc>
          <w:tcPr>
            <w:tcW w:w="0" w:type="auto"/>
          </w:tcPr>
          <w:p w14:paraId="3C5CABF4" w14:textId="77777777" w:rsidR="00BF2C15" w:rsidRDefault="00BF2C15">
            <w:pPr>
              <w:spacing w:after="0" w:line="240" w:lineRule="auto"/>
              <w:jc w:val="left"/>
              <w:rPr>
                <w:i/>
                <w:iCs/>
                <w:lang w:val="en-GB"/>
              </w:rPr>
            </w:pPr>
          </w:p>
        </w:tc>
        <w:tc>
          <w:tcPr>
            <w:tcW w:w="0" w:type="auto"/>
          </w:tcPr>
          <w:p w14:paraId="4A3D721A" w14:textId="77777777" w:rsidR="00BF2C15" w:rsidRDefault="00BF2C15">
            <w:pPr>
              <w:spacing w:after="0" w:line="240" w:lineRule="auto"/>
              <w:jc w:val="left"/>
              <w:rPr>
                <w:i/>
                <w:iCs/>
                <w:lang w:val="en-GB"/>
              </w:rPr>
            </w:pPr>
          </w:p>
        </w:tc>
      </w:tr>
    </w:tbl>
    <w:p w14:paraId="44196C03" w14:textId="40D5FCE1" w:rsidR="00AE7AAF" w:rsidRDefault="00AE7AAF">
      <w:pPr>
        <w:spacing w:after="0" w:line="240" w:lineRule="auto"/>
        <w:jc w:val="left"/>
        <w:rPr>
          <w:i/>
          <w:iCs/>
          <w:lang w:val="en-GB"/>
        </w:rPr>
      </w:pPr>
      <w:r>
        <w:rPr>
          <w:i/>
          <w:iCs/>
          <w:lang w:val="en-GB"/>
        </w:rPr>
        <w:br w:type="page"/>
      </w:r>
    </w:p>
    <w:p w14:paraId="6155DC7C" w14:textId="38B19F73" w:rsidR="00AE7AAF" w:rsidRDefault="00AE7AAF" w:rsidP="00646938">
      <w:pPr>
        <w:pStyle w:val="Heading1"/>
        <w:spacing w:line="480" w:lineRule="auto"/>
        <w:rPr>
          <w:lang w:val="en-GB"/>
        </w:rPr>
      </w:pPr>
      <w:r>
        <w:rPr>
          <w:lang w:val="en-GB"/>
        </w:rPr>
        <w:lastRenderedPageBreak/>
        <w:t>References</w:t>
      </w:r>
    </w:p>
    <w:p w14:paraId="20B20BC3" w14:textId="77777777" w:rsidR="00521971" w:rsidRPr="00521971" w:rsidRDefault="00AE7AAF" w:rsidP="00521971">
      <w:pPr>
        <w:pStyle w:val="Bibliography"/>
      </w:pPr>
      <w:r>
        <w:rPr>
          <w:i/>
          <w:iCs/>
          <w:lang w:val="en-GB"/>
        </w:rPr>
        <w:fldChar w:fldCharType="begin"/>
      </w:r>
      <w:r w:rsidRPr="008B0A31">
        <w:rPr>
          <w:i/>
          <w:iCs/>
          <w:lang w:val="en-GB"/>
        </w:rPr>
        <w:instrText xml:space="preserve"> ADDIN ZOTERO_BIBL {"uncited":[],"omitted":[],"custom":[]} CSL_BIBLIOGRAPHY </w:instrText>
      </w:r>
      <w:r>
        <w:rPr>
          <w:i/>
          <w:iCs/>
          <w:lang w:val="en-GB"/>
        </w:rPr>
        <w:fldChar w:fldCharType="separate"/>
      </w:r>
      <w:r w:rsidR="00521971" w:rsidRPr="008B0A31">
        <w:t>1.</w:t>
      </w:r>
      <w:r w:rsidR="00521971" w:rsidRPr="008B0A31">
        <w:tab/>
        <w:t xml:space="preserve">Kiiskinen T, Helkkula P, Krebs K, Karjalainen J, Saarentaus E, Mars N, et al. </w:t>
      </w:r>
      <w:r w:rsidR="00521971" w:rsidRPr="00521971">
        <w:t xml:space="preserve">Genetic predictors of lifelong medication-use patterns in cardiometabolic diseases. Nat Med. 2023 Jan;29(1):209–18. </w:t>
      </w:r>
    </w:p>
    <w:p w14:paraId="697A0431" w14:textId="77777777" w:rsidR="00521971" w:rsidRPr="008B0A31" w:rsidRDefault="00521971" w:rsidP="00521971">
      <w:pPr>
        <w:pStyle w:val="Bibliography"/>
        <w:rPr>
          <w:lang w:val="da-DK"/>
        </w:rPr>
      </w:pPr>
      <w:r w:rsidRPr="00521971">
        <w:t>2.</w:t>
      </w:r>
      <w:r w:rsidRPr="00521971">
        <w:tab/>
        <w:t xml:space="preserve">Jiang L, Zheng Z, Fang H, Yang J. A generalized linear mixed model association tool for biobank-scale data. </w:t>
      </w:r>
      <w:r w:rsidRPr="008B0A31">
        <w:rPr>
          <w:lang w:val="da-DK"/>
        </w:rPr>
        <w:t xml:space="preserve">Nat Genet. 2021 Nov;53(11):1616–21. </w:t>
      </w:r>
    </w:p>
    <w:p w14:paraId="08FFA92A" w14:textId="77777777" w:rsidR="00521971" w:rsidRPr="00521971" w:rsidRDefault="00521971" w:rsidP="00521971">
      <w:pPr>
        <w:pStyle w:val="Bibliography"/>
      </w:pPr>
      <w:r w:rsidRPr="008B0A31">
        <w:rPr>
          <w:lang w:val="da-DK"/>
        </w:rPr>
        <w:t>3.</w:t>
      </w:r>
      <w:r w:rsidRPr="008B0A31">
        <w:rPr>
          <w:lang w:val="da-DK"/>
        </w:rPr>
        <w:tab/>
        <w:t xml:space="preserve">Nielsen JB, Thorolfsdottir RB, Fritsche LG, Zhou W, Skov MW, Graham SE, et al. </w:t>
      </w:r>
      <w:r w:rsidRPr="00521971">
        <w:t xml:space="preserve">Biobank-driven genomic discovery yields new insight into atrial fibrillation biology. Nat Genet. 2018 Sep;50(9):1234–9. </w:t>
      </w:r>
    </w:p>
    <w:p w14:paraId="5309702C" w14:textId="77777777" w:rsidR="00521971" w:rsidRPr="00521971" w:rsidRDefault="00521971" w:rsidP="00521971">
      <w:pPr>
        <w:pStyle w:val="Bibliography"/>
      </w:pPr>
      <w:r w:rsidRPr="00521971">
        <w:t>4.</w:t>
      </w:r>
      <w:r w:rsidRPr="00521971">
        <w:tab/>
        <w:t xml:space="preserve">Nikpay M, Goel A, Won HH, Hall LM, Willenborg C, Kanoni S, et al. A comprehensive 1000 Genomes–based genome-wide association meta-analysis of coronary artery disease. Nat Genet. 2015 Oct;47(10):1121–30. </w:t>
      </w:r>
    </w:p>
    <w:p w14:paraId="2C211F81" w14:textId="77777777" w:rsidR="00521971" w:rsidRPr="008B0A31" w:rsidRDefault="00521971" w:rsidP="00521971">
      <w:pPr>
        <w:pStyle w:val="Bibliography"/>
      </w:pPr>
      <w:r w:rsidRPr="00521971">
        <w:t>5.</w:t>
      </w:r>
      <w:r w:rsidRPr="00521971">
        <w:tab/>
        <w:t xml:space="preserve">van der Harst P, Verweij N. Identification of 64 Novel Genetic Loci Provides an Expanded View on the Genetic Architecture of Coronary Artery Disease. </w:t>
      </w:r>
      <w:r w:rsidRPr="008B0A31">
        <w:t xml:space="preserve">Circ Res. 2018 Feb 2;122(3):433–43. </w:t>
      </w:r>
    </w:p>
    <w:p w14:paraId="0DC25156" w14:textId="77777777" w:rsidR="00521971" w:rsidRPr="008B0A31" w:rsidRDefault="00521971" w:rsidP="00521971">
      <w:pPr>
        <w:pStyle w:val="Bibliography"/>
      </w:pPr>
      <w:r w:rsidRPr="008B0A31">
        <w:t>6.</w:t>
      </w:r>
      <w:r w:rsidRPr="008B0A31">
        <w:tab/>
        <w:t xml:space="preserve">Sakaue S, Kanai M, Tanigawa Y, Karjalainen J, Kurki M, Koshiba S, et al. </w:t>
      </w:r>
      <w:r w:rsidRPr="00521971">
        <w:t xml:space="preserve">A cross-population atlas of genetic associations for 220 human phenotypes. </w:t>
      </w:r>
      <w:r w:rsidRPr="008B0A31">
        <w:t xml:space="preserve">Nat Genet. 2021 Oct;53(10):1415–24. </w:t>
      </w:r>
    </w:p>
    <w:p w14:paraId="72B70FEE" w14:textId="77777777" w:rsidR="00521971" w:rsidRPr="008B0A31" w:rsidRDefault="00521971" w:rsidP="00521971">
      <w:pPr>
        <w:pStyle w:val="Bibliography"/>
      </w:pPr>
      <w:r w:rsidRPr="008B0A31">
        <w:t>7.</w:t>
      </w:r>
      <w:r w:rsidRPr="008B0A31">
        <w:tab/>
        <w:t xml:space="preserve">Hoffmann TJ, Ehret GB, Nandakumar P, Ranatunga D, Schaefer C, Kwok PY, et al. </w:t>
      </w:r>
      <w:r w:rsidRPr="00521971">
        <w:t xml:space="preserve">Genome-wide association analyses using electronic health records identify new loci influencing blood pressure variation. </w:t>
      </w:r>
      <w:r w:rsidRPr="008B0A31">
        <w:t xml:space="preserve">Nat Genet. 2017 Jan;49(1):54–64. </w:t>
      </w:r>
    </w:p>
    <w:p w14:paraId="73EB066F" w14:textId="77777777" w:rsidR="00521971" w:rsidRPr="008B0A31" w:rsidRDefault="00521971" w:rsidP="00521971">
      <w:pPr>
        <w:pStyle w:val="Bibliography"/>
      </w:pPr>
      <w:r w:rsidRPr="008B0A31">
        <w:t>8.</w:t>
      </w:r>
      <w:r w:rsidRPr="008B0A31">
        <w:tab/>
        <w:t xml:space="preserve">Malik R, Chauhan G, Traylor M, Sargurupremraj M, Okada Y, Mishra A, et al. </w:t>
      </w:r>
      <w:r w:rsidRPr="00521971">
        <w:t xml:space="preserve">Multiancestry genome-wide association study of 520,000 subjects identifies 32 loci associated with stroke and stroke subtypes. </w:t>
      </w:r>
      <w:r w:rsidRPr="008B0A31">
        <w:t xml:space="preserve">Nat Genet. 2018 Apr;50(4):524–37. </w:t>
      </w:r>
    </w:p>
    <w:p w14:paraId="1A62BC99" w14:textId="77777777" w:rsidR="00521971" w:rsidRPr="008B0A31" w:rsidRDefault="00521971" w:rsidP="00521971">
      <w:pPr>
        <w:pStyle w:val="Bibliography"/>
      </w:pPr>
      <w:r w:rsidRPr="008B0A31">
        <w:t>9.</w:t>
      </w:r>
      <w:r w:rsidRPr="008B0A31">
        <w:tab/>
        <w:t xml:space="preserve">Surakka I, Horikoshi M, Mägi R, Sarin AP, Mahajan A, Lagou V, et al. </w:t>
      </w:r>
      <w:r w:rsidRPr="00521971">
        <w:t xml:space="preserve">The impact of low-frequency and rare variants on lipid levels. </w:t>
      </w:r>
      <w:r w:rsidRPr="008B0A31">
        <w:t xml:space="preserve">Nat Genet. 2015 Jun;47(6):589–97. </w:t>
      </w:r>
    </w:p>
    <w:p w14:paraId="58E9FF30" w14:textId="77777777" w:rsidR="00521971" w:rsidRPr="00521971" w:rsidRDefault="00521971" w:rsidP="00521971">
      <w:pPr>
        <w:pStyle w:val="Bibliography"/>
      </w:pPr>
      <w:r w:rsidRPr="008B0A31">
        <w:t>10.</w:t>
      </w:r>
      <w:r w:rsidRPr="008B0A31">
        <w:tab/>
        <w:t xml:space="preserve">Anstee QM, Darlay R, Cockell S, Meroni M, Govaere O, Tiniakos D, et al. </w:t>
      </w:r>
      <w:r w:rsidRPr="00521971">
        <w:t>Genome-wide association study of non-alcoholic fatty liver and steatohepatitis in a histologically characterised cohort</w:t>
      </w:r>
      <w:r w:rsidRPr="00521971">
        <w:rPr>
          <w:rFonts w:ascii="Segoe UI Symbol" w:hAnsi="Segoe UI Symbol" w:cs="Segoe UI Symbol"/>
        </w:rPr>
        <w:t>☆</w:t>
      </w:r>
      <w:r w:rsidRPr="00521971">
        <w:t xml:space="preserve">. J Hepatol. 2020 Sep 1;73(3):505–15. </w:t>
      </w:r>
    </w:p>
    <w:p w14:paraId="23EFCAD4" w14:textId="77777777" w:rsidR="00521971" w:rsidRPr="008B0A31" w:rsidRDefault="00521971" w:rsidP="00521971">
      <w:pPr>
        <w:pStyle w:val="Bibliography"/>
      </w:pPr>
      <w:r w:rsidRPr="00521971">
        <w:t>11.</w:t>
      </w:r>
      <w:r w:rsidRPr="00521971">
        <w:tab/>
        <w:t xml:space="preserve">Acosta-Herrera M, Kerick M, González-Serna D, Consortium MG, Consortium SG, Wijmenga C, et al. Genome-wide meta-analysis reveals shared new loci in systemic seropositive rheumatic diseases. </w:t>
      </w:r>
      <w:r w:rsidRPr="008B0A31">
        <w:t xml:space="preserve">Ann Rheum Dis. 2019 Mar 1;78(3):311–9. </w:t>
      </w:r>
    </w:p>
    <w:p w14:paraId="4144DA31" w14:textId="77777777" w:rsidR="00521971" w:rsidRPr="008B0A31" w:rsidRDefault="00521971" w:rsidP="00521971">
      <w:pPr>
        <w:pStyle w:val="Bibliography"/>
      </w:pPr>
      <w:r w:rsidRPr="008B0A31">
        <w:lastRenderedPageBreak/>
        <w:t>12.</w:t>
      </w:r>
      <w:r w:rsidRPr="008B0A31">
        <w:tab/>
        <w:t xml:space="preserve">Wuttke M, Li Y, Li M, Sieber KB, Feitosa MF, Gorski M, et al. </w:t>
      </w:r>
      <w:r w:rsidRPr="00521971">
        <w:t xml:space="preserve">A catalog of genetic loci associated with kidney function from analyses of a million individuals. </w:t>
      </w:r>
      <w:r w:rsidRPr="008B0A31">
        <w:t xml:space="preserve">Nat Genet. 2019 Jun;51(6):957–72. </w:t>
      </w:r>
    </w:p>
    <w:p w14:paraId="097365F7" w14:textId="77777777" w:rsidR="00521971" w:rsidRPr="00521971" w:rsidRDefault="00521971" w:rsidP="00521971">
      <w:pPr>
        <w:pStyle w:val="Bibliography"/>
      </w:pPr>
      <w:r w:rsidRPr="008B0A31">
        <w:t>13.</w:t>
      </w:r>
      <w:r w:rsidRPr="008B0A31">
        <w:tab/>
        <w:t xml:space="preserve">Yengo L, Sidorenko J, Kemper KE, Zheng Z, Wood AR, Weedon MN, et al. </w:t>
      </w:r>
      <w:r w:rsidRPr="00521971">
        <w:t xml:space="preserve">Meta-analysis of genome-wide association studies for height and body mass index in ∼700000 individuals of European ancestry. Hum Mol Genet. 2018 Oct 15;27(20):3641–9. </w:t>
      </w:r>
    </w:p>
    <w:p w14:paraId="2B1B783E" w14:textId="77777777" w:rsidR="00521971" w:rsidRPr="008B0A31" w:rsidRDefault="00521971" w:rsidP="00521971">
      <w:pPr>
        <w:pStyle w:val="Bibliography"/>
      </w:pPr>
      <w:r w:rsidRPr="00521971">
        <w:t>14.</w:t>
      </w:r>
      <w:r w:rsidRPr="00521971">
        <w:tab/>
        <w:t xml:space="preserve">Mahajan A, Taliun D, Thurner M, Robertson NR, Torres JM, Rayner NW, et al. Fine-mapping type 2 diabetes loci to single-variant resolution using high-density imputation and islet-specific epigenome maps. </w:t>
      </w:r>
      <w:r w:rsidRPr="008B0A31">
        <w:t xml:space="preserve">Nat Genet. 2018 Nov;50(11):1505–13. </w:t>
      </w:r>
    </w:p>
    <w:p w14:paraId="57E0AF40" w14:textId="77777777" w:rsidR="00521971" w:rsidRPr="00521971" w:rsidRDefault="00521971" w:rsidP="00521971">
      <w:pPr>
        <w:pStyle w:val="Bibliography"/>
      </w:pPr>
      <w:r w:rsidRPr="008B0A31">
        <w:t>15.</w:t>
      </w:r>
      <w:r w:rsidRPr="008B0A31">
        <w:tab/>
        <w:t xml:space="preserve">Atkins JL, Jylhävä J, Pedersen NL, Magnusson PK, Lu Y, Wang Y, et al. </w:t>
      </w:r>
      <w:r w:rsidRPr="00521971">
        <w:t xml:space="preserve">A genome-wide association study of the frailty index highlights brain pathways in ageing. Aging Cell. 2021;20(9):e13459. </w:t>
      </w:r>
    </w:p>
    <w:p w14:paraId="61B00416" w14:textId="77777777" w:rsidR="00521971" w:rsidRPr="00521971" w:rsidRDefault="00521971" w:rsidP="00521971">
      <w:pPr>
        <w:pStyle w:val="Bibliography"/>
      </w:pPr>
      <w:r w:rsidRPr="00521971">
        <w:t>16.</w:t>
      </w:r>
      <w:r w:rsidRPr="00521971">
        <w:tab/>
        <w:t>Akiba T, Sano S, Yanase T, Ohta T, Koyama M. Optuna: A Next-generation Hyperparameter Optimization Framework [Internet]. arXiv; 2019 Jul. Report No.: 1907.10902. Available from: https://arxiv.org/abs/1907.10902</w:t>
      </w:r>
    </w:p>
    <w:p w14:paraId="3899B807" w14:textId="77777777" w:rsidR="00521971" w:rsidRPr="00521971" w:rsidRDefault="00521971" w:rsidP="00521971">
      <w:pPr>
        <w:pStyle w:val="Bibliography"/>
      </w:pPr>
      <w:r w:rsidRPr="00521971">
        <w:t>17.</w:t>
      </w:r>
      <w:r w:rsidRPr="00521971">
        <w:tab/>
        <w:t>Bergstra J, Bardenet R, Bengio Y, Kégl B. Algorithms for Hyper-Parameter Optimization. In: Advances in Neural Information Processing Systems [Internet]. Curran Associates, Inc.; 2011 [cited 2023 Jun 14]. Available from: https://proceedings.neurips.cc/paper_files/paper/2011/hash/86e8f7ab32cfd12577bc2619bc635690-Abstract.html</w:t>
      </w:r>
    </w:p>
    <w:p w14:paraId="67FA9AAC" w14:textId="690CE679" w:rsidR="00AE7AAF" w:rsidRPr="00A11C98" w:rsidRDefault="00AE7AAF" w:rsidP="00646938">
      <w:pPr>
        <w:pStyle w:val="Bibliography"/>
        <w:spacing w:line="360" w:lineRule="auto"/>
        <w:rPr>
          <w:i/>
          <w:iCs/>
          <w:lang w:val="en-GB"/>
        </w:rPr>
      </w:pPr>
      <w:r>
        <w:rPr>
          <w:i/>
          <w:iCs/>
          <w:lang w:val="en-GB"/>
        </w:rPr>
        <w:fldChar w:fldCharType="end"/>
      </w:r>
    </w:p>
    <w:sectPr w:rsidR="00AE7AAF" w:rsidRPr="00A11C98" w:rsidSect="005957DC">
      <w:footerReference w:type="default" r:id="rId18"/>
      <w:pgSz w:w="12240" w:h="15840"/>
      <w:pgMar w:top="1440" w:right="1440" w:bottom="1440" w:left="1440" w:header="708" w:footer="708" w:gutter="0"/>
      <w:lnNumType w:countBy="1"/>
      <w:cols w:space="708"/>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3" w:author="Søren Brunak" w:date="2024-05-15T11:56:00Z" w:initials="SB">
    <w:p w14:paraId="07F45168" w14:textId="77777777" w:rsidR="00B81C8C" w:rsidRDefault="00B81C8C" w:rsidP="00B81C8C">
      <w:pPr>
        <w:pStyle w:val="CommentText"/>
        <w:jc w:val="left"/>
      </w:pPr>
      <w:r>
        <w:rPr>
          <w:rStyle w:val="CommentReference"/>
        </w:rPr>
        <w:annotationRef/>
      </w:r>
      <w:r>
        <w:rPr>
          <w:lang w:val="da-DK"/>
        </w:rPr>
        <w:t>Fully?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7F4516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3F59A720" w16cex:dateUtc="2024-05-15T09: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7F45168" w16cid:durableId="3F59A7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E7D848" w14:textId="77777777" w:rsidR="005D1731" w:rsidRDefault="005D1731">
      <w:pPr>
        <w:spacing w:after="0" w:line="240" w:lineRule="auto"/>
      </w:pPr>
      <w:r>
        <w:separator/>
      </w:r>
    </w:p>
  </w:endnote>
  <w:endnote w:type="continuationSeparator" w:id="0">
    <w:p w14:paraId="1666B34E" w14:textId="77777777" w:rsidR="005D1731" w:rsidRDefault="005D1731">
      <w:pPr>
        <w:spacing w:after="0" w:line="240" w:lineRule="auto"/>
      </w:pPr>
      <w:r>
        <w:continuationSeparator/>
      </w:r>
    </w:p>
  </w:endnote>
  <w:endnote w:type="continuationNotice" w:id="1">
    <w:p w14:paraId="0BC4EE39" w14:textId="77777777" w:rsidR="005D1731" w:rsidRDefault="005D173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D88A0C" w14:textId="0B006D42" w:rsidR="005957DC" w:rsidRDefault="008B0A31">
    <w:pPr>
      <w:pStyle w:val="Footer"/>
      <w:jc w:val="center"/>
    </w:pPr>
    <w:sdt>
      <w:sdtPr>
        <w:id w:val="1607078179"/>
        <w:docPartObj>
          <w:docPartGallery w:val="Page Numbers (Bottom of Page)"/>
          <w:docPartUnique/>
        </w:docPartObj>
      </w:sdtPr>
      <w:sdtEndPr/>
      <w:sdtContent>
        <w:r w:rsidR="005957DC">
          <w:fldChar w:fldCharType="begin"/>
        </w:r>
        <w:r w:rsidR="005957DC">
          <w:instrText>PAGE   \* MERGEFORMAT</w:instrText>
        </w:r>
        <w:r w:rsidR="005957DC">
          <w:fldChar w:fldCharType="separate"/>
        </w:r>
        <w:r w:rsidR="005957DC">
          <w:rPr>
            <w:lang w:val="da-DK"/>
          </w:rPr>
          <w:t>2</w:t>
        </w:r>
        <w:r w:rsidR="005957DC">
          <w:fldChar w:fldCharType="end"/>
        </w:r>
      </w:sdtContent>
    </w:sdt>
  </w:p>
  <w:p w14:paraId="5C5E9885" w14:textId="77777777" w:rsidR="001658CF" w:rsidRDefault="001658CF" w:rsidP="001C1E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34CB46" w14:textId="77777777" w:rsidR="005D1731" w:rsidRDefault="005D1731">
      <w:r>
        <w:separator/>
      </w:r>
    </w:p>
  </w:footnote>
  <w:footnote w:type="continuationSeparator" w:id="0">
    <w:p w14:paraId="2CED176D" w14:textId="77777777" w:rsidR="005D1731" w:rsidRDefault="005D1731">
      <w:r>
        <w:continuationSeparator/>
      </w:r>
    </w:p>
  </w:footnote>
  <w:footnote w:type="continuationNotice" w:id="1">
    <w:p w14:paraId="42696125" w14:textId="77777777" w:rsidR="005D1731" w:rsidRDefault="005D173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869C93E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A990"/>
    <w:multiLevelType w:val="multilevel"/>
    <w:tmpl w:val="DA28B188"/>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2" w15:restartNumberingAfterBreak="0">
    <w:nsid w:val="0000A991"/>
    <w:multiLevelType w:val="multilevel"/>
    <w:tmpl w:val="1D222348"/>
    <w:lvl w:ilvl="0">
      <w:numFmt w:val="bullet"/>
      <w:pStyle w:val="List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3" w15:restartNumberingAfterBreak="0">
    <w:nsid w:val="0BF97391"/>
    <w:multiLevelType w:val="hybridMultilevel"/>
    <w:tmpl w:val="1DA4893E"/>
    <w:lvl w:ilvl="0" w:tplc="1602AA2E">
      <w:numFmt w:val="bullet"/>
      <w:lvlText w:val="-"/>
      <w:lvlJc w:val="left"/>
      <w:pPr>
        <w:ind w:left="720" w:hanging="360"/>
      </w:pPr>
      <w:rPr>
        <w:rFonts w:ascii="Cambria" w:eastAsia="Times New Roman" w:hAnsi="Cambria"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70CD2DE"/>
    <w:multiLevelType w:val="multilevel"/>
    <w:tmpl w:val="F66E9E5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5" w15:restartNumberingAfterBreak="0">
    <w:nsid w:val="4AA43FEB"/>
    <w:multiLevelType w:val="hybridMultilevel"/>
    <w:tmpl w:val="058E752A"/>
    <w:lvl w:ilvl="0" w:tplc="04060019">
      <w:start w:val="1"/>
      <w:numFmt w:val="lowerLetter"/>
      <w:lvlText w:val="%1."/>
      <w:lvlJc w:val="left"/>
      <w:pPr>
        <w:ind w:left="720" w:hanging="360"/>
      </w:pPr>
      <w:rPr>
        <w:rFonts w:cs="Times New Roman" w:hint="default"/>
      </w:rPr>
    </w:lvl>
    <w:lvl w:ilvl="1" w:tplc="04060019" w:tentative="1">
      <w:start w:val="1"/>
      <w:numFmt w:val="lowerLetter"/>
      <w:lvlText w:val="%2."/>
      <w:lvlJc w:val="left"/>
      <w:pPr>
        <w:ind w:left="1440" w:hanging="360"/>
      </w:pPr>
      <w:rPr>
        <w:rFonts w:cs="Times New Roman"/>
      </w:rPr>
    </w:lvl>
    <w:lvl w:ilvl="2" w:tplc="0406001B" w:tentative="1">
      <w:start w:val="1"/>
      <w:numFmt w:val="lowerRoman"/>
      <w:lvlText w:val="%3."/>
      <w:lvlJc w:val="right"/>
      <w:pPr>
        <w:ind w:left="2160" w:hanging="180"/>
      </w:pPr>
      <w:rPr>
        <w:rFonts w:cs="Times New Roman"/>
      </w:rPr>
    </w:lvl>
    <w:lvl w:ilvl="3" w:tplc="0406000F" w:tentative="1">
      <w:start w:val="1"/>
      <w:numFmt w:val="decimal"/>
      <w:lvlText w:val="%4."/>
      <w:lvlJc w:val="left"/>
      <w:pPr>
        <w:ind w:left="2880" w:hanging="360"/>
      </w:pPr>
      <w:rPr>
        <w:rFonts w:cs="Times New Roman"/>
      </w:rPr>
    </w:lvl>
    <w:lvl w:ilvl="4" w:tplc="04060019" w:tentative="1">
      <w:start w:val="1"/>
      <w:numFmt w:val="lowerLetter"/>
      <w:lvlText w:val="%5."/>
      <w:lvlJc w:val="left"/>
      <w:pPr>
        <w:ind w:left="3600" w:hanging="360"/>
      </w:pPr>
      <w:rPr>
        <w:rFonts w:cs="Times New Roman"/>
      </w:rPr>
    </w:lvl>
    <w:lvl w:ilvl="5" w:tplc="0406001B" w:tentative="1">
      <w:start w:val="1"/>
      <w:numFmt w:val="lowerRoman"/>
      <w:lvlText w:val="%6."/>
      <w:lvlJc w:val="right"/>
      <w:pPr>
        <w:ind w:left="4320" w:hanging="180"/>
      </w:pPr>
      <w:rPr>
        <w:rFonts w:cs="Times New Roman"/>
      </w:rPr>
    </w:lvl>
    <w:lvl w:ilvl="6" w:tplc="0406000F" w:tentative="1">
      <w:start w:val="1"/>
      <w:numFmt w:val="decimal"/>
      <w:lvlText w:val="%7."/>
      <w:lvlJc w:val="left"/>
      <w:pPr>
        <w:ind w:left="5040" w:hanging="360"/>
      </w:pPr>
      <w:rPr>
        <w:rFonts w:cs="Times New Roman"/>
      </w:rPr>
    </w:lvl>
    <w:lvl w:ilvl="7" w:tplc="04060019" w:tentative="1">
      <w:start w:val="1"/>
      <w:numFmt w:val="lowerLetter"/>
      <w:lvlText w:val="%8."/>
      <w:lvlJc w:val="left"/>
      <w:pPr>
        <w:ind w:left="5760" w:hanging="360"/>
      </w:pPr>
      <w:rPr>
        <w:rFonts w:cs="Times New Roman"/>
      </w:rPr>
    </w:lvl>
    <w:lvl w:ilvl="8" w:tplc="0406001B" w:tentative="1">
      <w:start w:val="1"/>
      <w:numFmt w:val="lowerRoman"/>
      <w:lvlText w:val="%9."/>
      <w:lvlJc w:val="right"/>
      <w:pPr>
        <w:ind w:left="6480" w:hanging="180"/>
      </w:pPr>
      <w:rPr>
        <w:rFonts w:cs="Times New Roman"/>
      </w:rPr>
    </w:lvl>
  </w:abstractNum>
  <w:abstractNum w:abstractNumId="6" w15:restartNumberingAfterBreak="0">
    <w:nsid w:val="72EE5535"/>
    <w:multiLevelType w:val="hybridMultilevel"/>
    <w:tmpl w:val="CE3A0562"/>
    <w:lvl w:ilvl="0" w:tplc="C9BE3C96">
      <w:start w:val="87"/>
      <w:numFmt w:val="bullet"/>
      <w:lvlText w:val="-"/>
      <w:lvlJc w:val="left"/>
      <w:pPr>
        <w:ind w:left="720" w:hanging="360"/>
      </w:pPr>
      <w:rPr>
        <w:rFonts w:ascii="Cambria" w:eastAsia="Times New Roman" w:hAnsi="Cambria" w:hint="default"/>
      </w:r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840512733">
    <w:abstractNumId w:val="0"/>
  </w:num>
  <w:num w:numId="2" w16cid:durableId="831219502">
    <w:abstractNumId w:val="0"/>
  </w:num>
  <w:num w:numId="3" w16cid:durableId="2139913876">
    <w:abstractNumId w:val="4"/>
  </w:num>
  <w:num w:numId="4" w16cid:durableId="620501596">
    <w:abstractNumId w:val="1"/>
  </w:num>
  <w:num w:numId="5" w16cid:durableId="1602494833">
    <w:abstractNumId w:val="2"/>
  </w:num>
  <w:num w:numId="6" w16cid:durableId="577786392">
    <w:abstractNumId w:val="2"/>
  </w:num>
  <w:num w:numId="7" w16cid:durableId="979576350">
    <w:abstractNumId w:val="2"/>
  </w:num>
  <w:num w:numId="8" w16cid:durableId="89083827">
    <w:abstractNumId w:val="2"/>
  </w:num>
  <w:num w:numId="9" w16cid:durableId="476923239">
    <w:abstractNumId w:val="2"/>
  </w:num>
  <w:num w:numId="10" w16cid:durableId="1553033201">
    <w:abstractNumId w:val="2"/>
  </w:num>
  <w:num w:numId="11" w16cid:durableId="1355108391">
    <w:abstractNumId w:val="0"/>
  </w:num>
  <w:num w:numId="12" w16cid:durableId="1012413452">
    <w:abstractNumId w:val="3"/>
  </w:num>
  <w:num w:numId="13" w16cid:durableId="1233465899">
    <w:abstractNumId w:val="5"/>
  </w:num>
  <w:num w:numId="14" w16cid:durableId="1115052419">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Søren Brunak">
    <w15:presenceInfo w15:providerId="AD" w15:userId="S::fvr604@ku.dk::74a39a01-95b7-402c-9244-92760e6b6c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trackRevisions/>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5DA7"/>
    <w:rsid w:val="000006FA"/>
    <w:rsid w:val="00003329"/>
    <w:rsid w:val="000079C1"/>
    <w:rsid w:val="000100E3"/>
    <w:rsid w:val="00013350"/>
    <w:rsid w:val="00013A38"/>
    <w:rsid w:val="00015282"/>
    <w:rsid w:val="00024590"/>
    <w:rsid w:val="0002766F"/>
    <w:rsid w:val="00031243"/>
    <w:rsid w:val="00033077"/>
    <w:rsid w:val="00033B54"/>
    <w:rsid w:val="00033DBB"/>
    <w:rsid w:val="000347BD"/>
    <w:rsid w:val="00037BEC"/>
    <w:rsid w:val="00041D80"/>
    <w:rsid w:val="00043543"/>
    <w:rsid w:val="0004473F"/>
    <w:rsid w:val="000455D7"/>
    <w:rsid w:val="00047598"/>
    <w:rsid w:val="0005038E"/>
    <w:rsid w:val="00052067"/>
    <w:rsid w:val="00054415"/>
    <w:rsid w:val="00054DEC"/>
    <w:rsid w:val="0005572E"/>
    <w:rsid w:val="000568D7"/>
    <w:rsid w:val="00056CD2"/>
    <w:rsid w:val="000571FC"/>
    <w:rsid w:val="00060758"/>
    <w:rsid w:val="00064752"/>
    <w:rsid w:val="000657A3"/>
    <w:rsid w:val="0006596C"/>
    <w:rsid w:val="000662DD"/>
    <w:rsid w:val="000700F9"/>
    <w:rsid w:val="00071395"/>
    <w:rsid w:val="00071596"/>
    <w:rsid w:val="00076795"/>
    <w:rsid w:val="0008155D"/>
    <w:rsid w:val="00081C39"/>
    <w:rsid w:val="0008248D"/>
    <w:rsid w:val="000837EF"/>
    <w:rsid w:val="00084067"/>
    <w:rsid w:val="00084FFD"/>
    <w:rsid w:val="00087313"/>
    <w:rsid w:val="00090E93"/>
    <w:rsid w:val="00091170"/>
    <w:rsid w:val="00091A45"/>
    <w:rsid w:val="00091AE2"/>
    <w:rsid w:val="000937D8"/>
    <w:rsid w:val="00093AE4"/>
    <w:rsid w:val="0009492F"/>
    <w:rsid w:val="00095425"/>
    <w:rsid w:val="000A1920"/>
    <w:rsid w:val="000A33DA"/>
    <w:rsid w:val="000A5072"/>
    <w:rsid w:val="000B0EC7"/>
    <w:rsid w:val="000B158D"/>
    <w:rsid w:val="000B1905"/>
    <w:rsid w:val="000B4312"/>
    <w:rsid w:val="000B4564"/>
    <w:rsid w:val="000B4877"/>
    <w:rsid w:val="000B5229"/>
    <w:rsid w:val="000B5890"/>
    <w:rsid w:val="000B61A7"/>
    <w:rsid w:val="000B75CE"/>
    <w:rsid w:val="000C5740"/>
    <w:rsid w:val="000D10D8"/>
    <w:rsid w:val="000D6235"/>
    <w:rsid w:val="000E118C"/>
    <w:rsid w:val="000E3321"/>
    <w:rsid w:val="000E472F"/>
    <w:rsid w:val="000E4886"/>
    <w:rsid w:val="000E520A"/>
    <w:rsid w:val="000E69BC"/>
    <w:rsid w:val="000F4B91"/>
    <w:rsid w:val="000F7834"/>
    <w:rsid w:val="00100ADD"/>
    <w:rsid w:val="00101D28"/>
    <w:rsid w:val="00102711"/>
    <w:rsid w:val="00104507"/>
    <w:rsid w:val="00104557"/>
    <w:rsid w:val="00105602"/>
    <w:rsid w:val="001079D1"/>
    <w:rsid w:val="00110CCE"/>
    <w:rsid w:val="001128AE"/>
    <w:rsid w:val="001135B6"/>
    <w:rsid w:val="0012188F"/>
    <w:rsid w:val="00121D18"/>
    <w:rsid w:val="001236CE"/>
    <w:rsid w:val="001304AB"/>
    <w:rsid w:val="00130961"/>
    <w:rsid w:val="00131AB1"/>
    <w:rsid w:val="001338B0"/>
    <w:rsid w:val="00133EAB"/>
    <w:rsid w:val="00135526"/>
    <w:rsid w:val="00135689"/>
    <w:rsid w:val="00141E9B"/>
    <w:rsid w:val="00142B23"/>
    <w:rsid w:val="00144647"/>
    <w:rsid w:val="00145C73"/>
    <w:rsid w:val="00146568"/>
    <w:rsid w:val="001515D2"/>
    <w:rsid w:val="00154565"/>
    <w:rsid w:val="00154B84"/>
    <w:rsid w:val="00156E0C"/>
    <w:rsid w:val="001600C4"/>
    <w:rsid w:val="00162459"/>
    <w:rsid w:val="001636D6"/>
    <w:rsid w:val="001658CF"/>
    <w:rsid w:val="00170D64"/>
    <w:rsid w:val="00175197"/>
    <w:rsid w:val="001777F5"/>
    <w:rsid w:val="0018062D"/>
    <w:rsid w:val="00182412"/>
    <w:rsid w:val="00183C65"/>
    <w:rsid w:val="00184A3F"/>
    <w:rsid w:val="00185CB0"/>
    <w:rsid w:val="0019259B"/>
    <w:rsid w:val="001949AE"/>
    <w:rsid w:val="00196C14"/>
    <w:rsid w:val="00197C03"/>
    <w:rsid w:val="001A0776"/>
    <w:rsid w:val="001A149C"/>
    <w:rsid w:val="001A2BD2"/>
    <w:rsid w:val="001A577C"/>
    <w:rsid w:val="001B2B97"/>
    <w:rsid w:val="001B56A5"/>
    <w:rsid w:val="001B660F"/>
    <w:rsid w:val="001C00A6"/>
    <w:rsid w:val="001C1E88"/>
    <w:rsid w:val="001C1F67"/>
    <w:rsid w:val="001C43D2"/>
    <w:rsid w:val="001D02F6"/>
    <w:rsid w:val="001D0334"/>
    <w:rsid w:val="001D35DC"/>
    <w:rsid w:val="001D4CE5"/>
    <w:rsid w:val="001D50AD"/>
    <w:rsid w:val="001D533E"/>
    <w:rsid w:val="001D571D"/>
    <w:rsid w:val="001D586C"/>
    <w:rsid w:val="001E0DED"/>
    <w:rsid w:val="001E0E62"/>
    <w:rsid w:val="001E2A34"/>
    <w:rsid w:val="001E2B19"/>
    <w:rsid w:val="001F0589"/>
    <w:rsid w:val="001F078F"/>
    <w:rsid w:val="001F2E8D"/>
    <w:rsid w:val="002016C2"/>
    <w:rsid w:val="002066C7"/>
    <w:rsid w:val="002167E6"/>
    <w:rsid w:val="00216BF0"/>
    <w:rsid w:val="0022275D"/>
    <w:rsid w:val="00223333"/>
    <w:rsid w:val="00224E12"/>
    <w:rsid w:val="00232A89"/>
    <w:rsid w:val="0023515D"/>
    <w:rsid w:val="00236A87"/>
    <w:rsid w:val="00237291"/>
    <w:rsid w:val="0024010F"/>
    <w:rsid w:val="00240CAC"/>
    <w:rsid w:val="002448FB"/>
    <w:rsid w:val="00247BF9"/>
    <w:rsid w:val="00253C86"/>
    <w:rsid w:val="002546E3"/>
    <w:rsid w:val="00254EC1"/>
    <w:rsid w:val="002558BB"/>
    <w:rsid w:val="00257B38"/>
    <w:rsid w:val="002619FC"/>
    <w:rsid w:val="00262B70"/>
    <w:rsid w:val="002665D3"/>
    <w:rsid w:val="002738EF"/>
    <w:rsid w:val="00273E38"/>
    <w:rsid w:val="00276EEF"/>
    <w:rsid w:val="0028501D"/>
    <w:rsid w:val="00294819"/>
    <w:rsid w:val="00294862"/>
    <w:rsid w:val="0029560E"/>
    <w:rsid w:val="002965C2"/>
    <w:rsid w:val="00296621"/>
    <w:rsid w:val="0029669C"/>
    <w:rsid w:val="002A373A"/>
    <w:rsid w:val="002A6685"/>
    <w:rsid w:val="002A66A4"/>
    <w:rsid w:val="002B58D9"/>
    <w:rsid w:val="002B6A0E"/>
    <w:rsid w:val="002B78C9"/>
    <w:rsid w:val="002B7993"/>
    <w:rsid w:val="002B7F13"/>
    <w:rsid w:val="002C2E2B"/>
    <w:rsid w:val="002C3F14"/>
    <w:rsid w:val="002C41E0"/>
    <w:rsid w:val="002D072E"/>
    <w:rsid w:val="002D14C2"/>
    <w:rsid w:val="002D17A2"/>
    <w:rsid w:val="002D1892"/>
    <w:rsid w:val="002E295A"/>
    <w:rsid w:val="002E3D3D"/>
    <w:rsid w:val="002E5D29"/>
    <w:rsid w:val="002F07DB"/>
    <w:rsid w:val="002F0A79"/>
    <w:rsid w:val="002F0BB3"/>
    <w:rsid w:val="002F4439"/>
    <w:rsid w:val="002F52E2"/>
    <w:rsid w:val="002F6358"/>
    <w:rsid w:val="002F6C35"/>
    <w:rsid w:val="002F6C5E"/>
    <w:rsid w:val="002F746C"/>
    <w:rsid w:val="0030037F"/>
    <w:rsid w:val="00301058"/>
    <w:rsid w:val="00301304"/>
    <w:rsid w:val="003024AE"/>
    <w:rsid w:val="00302E6E"/>
    <w:rsid w:val="00304BB0"/>
    <w:rsid w:val="0030684D"/>
    <w:rsid w:val="00310D1D"/>
    <w:rsid w:val="00310F82"/>
    <w:rsid w:val="0031160E"/>
    <w:rsid w:val="00313344"/>
    <w:rsid w:val="00314DFD"/>
    <w:rsid w:val="003177F9"/>
    <w:rsid w:val="003211C6"/>
    <w:rsid w:val="003263D5"/>
    <w:rsid w:val="00327921"/>
    <w:rsid w:val="00327D09"/>
    <w:rsid w:val="003306B8"/>
    <w:rsid w:val="00330ECE"/>
    <w:rsid w:val="003331CA"/>
    <w:rsid w:val="00335605"/>
    <w:rsid w:val="00335BAB"/>
    <w:rsid w:val="00336040"/>
    <w:rsid w:val="00336E20"/>
    <w:rsid w:val="00337AEB"/>
    <w:rsid w:val="003427B6"/>
    <w:rsid w:val="00346687"/>
    <w:rsid w:val="00347FB6"/>
    <w:rsid w:val="00350BE3"/>
    <w:rsid w:val="00357B98"/>
    <w:rsid w:val="00360AFF"/>
    <w:rsid w:val="00365684"/>
    <w:rsid w:val="0036679E"/>
    <w:rsid w:val="00374EB9"/>
    <w:rsid w:val="00375911"/>
    <w:rsid w:val="00375A1F"/>
    <w:rsid w:val="00377B86"/>
    <w:rsid w:val="003850C2"/>
    <w:rsid w:val="00386FEC"/>
    <w:rsid w:val="00390DA7"/>
    <w:rsid w:val="00392C8D"/>
    <w:rsid w:val="00394078"/>
    <w:rsid w:val="00394CB7"/>
    <w:rsid w:val="0039790D"/>
    <w:rsid w:val="003A163A"/>
    <w:rsid w:val="003A464F"/>
    <w:rsid w:val="003B3C28"/>
    <w:rsid w:val="003B5074"/>
    <w:rsid w:val="003B77BC"/>
    <w:rsid w:val="003C01A1"/>
    <w:rsid w:val="003C0770"/>
    <w:rsid w:val="003C12E6"/>
    <w:rsid w:val="003C48F8"/>
    <w:rsid w:val="003C4C0E"/>
    <w:rsid w:val="003C5149"/>
    <w:rsid w:val="003C644C"/>
    <w:rsid w:val="003D357E"/>
    <w:rsid w:val="003D464D"/>
    <w:rsid w:val="003D5128"/>
    <w:rsid w:val="003D5B79"/>
    <w:rsid w:val="003D5E67"/>
    <w:rsid w:val="003D703D"/>
    <w:rsid w:val="003D7168"/>
    <w:rsid w:val="003E013A"/>
    <w:rsid w:val="003E1167"/>
    <w:rsid w:val="003E2D32"/>
    <w:rsid w:val="003E729C"/>
    <w:rsid w:val="003E74C1"/>
    <w:rsid w:val="003E7F9A"/>
    <w:rsid w:val="003F19A8"/>
    <w:rsid w:val="003F3A5D"/>
    <w:rsid w:val="003F4946"/>
    <w:rsid w:val="003F4C66"/>
    <w:rsid w:val="003F5556"/>
    <w:rsid w:val="003F5EE2"/>
    <w:rsid w:val="003F6D77"/>
    <w:rsid w:val="003F76EA"/>
    <w:rsid w:val="004017DB"/>
    <w:rsid w:val="004017F3"/>
    <w:rsid w:val="0040209F"/>
    <w:rsid w:val="00403CA1"/>
    <w:rsid w:val="004047DA"/>
    <w:rsid w:val="00404F45"/>
    <w:rsid w:val="00407608"/>
    <w:rsid w:val="004117C5"/>
    <w:rsid w:val="00412FCE"/>
    <w:rsid w:val="0041385C"/>
    <w:rsid w:val="00416D8A"/>
    <w:rsid w:val="00417EEF"/>
    <w:rsid w:val="004200A4"/>
    <w:rsid w:val="004218C2"/>
    <w:rsid w:val="004222B8"/>
    <w:rsid w:val="004233D7"/>
    <w:rsid w:val="00424574"/>
    <w:rsid w:val="00424A61"/>
    <w:rsid w:val="00426765"/>
    <w:rsid w:val="00427CCC"/>
    <w:rsid w:val="00427E67"/>
    <w:rsid w:val="0043710F"/>
    <w:rsid w:val="00443222"/>
    <w:rsid w:val="0044632A"/>
    <w:rsid w:val="004523D2"/>
    <w:rsid w:val="00452C78"/>
    <w:rsid w:val="00454187"/>
    <w:rsid w:val="00460E36"/>
    <w:rsid w:val="004612E4"/>
    <w:rsid w:val="004649DA"/>
    <w:rsid w:val="00466698"/>
    <w:rsid w:val="00470D5B"/>
    <w:rsid w:val="004721AE"/>
    <w:rsid w:val="00475801"/>
    <w:rsid w:val="004776A8"/>
    <w:rsid w:val="004776BE"/>
    <w:rsid w:val="00483D7C"/>
    <w:rsid w:val="00487D08"/>
    <w:rsid w:val="004948EE"/>
    <w:rsid w:val="0049676D"/>
    <w:rsid w:val="00497F3D"/>
    <w:rsid w:val="004A03BF"/>
    <w:rsid w:val="004A1CBF"/>
    <w:rsid w:val="004A1CFB"/>
    <w:rsid w:val="004A52F3"/>
    <w:rsid w:val="004A6AE5"/>
    <w:rsid w:val="004A7C86"/>
    <w:rsid w:val="004B3905"/>
    <w:rsid w:val="004B4EC8"/>
    <w:rsid w:val="004C0375"/>
    <w:rsid w:val="004C0CF9"/>
    <w:rsid w:val="004C0D9F"/>
    <w:rsid w:val="004C31B0"/>
    <w:rsid w:val="004C4489"/>
    <w:rsid w:val="004C4E69"/>
    <w:rsid w:val="004C6C71"/>
    <w:rsid w:val="004C7196"/>
    <w:rsid w:val="004C78A8"/>
    <w:rsid w:val="004D0BE9"/>
    <w:rsid w:val="004D14D0"/>
    <w:rsid w:val="004D19BB"/>
    <w:rsid w:val="004D3249"/>
    <w:rsid w:val="004D3BFC"/>
    <w:rsid w:val="004D5065"/>
    <w:rsid w:val="004D5260"/>
    <w:rsid w:val="004D66C1"/>
    <w:rsid w:val="004D7A80"/>
    <w:rsid w:val="004E1732"/>
    <w:rsid w:val="004E27EE"/>
    <w:rsid w:val="004E33E7"/>
    <w:rsid w:val="004E3D87"/>
    <w:rsid w:val="004E3F23"/>
    <w:rsid w:val="004E3F5A"/>
    <w:rsid w:val="004E600C"/>
    <w:rsid w:val="004E7099"/>
    <w:rsid w:val="004E7320"/>
    <w:rsid w:val="004F28A2"/>
    <w:rsid w:val="004F3B51"/>
    <w:rsid w:val="004F6491"/>
    <w:rsid w:val="00500C1F"/>
    <w:rsid w:val="005035FF"/>
    <w:rsid w:val="00503ECD"/>
    <w:rsid w:val="00513261"/>
    <w:rsid w:val="00513B83"/>
    <w:rsid w:val="005144C2"/>
    <w:rsid w:val="0052099D"/>
    <w:rsid w:val="00520AC1"/>
    <w:rsid w:val="00521971"/>
    <w:rsid w:val="0052258C"/>
    <w:rsid w:val="0052449C"/>
    <w:rsid w:val="005246FC"/>
    <w:rsid w:val="00527F65"/>
    <w:rsid w:val="00532D62"/>
    <w:rsid w:val="005352BC"/>
    <w:rsid w:val="00540698"/>
    <w:rsid w:val="00542C51"/>
    <w:rsid w:val="005446B6"/>
    <w:rsid w:val="00545C88"/>
    <w:rsid w:val="00547C59"/>
    <w:rsid w:val="00547CCA"/>
    <w:rsid w:val="00553129"/>
    <w:rsid w:val="00565A06"/>
    <w:rsid w:val="005668E2"/>
    <w:rsid w:val="00566BA8"/>
    <w:rsid w:val="005709A1"/>
    <w:rsid w:val="00573095"/>
    <w:rsid w:val="00575D77"/>
    <w:rsid w:val="005774A6"/>
    <w:rsid w:val="0058208A"/>
    <w:rsid w:val="00582B7C"/>
    <w:rsid w:val="00583625"/>
    <w:rsid w:val="0058380A"/>
    <w:rsid w:val="00585BCA"/>
    <w:rsid w:val="005864DF"/>
    <w:rsid w:val="00586802"/>
    <w:rsid w:val="00587755"/>
    <w:rsid w:val="00591AE8"/>
    <w:rsid w:val="005957DC"/>
    <w:rsid w:val="005A0293"/>
    <w:rsid w:val="005A1EA4"/>
    <w:rsid w:val="005A24EB"/>
    <w:rsid w:val="005A2E1A"/>
    <w:rsid w:val="005A3665"/>
    <w:rsid w:val="005A3768"/>
    <w:rsid w:val="005A4915"/>
    <w:rsid w:val="005B0355"/>
    <w:rsid w:val="005B0841"/>
    <w:rsid w:val="005B1B75"/>
    <w:rsid w:val="005B3E2E"/>
    <w:rsid w:val="005B6303"/>
    <w:rsid w:val="005B6801"/>
    <w:rsid w:val="005C1322"/>
    <w:rsid w:val="005C15C2"/>
    <w:rsid w:val="005C2F0B"/>
    <w:rsid w:val="005C368B"/>
    <w:rsid w:val="005C60C7"/>
    <w:rsid w:val="005C6655"/>
    <w:rsid w:val="005D1731"/>
    <w:rsid w:val="005D4CA4"/>
    <w:rsid w:val="005D4E59"/>
    <w:rsid w:val="005E105F"/>
    <w:rsid w:val="005E1C52"/>
    <w:rsid w:val="005E418F"/>
    <w:rsid w:val="005E4280"/>
    <w:rsid w:val="005E6290"/>
    <w:rsid w:val="005F781F"/>
    <w:rsid w:val="005F78FC"/>
    <w:rsid w:val="00600BB2"/>
    <w:rsid w:val="006012EC"/>
    <w:rsid w:val="006014A4"/>
    <w:rsid w:val="0060205C"/>
    <w:rsid w:val="006023DE"/>
    <w:rsid w:val="0060260F"/>
    <w:rsid w:val="00603298"/>
    <w:rsid w:val="006032D8"/>
    <w:rsid w:val="00604A96"/>
    <w:rsid w:val="00605D56"/>
    <w:rsid w:val="006070BD"/>
    <w:rsid w:val="006110A7"/>
    <w:rsid w:val="00611740"/>
    <w:rsid w:val="006128F2"/>
    <w:rsid w:val="0061347A"/>
    <w:rsid w:val="006150C3"/>
    <w:rsid w:val="0062398B"/>
    <w:rsid w:val="006251C3"/>
    <w:rsid w:val="00631B2B"/>
    <w:rsid w:val="0064083F"/>
    <w:rsid w:val="00644A31"/>
    <w:rsid w:val="00644F0F"/>
    <w:rsid w:val="006460CC"/>
    <w:rsid w:val="00646938"/>
    <w:rsid w:val="00647960"/>
    <w:rsid w:val="00647BC2"/>
    <w:rsid w:val="0065055D"/>
    <w:rsid w:val="006522B6"/>
    <w:rsid w:val="00652AD1"/>
    <w:rsid w:val="00652BC4"/>
    <w:rsid w:val="00653776"/>
    <w:rsid w:val="0065690E"/>
    <w:rsid w:val="00662322"/>
    <w:rsid w:val="00663492"/>
    <w:rsid w:val="0066509E"/>
    <w:rsid w:val="00666420"/>
    <w:rsid w:val="0067005B"/>
    <w:rsid w:val="00670DAC"/>
    <w:rsid w:val="00671D54"/>
    <w:rsid w:val="006761DB"/>
    <w:rsid w:val="006769BB"/>
    <w:rsid w:val="00677A3D"/>
    <w:rsid w:val="00681DAD"/>
    <w:rsid w:val="00683547"/>
    <w:rsid w:val="00684647"/>
    <w:rsid w:val="00693B81"/>
    <w:rsid w:val="00693FA3"/>
    <w:rsid w:val="0069765D"/>
    <w:rsid w:val="00697825"/>
    <w:rsid w:val="006A0425"/>
    <w:rsid w:val="006A34BA"/>
    <w:rsid w:val="006A45C8"/>
    <w:rsid w:val="006A487E"/>
    <w:rsid w:val="006A4F50"/>
    <w:rsid w:val="006B176E"/>
    <w:rsid w:val="006B2E6D"/>
    <w:rsid w:val="006B3172"/>
    <w:rsid w:val="006B3A89"/>
    <w:rsid w:val="006C4316"/>
    <w:rsid w:val="006C43A1"/>
    <w:rsid w:val="006C4899"/>
    <w:rsid w:val="006C6F62"/>
    <w:rsid w:val="006C7734"/>
    <w:rsid w:val="006D05CF"/>
    <w:rsid w:val="006D16D4"/>
    <w:rsid w:val="006D2068"/>
    <w:rsid w:val="006D35CE"/>
    <w:rsid w:val="006E053D"/>
    <w:rsid w:val="006E788A"/>
    <w:rsid w:val="006F13BC"/>
    <w:rsid w:val="006F25A2"/>
    <w:rsid w:val="006F450D"/>
    <w:rsid w:val="006F4745"/>
    <w:rsid w:val="006F48D4"/>
    <w:rsid w:val="006F6DAA"/>
    <w:rsid w:val="00700C1B"/>
    <w:rsid w:val="00701BD0"/>
    <w:rsid w:val="007023CA"/>
    <w:rsid w:val="007057A1"/>
    <w:rsid w:val="00710E67"/>
    <w:rsid w:val="00711268"/>
    <w:rsid w:val="00717B01"/>
    <w:rsid w:val="00717D9A"/>
    <w:rsid w:val="007207C8"/>
    <w:rsid w:val="00720D4E"/>
    <w:rsid w:val="00721BFC"/>
    <w:rsid w:val="00723221"/>
    <w:rsid w:val="007263E0"/>
    <w:rsid w:val="00730DAB"/>
    <w:rsid w:val="00733B46"/>
    <w:rsid w:val="00735430"/>
    <w:rsid w:val="00743548"/>
    <w:rsid w:val="00747F17"/>
    <w:rsid w:val="007542F5"/>
    <w:rsid w:val="00755A54"/>
    <w:rsid w:val="007627F0"/>
    <w:rsid w:val="007634A9"/>
    <w:rsid w:val="0076424A"/>
    <w:rsid w:val="00764DB2"/>
    <w:rsid w:val="007665E3"/>
    <w:rsid w:val="0076675C"/>
    <w:rsid w:val="00766C39"/>
    <w:rsid w:val="007674E2"/>
    <w:rsid w:val="00767DE3"/>
    <w:rsid w:val="0077093E"/>
    <w:rsid w:val="00770DA6"/>
    <w:rsid w:val="00770F02"/>
    <w:rsid w:val="00771D0A"/>
    <w:rsid w:val="0077265F"/>
    <w:rsid w:val="007806E8"/>
    <w:rsid w:val="0078272E"/>
    <w:rsid w:val="00783082"/>
    <w:rsid w:val="0078308A"/>
    <w:rsid w:val="0078422D"/>
    <w:rsid w:val="00785944"/>
    <w:rsid w:val="00785DB7"/>
    <w:rsid w:val="0078776A"/>
    <w:rsid w:val="00791B8B"/>
    <w:rsid w:val="00792A48"/>
    <w:rsid w:val="007A39A7"/>
    <w:rsid w:val="007A7E75"/>
    <w:rsid w:val="007B0BCD"/>
    <w:rsid w:val="007B458D"/>
    <w:rsid w:val="007B4F34"/>
    <w:rsid w:val="007C0630"/>
    <w:rsid w:val="007C2F1C"/>
    <w:rsid w:val="007C343E"/>
    <w:rsid w:val="007C3F97"/>
    <w:rsid w:val="007C5D17"/>
    <w:rsid w:val="007C6519"/>
    <w:rsid w:val="007C6651"/>
    <w:rsid w:val="007C7C27"/>
    <w:rsid w:val="007D00B7"/>
    <w:rsid w:val="007D0C2F"/>
    <w:rsid w:val="007D380B"/>
    <w:rsid w:val="007D7EFB"/>
    <w:rsid w:val="007E00B4"/>
    <w:rsid w:val="007E03E9"/>
    <w:rsid w:val="007E0813"/>
    <w:rsid w:val="007E5E23"/>
    <w:rsid w:val="007F27D0"/>
    <w:rsid w:val="007F3CA1"/>
    <w:rsid w:val="007F5EF2"/>
    <w:rsid w:val="007F647B"/>
    <w:rsid w:val="007F7F94"/>
    <w:rsid w:val="00801399"/>
    <w:rsid w:val="0080633F"/>
    <w:rsid w:val="00806C06"/>
    <w:rsid w:val="00806DE8"/>
    <w:rsid w:val="0081029B"/>
    <w:rsid w:val="0081122E"/>
    <w:rsid w:val="008135AE"/>
    <w:rsid w:val="008175DF"/>
    <w:rsid w:val="00823F34"/>
    <w:rsid w:val="008279C5"/>
    <w:rsid w:val="0083455B"/>
    <w:rsid w:val="00837274"/>
    <w:rsid w:val="00837397"/>
    <w:rsid w:val="00842AA4"/>
    <w:rsid w:val="008432A5"/>
    <w:rsid w:val="008439DA"/>
    <w:rsid w:val="00847354"/>
    <w:rsid w:val="00850896"/>
    <w:rsid w:val="00852DD9"/>
    <w:rsid w:val="00854611"/>
    <w:rsid w:val="0085545E"/>
    <w:rsid w:val="00856214"/>
    <w:rsid w:val="00856755"/>
    <w:rsid w:val="00860CB7"/>
    <w:rsid w:val="00861386"/>
    <w:rsid w:val="00865517"/>
    <w:rsid w:val="00866027"/>
    <w:rsid w:val="00866D41"/>
    <w:rsid w:val="00870B26"/>
    <w:rsid w:val="008730B9"/>
    <w:rsid w:val="00873703"/>
    <w:rsid w:val="0087699A"/>
    <w:rsid w:val="00877687"/>
    <w:rsid w:val="00877EB8"/>
    <w:rsid w:val="008853F3"/>
    <w:rsid w:val="0088752F"/>
    <w:rsid w:val="00887FBA"/>
    <w:rsid w:val="00892177"/>
    <w:rsid w:val="00892E33"/>
    <w:rsid w:val="0089450D"/>
    <w:rsid w:val="00894894"/>
    <w:rsid w:val="0089518E"/>
    <w:rsid w:val="00895B47"/>
    <w:rsid w:val="008A2C53"/>
    <w:rsid w:val="008A41D6"/>
    <w:rsid w:val="008A5919"/>
    <w:rsid w:val="008A6263"/>
    <w:rsid w:val="008B0A31"/>
    <w:rsid w:val="008B29BA"/>
    <w:rsid w:val="008B2EB1"/>
    <w:rsid w:val="008B2F78"/>
    <w:rsid w:val="008B6430"/>
    <w:rsid w:val="008B6532"/>
    <w:rsid w:val="008B692E"/>
    <w:rsid w:val="008C0330"/>
    <w:rsid w:val="008C3D51"/>
    <w:rsid w:val="008D1730"/>
    <w:rsid w:val="008D50CC"/>
    <w:rsid w:val="008D556F"/>
    <w:rsid w:val="008D7FBE"/>
    <w:rsid w:val="008E07F1"/>
    <w:rsid w:val="008E0969"/>
    <w:rsid w:val="008E4891"/>
    <w:rsid w:val="008E4D49"/>
    <w:rsid w:val="008E5110"/>
    <w:rsid w:val="008F2E52"/>
    <w:rsid w:val="008F3613"/>
    <w:rsid w:val="008F5EFD"/>
    <w:rsid w:val="008F7041"/>
    <w:rsid w:val="00901BAF"/>
    <w:rsid w:val="009021D8"/>
    <w:rsid w:val="00902285"/>
    <w:rsid w:val="009050A9"/>
    <w:rsid w:val="00910C5D"/>
    <w:rsid w:val="0091104F"/>
    <w:rsid w:val="00911BD7"/>
    <w:rsid w:val="00913497"/>
    <w:rsid w:val="009137D4"/>
    <w:rsid w:val="00913878"/>
    <w:rsid w:val="00914C33"/>
    <w:rsid w:val="00915DC1"/>
    <w:rsid w:val="0091755D"/>
    <w:rsid w:val="0092319C"/>
    <w:rsid w:val="00927A93"/>
    <w:rsid w:val="009342E0"/>
    <w:rsid w:val="00934540"/>
    <w:rsid w:val="00935EE0"/>
    <w:rsid w:val="009378E2"/>
    <w:rsid w:val="009407C2"/>
    <w:rsid w:val="009428D2"/>
    <w:rsid w:val="00942E93"/>
    <w:rsid w:val="009459D2"/>
    <w:rsid w:val="00950E42"/>
    <w:rsid w:val="0095118D"/>
    <w:rsid w:val="00951667"/>
    <w:rsid w:val="0095355F"/>
    <w:rsid w:val="00955EB2"/>
    <w:rsid w:val="009560F8"/>
    <w:rsid w:val="00957DF7"/>
    <w:rsid w:val="00960579"/>
    <w:rsid w:val="00961111"/>
    <w:rsid w:val="009627DD"/>
    <w:rsid w:val="009627EC"/>
    <w:rsid w:val="00962C90"/>
    <w:rsid w:val="009633D4"/>
    <w:rsid w:val="009647EC"/>
    <w:rsid w:val="00965AD5"/>
    <w:rsid w:val="00966B6F"/>
    <w:rsid w:val="00970F96"/>
    <w:rsid w:val="00972B2D"/>
    <w:rsid w:val="00972DCB"/>
    <w:rsid w:val="00973DE0"/>
    <w:rsid w:val="00975658"/>
    <w:rsid w:val="00975ED9"/>
    <w:rsid w:val="00976D12"/>
    <w:rsid w:val="0097784D"/>
    <w:rsid w:val="00981B5C"/>
    <w:rsid w:val="009828EA"/>
    <w:rsid w:val="00983C7D"/>
    <w:rsid w:val="00984B3D"/>
    <w:rsid w:val="00984B46"/>
    <w:rsid w:val="00987FA5"/>
    <w:rsid w:val="00992C3B"/>
    <w:rsid w:val="00993812"/>
    <w:rsid w:val="00994077"/>
    <w:rsid w:val="00997682"/>
    <w:rsid w:val="009A229B"/>
    <w:rsid w:val="009A244E"/>
    <w:rsid w:val="009A3648"/>
    <w:rsid w:val="009B50BF"/>
    <w:rsid w:val="009C2583"/>
    <w:rsid w:val="009C479E"/>
    <w:rsid w:val="009C5BA6"/>
    <w:rsid w:val="009C64BA"/>
    <w:rsid w:val="009C6963"/>
    <w:rsid w:val="009C6C5B"/>
    <w:rsid w:val="009C702E"/>
    <w:rsid w:val="009D2862"/>
    <w:rsid w:val="009D5E7C"/>
    <w:rsid w:val="009D7205"/>
    <w:rsid w:val="009E01EC"/>
    <w:rsid w:val="009E0379"/>
    <w:rsid w:val="009E23BE"/>
    <w:rsid w:val="009E2D20"/>
    <w:rsid w:val="009E669B"/>
    <w:rsid w:val="009E6743"/>
    <w:rsid w:val="009E731F"/>
    <w:rsid w:val="009F0F7C"/>
    <w:rsid w:val="009F1A36"/>
    <w:rsid w:val="009F3058"/>
    <w:rsid w:val="009F3F14"/>
    <w:rsid w:val="009F43FD"/>
    <w:rsid w:val="00A024F1"/>
    <w:rsid w:val="00A04468"/>
    <w:rsid w:val="00A050F7"/>
    <w:rsid w:val="00A06001"/>
    <w:rsid w:val="00A062CF"/>
    <w:rsid w:val="00A06B52"/>
    <w:rsid w:val="00A07087"/>
    <w:rsid w:val="00A0725F"/>
    <w:rsid w:val="00A0726A"/>
    <w:rsid w:val="00A07F32"/>
    <w:rsid w:val="00A11C98"/>
    <w:rsid w:val="00A12674"/>
    <w:rsid w:val="00A146D6"/>
    <w:rsid w:val="00A15736"/>
    <w:rsid w:val="00A27B76"/>
    <w:rsid w:val="00A303B8"/>
    <w:rsid w:val="00A31088"/>
    <w:rsid w:val="00A31B0A"/>
    <w:rsid w:val="00A32008"/>
    <w:rsid w:val="00A321B6"/>
    <w:rsid w:val="00A32D15"/>
    <w:rsid w:val="00A32DFB"/>
    <w:rsid w:val="00A353E7"/>
    <w:rsid w:val="00A362DB"/>
    <w:rsid w:val="00A36F7C"/>
    <w:rsid w:val="00A40653"/>
    <w:rsid w:val="00A41308"/>
    <w:rsid w:val="00A42FCF"/>
    <w:rsid w:val="00A44D8F"/>
    <w:rsid w:val="00A45F95"/>
    <w:rsid w:val="00A47437"/>
    <w:rsid w:val="00A50054"/>
    <w:rsid w:val="00A52358"/>
    <w:rsid w:val="00A52CF4"/>
    <w:rsid w:val="00A533EA"/>
    <w:rsid w:val="00A539ED"/>
    <w:rsid w:val="00A57596"/>
    <w:rsid w:val="00A579C9"/>
    <w:rsid w:val="00A61663"/>
    <w:rsid w:val="00A6294D"/>
    <w:rsid w:val="00A63F53"/>
    <w:rsid w:val="00A65A32"/>
    <w:rsid w:val="00A66A75"/>
    <w:rsid w:val="00A67137"/>
    <w:rsid w:val="00A67CB9"/>
    <w:rsid w:val="00A7001F"/>
    <w:rsid w:val="00A719A6"/>
    <w:rsid w:val="00A719FD"/>
    <w:rsid w:val="00A75F26"/>
    <w:rsid w:val="00A7797E"/>
    <w:rsid w:val="00A85B68"/>
    <w:rsid w:val="00A9692A"/>
    <w:rsid w:val="00A97D3A"/>
    <w:rsid w:val="00AA04E2"/>
    <w:rsid w:val="00AA2D1A"/>
    <w:rsid w:val="00AA4E1D"/>
    <w:rsid w:val="00AA5099"/>
    <w:rsid w:val="00AA5139"/>
    <w:rsid w:val="00AA52FB"/>
    <w:rsid w:val="00AA580B"/>
    <w:rsid w:val="00AA622A"/>
    <w:rsid w:val="00AA763D"/>
    <w:rsid w:val="00AB0353"/>
    <w:rsid w:val="00AB0486"/>
    <w:rsid w:val="00AB1C3F"/>
    <w:rsid w:val="00AB2A93"/>
    <w:rsid w:val="00AB48D0"/>
    <w:rsid w:val="00AB4DE0"/>
    <w:rsid w:val="00AB534E"/>
    <w:rsid w:val="00AB57F5"/>
    <w:rsid w:val="00AC1BCE"/>
    <w:rsid w:val="00AC1FB7"/>
    <w:rsid w:val="00AC23EA"/>
    <w:rsid w:val="00AC2507"/>
    <w:rsid w:val="00AC29B0"/>
    <w:rsid w:val="00AC64F0"/>
    <w:rsid w:val="00AD3DED"/>
    <w:rsid w:val="00AD43AC"/>
    <w:rsid w:val="00AD5EA0"/>
    <w:rsid w:val="00AD6EED"/>
    <w:rsid w:val="00AD7F4A"/>
    <w:rsid w:val="00AE0853"/>
    <w:rsid w:val="00AE1F6D"/>
    <w:rsid w:val="00AE2879"/>
    <w:rsid w:val="00AE6477"/>
    <w:rsid w:val="00AE7AAF"/>
    <w:rsid w:val="00AF4CDC"/>
    <w:rsid w:val="00AF5A21"/>
    <w:rsid w:val="00B00128"/>
    <w:rsid w:val="00B00EA4"/>
    <w:rsid w:val="00B0360A"/>
    <w:rsid w:val="00B0405A"/>
    <w:rsid w:val="00B04F4C"/>
    <w:rsid w:val="00B050AD"/>
    <w:rsid w:val="00B05F9B"/>
    <w:rsid w:val="00B12762"/>
    <w:rsid w:val="00B13C93"/>
    <w:rsid w:val="00B14265"/>
    <w:rsid w:val="00B14DA3"/>
    <w:rsid w:val="00B17106"/>
    <w:rsid w:val="00B17B1C"/>
    <w:rsid w:val="00B21FD6"/>
    <w:rsid w:val="00B254EE"/>
    <w:rsid w:val="00B3253C"/>
    <w:rsid w:val="00B326CE"/>
    <w:rsid w:val="00B32750"/>
    <w:rsid w:val="00B34606"/>
    <w:rsid w:val="00B3528C"/>
    <w:rsid w:val="00B35C98"/>
    <w:rsid w:val="00B35E72"/>
    <w:rsid w:val="00B370A9"/>
    <w:rsid w:val="00B427EB"/>
    <w:rsid w:val="00B46E9A"/>
    <w:rsid w:val="00B47B4B"/>
    <w:rsid w:val="00B50106"/>
    <w:rsid w:val="00B5071C"/>
    <w:rsid w:val="00B50DA9"/>
    <w:rsid w:val="00B51F5F"/>
    <w:rsid w:val="00B523A6"/>
    <w:rsid w:val="00B52B52"/>
    <w:rsid w:val="00B5424A"/>
    <w:rsid w:val="00B55628"/>
    <w:rsid w:val="00B61562"/>
    <w:rsid w:val="00B646C5"/>
    <w:rsid w:val="00B65F2A"/>
    <w:rsid w:val="00B71FBF"/>
    <w:rsid w:val="00B73ECD"/>
    <w:rsid w:val="00B75DA7"/>
    <w:rsid w:val="00B808F0"/>
    <w:rsid w:val="00B81C8C"/>
    <w:rsid w:val="00B83187"/>
    <w:rsid w:val="00B83632"/>
    <w:rsid w:val="00B91A82"/>
    <w:rsid w:val="00B92AED"/>
    <w:rsid w:val="00B93A14"/>
    <w:rsid w:val="00B95963"/>
    <w:rsid w:val="00BA3B34"/>
    <w:rsid w:val="00BA5B36"/>
    <w:rsid w:val="00BA6535"/>
    <w:rsid w:val="00BA7DE7"/>
    <w:rsid w:val="00BB0EFB"/>
    <w:rsid w:val="00BB29A6"/>
    <w:rsid w:val="00BD03E4"/>
    <w:rsid w:val="00BD73E6"/>
    <w:rsid w:val="00BE72AD"/>
    <w:rsid w:val="00BF2C15"/>
    <w:rsid w:val="00BF51B0"/>
    <w:rsid w:val="00BF5EAE"/>
    <w:rsid w:val="00BF73D2"/>
    <w:rsid w:val="00BF7A96"/>
    <w:rsid w:val="00C01740"/>
    <w:rsid w:val="00C01D5A"/>
    <w:rsid w:val="00C035AC"/>
    <w:rsid w:val="00C05614"/>
    <w:rsid w:val="00C06EDB"/>
    <w:rsid w:val="00C0712C"/>
    <w:rsid w:val="00C0756F"/>
    <w:rsid w:val="00C1043A"/>
    <w:rsid w:val="00C10C12"/>
    <w:rsid w:val="00C1102F"/>
    <w:rsid w:val="00C145BC"/>
    <w:rsid w:val="00C16810"/>
    <w:rsid w:val="00C2028B"/>
    <w:rsid w:val="00C20574"/>
    <w:rsid w:val="00C22CC7"/>
    <w:rsid w:val="00C307A7"/>
    <w:rsid w:val="00C30A54"/>
    <w:rsid w:val="00C30BD9"/>
    <w:rsid w:val="00C311A9"/>
    <w:rsid w:val="00C3404F"/>
    <w:rsid w:val="00C34B9B"/>
    <w:rsid w:val="00C353C1"/>
    <w:rsid w:val="00C41507"/>
    <w:rsid w:val="00C424BD"/>
    <w:rsid w:val="00C42F14"/>
    <w:rsid w:val="00C45D3F"/>
    <w:rsid w:val="00C472B0"/>
    <w:rsid w:val="00C504A8"/>
    <w:rsid w:val="00C54546"/>
    <w:rsid w:val="00C55CB9"/>
    <w:rsid w:val="00C566A8"/>
    <w:rsid w:val="00C57987"/>
    <w:rsid w:val="00C60B1E"/>
    <w:rsid w:val="00C60DEE"/>
    <w:rsid w:val="00C62AB2"/>
    <w:rsid w:val="00C642B5"/>
    <w:rsid w:val="00C65519"/>
    <w:rsid w:val="00C65D1D"/>
    <w:rsid w:val="00C6747B"/>
    <w:rsid w:val="00C67B0E"/>
    <w:rsid w:val="00C740D9"/>
    <w:rsid w:val="00C75B4D"/>
    <w:rsid w:val="00C762DA"/>
    <w:rsid w:val="00C776CD"/>
    <w:rsid w:val="00C81742"/>
    <w:rsid w:val="00C82A05"/>
    <w:rsid w:val="00C8348C"/>
    <w:rsid w:val="00C86210"/>
    <w:rsid w:val="00C871B5"/>
    <w:rsid w:val="00C92D63"/>
    <w:rsid w:val="00C93CDF"/>
    <w:rsid w:val="00C940BE"/>
    <w:rsid w:val="00C95CB1"/>
    <w:rsid w:val="00CA0560"/>
    <w:rsid w:val="00CA10FC"/>
    <w:rsid w:val="00CA1E52"/>
    <w:rsid w:val="00CA2880"/>
    <w:rsid w:val="00CA2BC7"/>
    <w:rsid w:val="00CA3733"/>
    <w:rsid w:val="00CA43DD"/>
    <w:rsid w:val="00CA47A1"/>
    <w:rsid w:val="00CA4A1F"/>
    <w:rsid w:val="00CA5B76"/>
    <w:rsid w:val="00CA602F"/>
    <w:rsid w:val="00CB07A9"/>
    <w:rsid w:val="00CB1C00"/>
    <w:rsid w:val="00CB2503"/>
    <w:rsid w:val="00CB49BD"/>
    <w:rsid w:val="00CC282E"/>
    <w:rsid w:val="00CC702A"/>
    <w:rsid w:val="00CC78B2"/>
    <w:rsid w:val="00CC7965"/>
    <w:rsid w:val="00CD0665"/>
    <w:rsid w:val="00CD19DA"/>
    <w:rsid w:val="00CF02FC"/>
    <w:rsid w:val="00CF3D46"/>
    <w:rsid w:val="00CF562E"/>
    <w:rsid w:val="00CF610E"/>
    <w:rsid w:val="00D006E5"/>
    <w:rsid w:val="00D0598D"/>
    <w:rsid w:val="00D06BF1"/>
    <w:rsid w:val="00D0711F"/>
    <w:rsid w:val="00D0788F"/>
    <w:rsid w:val="00D07905"/>
    <w:rsid w:val="00D12593"/>
    <w:rsid w:val="00D15064"/>
    <w:rsid w:val="00D16DC6"/>
    <w:rsid w:val="00D21211"/>
    <w:rsid w:val="00D21A2C"/>
    <w:rsid w:val="00D22B12"/>
    <w:rsid w:val="00D22DEC"/>
    <w:rsid w:val="00D248FD"/>
    <w:rsid w:val="00D252CF"/>
    <w:rsid w:val="00D26175"/>
    <w:rsid w:val="00D269FD"/>
    <w:rsid w:val="00D26D37"/>
    <w:rsid w:val="00D27C98"/>
    <w:rsid w:val="00D30C97"/>
    <w:rsid w:val="00D31837"/>
    <w:rsid w:val="00D32DD7"/>
    <w:rsid w:val="00D36903"/>
    <w:rsid w:val="00D36CEF"/>
    <w:rsid w:val="00D37ECB"/>
    <w:rsid w:val="00D4253F"/>
    <w:rsid w:val="00D523FF"/>
    <w:rsid w:val="00D52E26"/>
    <w:rsid w:val="00D53C53"/>
    <w:rsid w:val="00D544A4"/>
    <w:rsid w:val="00D5531F"/>
    <w:rsid w:val="00D57909"/>
    <w:rsid w:val="00D61475"/>
    <w:rsid w:val="00D647E5"/>
    <w:rsid w:val="00D648AE"/>
    <w:rsid w:val="00D64AF6"/>
    <w:rsid w:val="00D65953"/>
    <w:rsid w:val="00D66059"/>
    <w:rsid w:val="00D66725"/>
    <w:rsid w:val="00D66881"/>
    <w:rsid w:val="00D67235"/>
    <w:rsid w:val="00D72E84"/>
    <w:rsid w:val="00D769D6"/>
    <w:rsid w:val="00D8176B"/>
    <w:rsid w:val="00D842A3"/>
    <w:rsid w:val="00D8555F"/>
    <w:rsid w:val="00D860FB"/>
    <w:rsid w:val="00D8684F"/>
    <w:rsid w:val="00D872D1"/>
    <w:rsid w:val="00D87852"/>
    <w:rsid w:val="00D9010B"/>
    <w:rsid w:val="00D9063B"/>
    <w:rsid w:val="00D92CE4"/>
    <w:rsid w:val="00D971DC"/>
    <w:rsid w:val="00D97948"/>
    <w:rsid w:val="00D97EE4"/>
    <w:rsid w:val="00DA037B"/>
    <w:rsid w:val="00DA1B60"/>
    <w:rsid w:val="00DA1B78"/>
    <w:rsid w:val="00DA2D42"/>
    <w:rsid w:val="00DA3488"/>
    <w:rsid w:val="00DA4FC1"/>
    <w:rsid w:val="00DA6A16"/>
    <w:rsid w:val="00DB1594"/>
    <w:rsid w:val="00DB5E7D"/>
    <w:rsid w:val="00DB6535"/>
    <w:rsid w:val="00DB672C"/>
    <w:rsid w:val="00DB6E06"/>
    <w:rsid w:val="00DC182C"/>
    <w:rsid w:val="00DC33B7"/>
    <w:rsid w:val="00DC61BE"/>
    <w:rsid w:val="00DC6E2F"/>
    <w:rsid w:val="00DC6F61"/>
    <w:rsid w:val="00DD02E7"/>
    <w:rsid w:val="00DD14C6"/>
    <w:rsid w:val="00DD2115"/>
    <w:rsid w:val="00DD3837"/>
    <w:rsid w:val="00DD38E3"/>
    <w:rsid w:val="00DD47D5"/>
    <w:rsid w:val="00DD7659"/>
    <w:rsid w:val="00DD77AD"/>
    <w:rsid w:val="00DE085A"/>
    <w:rsid w:val="00DE209B"/>
    <w:rsid w:val="00DE24C4"/>
    <w:rsid w:val="00DE48C4"/>
    <w:rsid w:val="00DE4F68"/>
    <w:rsid w:val="00DF0614"/>
    <w:rsid w:val="00DF09F7"/>
    <w:rsid w:val="00DF413E"/>
    <w:rsid w:val="00DF5695"/>
    <w:rsid w:val="00DF58F4"/>
    <w:rsid w:val="00E00A05"/>
    <w:rsid w:val="00E00ED6"/>
    <w:rsid w:val="00E05B4C"/>
    <w:rsid w:val="00E07A3A"/>
    <w:rsid w:val="00E10B68"/>
    <w:rsid w:val="00E16A24"/>
    <w:rsid w:val="00E26D3A"/>
    <w:rsid w:val="00E277B8"/>
    <w:rsid w:val="00E27963"/>
    <w:rsid w:val="00E30066"/>
    <w:rsid w:val="00E36C21"/>
    <w:rsid w:val="00E40B98"/>
    <w:rsid w:val="00E414D8"/>
    <w:rsid w:val="00E417FD"/>
    <w:rsid w:val="00E42257"/>
    <w:rsid w:val="00E42414"/>
    <w:rsid w:val="00E42EFD"/>
    <w:rsid w:val="00E43D5F"/>
    <w:rsid w:val="00E44C5C"/>
    <w:rsid w:val="00E54268"/>
    <w:rsid w:val="00E5710B"/>
    <w:rsid w:val="00E60506"/>
    <w:rsid w:val="00E60E86"/>
    <w:rsid w:val="00E6279E"/>
    <w:rsid w:val="00E6285F"/>
    <w:rsid w:val="00E62AE3"/>
    <w:rsid w:val="00E71014"/>
    <w:rsid w:val="00E7530B"/>
    <w:rsid w:val="00E75A01"/>
    <w:rsid w:val="00E80A92"/>
    <w:rsid w:val="00E8303D"/>
    <w:rsid w:val="00E8472E"/>
    <w:rsid w:val="00E85505"/>
    <w:rsid w:val="00E85A21"/>
    <w:rsid w:val="00E87B94"/>
    <w:rsid w:val="00E91175"/>
    <w:rsid w:val="00E91A8F"/>
    <w:rsid w:val="00E96FC3"/>
    <w:rsid w:val="00EA0FF4"/>
    <w:rsid w:val="00EA4681"/>
    <w:rsid w:val="00EA488F"/>
    <w:rsid w:val="00EA6476"/>
    <w:rsid w:val="00EA7156"/>
    <w:rsid w:val="00EB1037"/>
    <w:rsid w:val="00EB3D17"/>
    <w:rsid w:val="00EB438F"/>
    <w:rsid w:val="00EB481A"/>
    <w:rsid w:val="00EB4D62"/>
    <w:rsid w:val="00EB5794"/>
    <w:rsid w:val="00EB59E6"/>
    <w:rsid w:val="00EB6BE6"/>
    <w:rsid w:val="00EB7ED3"/>
    <w:rsid w:val="00EC1884"/>
    <w:rsid w:val="00EC301A"/>
    <w:rsid w:val="00EC3F51"/>
    <w:rsid w:val="00EC431C"/>
    <w:rsid w:val="00EC47F5"/>
    <w:rsid w:val="00EC4A91"/>
    <w:rsid w:val="00EC4A9A"/>
    <w:rsid w:val="00ED3067"/>
    <w:rsid w:val="00ED7C57"/>
    <w:rsid w:val="00EE0172"/>
    <w:rsid w:val="00EE25AD"/>
    <w:rsid w:val="00EE2F7D"/>
    <w:rsid w:val="00EE3166"/>
    <w:rsid w:val="00EE6A8D"/>
    <w:rsid w:val="00EF2C73"/>
    <w:rsid w:val="00EF31E0"/>
    <w:rsid w:val="00EF7CA5"/>
    <w:rsid w:val="00F0066C"/>
    <w:rsid w:val="00F01078"/>
    <w:rsid w:val="00F02534"/>
    <w:rsid w:val="00F03DDD"/>
    <w:rsid w:val="00F06931"/>
    <w:rsid w:val="00F06CC0"/>
    <w:rsid w:val="00F0781C"/>
    <w:rsid w:val="00F10312"/>
    <w:rsid w:val="00F1271A"/>
    <w:rsid w:val="00F131A1"/>
    <w:rsid w:val="00F133DC"/>
    <w:rsid w:val="00F13A05"/>
    <w:rsid w:val="00F13B04"/>
    <w:rsid w:val="00F175C6"/>
    <w:rsid w:val="00F17D74"/>
    <w:rsid w:val="00F23EBE"/>
    <w:rsid w:val="00F24598"/>
    <w:rsid w:val="00F34B9E"/>
    <w:rsid w:val="00F360FC"/>
    <w:rsid w:val="00F36D45"/>
    <w:rsid w:val="00F41B74"/>
    <w:rsid w:val="00F41CEA"/>
    <w:rsid w:val="00F443C8"/>
    <w:rsid w:val="00F46C79"/>
    <w:rsid w:val="00F46E03"/>
    <w:rsid w:val="00F50A30"/>
    <w:rsid w:val="00F538B9"/>
    <w:rsid w:val="00F53EAF"/>
    <w:rsid w:val="00F557BF"/>
    <w:rsid w:val="00F569B1"/>
    <w:rsid w:val="00F62DDE"/>
    <w:rsid w:val="00F6480C"/>
    <w:rsid w:val="00F70871"/>
    <w:rsid w:val="00F7699A"/>
    <w:rsid w:val="00F76A53"/>
    <w:rsid w:val="00F8054E"/>
    <w:rsid w:val="00F81A02"/>
    <w:rsid w:val="00F81F5F"/>
    <w:rsid w:val="00F8655B"/>
    <w:rsid w:val="00F90BBF"/>
    <w:rsid w:val="00F929E4"/>
    <w:rsid w:val="00F9399D"/>
    <w:rsid w:val="00FA32FF"/>
    <w:rsid w:val="00FA3BFC"/>
    <w:rsid w:val="00FA48B8"/>
    <w:rsid w:val="00FA6456"/>
    <w:rsid w:val="00FA6D6C"/>
    <w:rsid w:val="00FB2436"/>
    <w:rsid w:val="00FB3408"/>
    <w:rsid w:val="00FB616C"/>
    <w:rsid w:val="00FB61CF"/>
    <w:rsid w:val="00FB70C3"/>
    <w:rsid w:val="00FB7A5A"/>
    <w:rsid w:val="00FC125D"/>
    <w:rsid w:val="00FC1363"/>
    <w:rsid w:val="00FC1734"/>
    <w:rsid w:val="00FC182C"/>
    <w:rsid w:val="00FC1D5A"/>
    <w:rsid w:val="00FC4DCC"/>
    <w:rsid w:val="00FC713D"/>
    <w:rsid w:val="00FD1C0C"/>
    <w:rsid w:val="00FD5F91"/>
    <w:rsid w:val="00FD68C5"/>
    <w:rsid w:val="00FD7217"/>
    <w:rsid w:val="00FE036B"/>
    <w:rsid w:val="00FE297B"/>
    <w:rsid w:val="00FE2A51"/>
    <w:rsid w:val="00FE65FB"/>
    <w:rsid w:val="00FE6636"/>
    <w:rsid w:val="00FF1684"/>
    <w:rsid w:val="00FF1F43"/>
    <w:rsid w:val="00FF4784"/>
    <w:rsid w:val="03A8E3B5"/>
    <w:rsid w:val="03D83BEC"/>
    <w:rsid w:val="0417AC5F"/>
    <w:rsid w:val="050441F0"/>
    <w:rsid w:val="0CA32C73"/>
    <w:rsid w:val="29706211"/>
    <w:rsid w:val="3E0BE7EC"/>
    <w:rsid w:val="4D9C0F4F"/>
    <w:rsid w:val="55281FD1"/>
    <w:rsid w:val="5CE57A9B"/>
    <w:rsid w:val="6820E187"/>
    <w:rsid w:val="720B8BCC"/>
    <w:rsid w:val="77D6F856"/>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09CCA8"/>
  <w15:docId w15:val="{43812A9B-3882-4E49-8BD7-E176644DA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Cambria" w:hAnsi="Cambria" w:cs="Times New Roman"/>
        <w:sz w:val="22"/>
        <w:szCs w:val="22"/>
        <w:lang w:val="da-DK" w:eastAsia="da-DK"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iPriority="0"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5628"/>
    <w:pPr>
      <w:spacing w:after="200" w:line="276" w:lineRule="auto"/>
      <w:jc w:val="both"/>
    </w:pPr>
    <w:rPr>
      <w:sz w:val="24"/>
      <w:szCs w:val="24"/>
      <w:lang w:val="en-US" w:eastAsia="en-US"/>
    </w:rPr>
  </w:style>
  <w:style w:type="paragraph" w:styleId="Heading1">
    <w:name w:val="heading 1"/>
    <w:basedOn w:val="Normal"/>
    <w:next w:val="BodyText"/>
    <w:link w:val="Heading1Char"/>
    <w:uiPriority w:val="99"/>
    <w:qFormat/>
    <w:rsid w:val="00B55628"/>
    <w:pPr>
      <w:keepNext/>
      <w:keepLines/>
      <w:spacing w:before="480" w:after="0"/>
      <w:outlineLvl w:val="0"/>
    </w:pPr>
    <w:rPr>
      <w:rFonts w:ascii="Calibri" w:eastAsia="Times New Roman" w:hAnsi="Calibri"/>
      <w:b/>
      <w:bCs/>
      <w:color w:val="2A216A"/>
      <w:sz w:val="32"/>
      <w:szCs w:val="32"/>
    </w:rPr>
  </w:style>
  <w:style w:type="paragraph" w:styleId="Heading2">
    <w:name w:val="heading 2"/>
    <w:basedOn w:val="Normal"/>
    <w:next w:val="BodyText"/>
    <w:link w:val="Heading2Char"/>
    <w:uiPriority w:val="99"/>
    <w:qFormat/>
    <w:rsid w:val="001304AB"/>
    <w:pPr>
      <w:keepNext/>
      <w:keepLines/>
      <w:spacing w:before="200" w:after="0"/>
      <w:outlineLvl w:val="1"/>
    </w:pPr>
    <w:rPr>
      <w:rFonts w:ascii="Calibri" w:eastAsia="Times New Roman" w:hAnsi="Calibri"/>
      <w:b/>
      <w:bCs/>
      <w:color w:val="2A216A"/>
      <w:sz w:val="28"/>
      <w:szCs w:val="28"/>
    </w:rPr>
  </w:style>
  <w:style w:type="paragraph" w:styleId="Heading3">
    <w:name w:val="heading 3"/>
    <w:basedOn w:val="Normal"/>
    <w:next w:val="BodyText"/>
    <w:link w:val="Heading3Char"/>
    <w:uiPriority w:val="99"/>
    <w:qFormat/>
    <w:rsid w:val="00B55628"/>
    <w:pPr>
      <w:keepNext/>
      <w:keepLines/>
      <w:spacing w:before="200" w:after="0"/>
      <w:outlineLvl w:val="2"/>
    </w:pPr>
    <w:rPr>
      <w:rFonts w:ascii="Calibri" w:eastAsia="Times New Roman" w:hAnsi="Calibri"/>
      <w:b/>
      <w:bCs/>
      <w:color w:val="2A216A"/>
    </w:rPr>
  </w:style>
  <w:style w:type="paragraph" w:styleId="Heading4">
    <w:name w:val="heading 4"/>
    <w:basedOn w:val="Normal"/>
    <w:next w:val="BodyText"/>
    <w:link w:val="Heading4Char"/>
    <w:uiPriority w:val="99"/>
    <w:qFormat/>
    <w:rsid w:val="001304AB"/>
    <w:pPr>
      <w:keepNext/>
      <w:keepLines/>
      <w:spacing w:before="200" w:after="0"/>
      <w:outlineLvl w:val="3"/>
    </w:pPr>
    <w:rPr>
      <w:rFonts w:ascii="Calibri" w:eastAsia="Times New Roman" w:hAnsi="Calibri"/>
      <w:bCs/>
      <w:i/>
      <w:color w:val="2A216A"/>
    </w:rPr>
  </w:style>
  <w:style w:type="paragraph" w:styleId="Heading5">
    <w:name w:val="heading 5"/>
    <w:basedOn w:val="Normal"/>
    <w:next w:val="BodyText"/>
    <w:link w:val="Heading5Char"/>
    <w:uiPriority w:val="99"/>
    <w:qFormat/>
    <w:rsid w:val="001304AB"/>
    <w:pPr>
      <w:keepNext/>
      <w:keepLines/>
      <w:spacing w:before="200" w:after="0"/>
      <w:outlineLvl w:val="4"/>
    </w:pPr>
    <w:rPr>
      <w:rFonts w:ascii="Calibri" w:eastAsia="Times New Roman" w:hAnsi="Calibri"/>
      <w:iCs/>
      <w:color w:val="2A216A"/>
    </w:rPr>
  </w:style>
  <w:style w:type="paragraph" w:styleId="Heading6">
    <w:name w:val="heading 6"/>
    <w:basedOn w:val="Normal"/>
    <w:next w:val="BodyText"/>
    <w:link w:val="Heading6Char"/>
    <w:uiPriority w:val="99"/>
    <w:qFormat/>
    <w:rsid w:val="001304AB"/>
    <w:pPr>
      <w:keepNext/>
      <w:keepLines/>
      <w:spacing w:before="200" w:after="0"/>
      <w:outlineLvl w:val="5"/>
    </w:pPr>
    <w:rPr>
      <w:rFonts w:ascii="Calibri" w:eastAsia="Times New Roman" w:hAnsi="Calibri"/>
      <w:color w:val="2A216A"/>
    </w:rPr>
  </w:style>
  <w:style w:type="paragraph" w:styleId="Heading7">
    <w:name w:val="heading 7"/>
    <w:basedOn w:val="Normal"/>
    <w:next w:val="BodyText"/>
    <w:link w:val="Heading7Char"/>
    <w:uiPriority w:val="99"/>
    <w:qFormat/>
    <w:rsid w:val="001304AB"/>
    <w:pPr>
      <w:keepNext/>
      <w:keepLines/>
      <w:spacing w:before="200" w:after="0"/>
      <w:outlineLvl w:val="6"/>
    </w:pPr>
    <w:rPr>
      <w:rFonts w:ascii="Calibri" w:eastAsia="Times New Roman" w:hAnsi="Calibri"/>
      <w:color w:val="2A216A"/>
    </w:rPr>
  </w:style>
  <w:style w:type="paragraph" w:styleId="Heading8">
    <w:name w:val="heading 8"/>
    <w:basedOn w:val="Normal"/>
    <w:next w:val="BodyText"/>
    <w:link w:val="Heading8Char"/>
    <w:uiPriority w:val="99"/>
    <w:qFormat/>
    <w:rsid w:val="001304AB"/>
    <w:pPr>
      <w:keepNext/>
      <w:keepLines/>
      <w:spacing w:before="200" w:after="0"/>
      <w:outlineLvl w:val="7"/>
    </w:pPr>
    <w:rPr>
      <w:rFonts w:ascii="Calibri" w:eastAsia="Times New Roman" w:hAnsi="Calibri"/>
      <w:color w:val="2A216A"/>
    </w:rPr>
  </w:style>
  <w:style w:type="paragraph" w:styleId="Heading9">
    <w:name w:val="heading 9"/>
    <w:basedOn w:val="Normal"/>
    <w:next w:val="BodyText"/>
    <w:link w:val="Heading9Char"/>
    <w:uiPriority w:val="99"/>
    <w:qFormat/>
    <w:rsid w:val="001304AB"/>
    <w:pPr>
      <w:keepNext/>
      <w:keepLines/>
      <w:spacing w:before="200" w:after="0"/>
      <w:outlineLvl w:val="8"/>
    </w:pPr>
    <w:rPr>
      <w:rFonts w:ascii="Calibri" w:eastAsia="Times New Roman" w:hAnsi="Calibri"/>
      <w:color w:val="2A216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662DD"/>
    <w:rPr>
      <w:rFonts w:ascii="Calibri" w:eastAsia="Times New Roman" w:hAnsi="Calibri"/>
      <w:b/>
      <w:bCs/>
      <w:color w:val="2A216A"/>
      <w:sz w:val="32"/>
      <w:szCs w:val="32"/>
      <w:lang w:val="en-US" w:eastAsia="en-US"/>
    </w:rPr>
  </w:style>
  <w:style w:type="character" w:customStyle="1" w:styleId="Heading2Char">
    <w:name w:val="Heading 2 Char"/>
    <w:basedOn w:val="DefaultParagraphFont"/>
    <w:link w:val="Heading2"/>
    <w:uiPriority w:val="99"/>
    <w:locked/>
    <w:rsid w:val="000662DD"/>
    <w:rPr>
      <w:rFonts w:ascii="Calibri" w:hAnsi="Calibri" w:cs="Times New Roman"/>
      <w:b/>
      <w:bCs/>
      <w:color w:val="2A216A"/>
      <w:sz w:val="28"/>
      <w:szCs w:val="28"/>
    </w:rPr>
  </w:style>
  <w:style w:type="character" w:customStyle="1" w:styleId="Heading3Char">
    <w:name w:val="Heading 3 Char"/>
    <w:basedOn w:val="DefaultParagraphFont"/>
    <w:link w:val="Heading3"/>
    <w:uiPriority w:val="99"/>
    <w:locked/>
    <w:rsid w:val="000662DD"/>
    <w:rPr>
      <w:rFonts w:ascii="Calibri" w:eastAsia="Times New Roman" w:hAnsi="Calibri"/>
      <w:b/>
      <w:bCs/>
      <w:color w:val="2A216A"/>
      <w:sz w:val="24"/>
      <w:szCs w:val="24"/>
      <w:lang w:val="en-US" w:eastAsia="en-US"/>
    </w:rPr>
  </w:style>
  <w:style w:type="character" w:customStyle="1" w:styleId="Heading4Char">
    <w:name w:val="Heading 4 Char"/>
    <w:basedOn w:val="DefaultParagraphFont"/>
    <w:link w:val="Heading4"/>
    <w:uiPriority w:val="99"/>
    <w:locked/>
    <w:rsid w:val="000662DD"/>
    <w:rPr>
      <w:rFonts w:ascii="Calibri" w:hAnsi="Calibri" w:cs="Times New Roman"/>
      <w:bCs/>
      <w:i/>
      <w:color w:val="2A216A"/>
    </w:rPr>
  </w:style>
  <w:style w:type="character" w:customStyle="1" w:styleId="Heading5Char">
    <w:name w:val="Heading 5 Char"/>
    <w:basedOn w:val="DefaultParagraphFont"/>
    <w:link w:val="Heading5"/>
    <w:uiPriority w:val="99"/>
    <w:locked/>
    <w:rsid w:val="000662DD"/>
    <w:rPr>
      <w:rFonts w:ascii="Calibri" w:hAnsi="Calibri" w:cs="Times New Roman"/>
      <w:iCs/>
      <w:color w:val="2A216A"/>
    </w:rPr>
  </w:style>
  <w:style w:type="character" w:customStyle="1" w:styleId="Heading6Char">
    <w:name w:val="Heading 6 Char"/>
    <w:basedOn w:val="DefaultParagraphFont"/>
    <w:link w:val="Heading6"/>
    <w:uiPriority w:val="99"/>
    <w:locked/>
    <w:rsid w:val="000662DD"/>
    <w:rPr>
      <w:rFonts w:ascii="Calibri" w:hAnsi="Calibri" w:cs="Times New Roman"/>
      <w:color w:val="2A216A"/>
    </w:rPr>
  </w:style>
  <w:style w:type="character" w:customStyle="1" w:styleId="Heading7Char">
    <w:name w:val="Heading 7 Char"/>
    <w:basedOn w:val="DefaultParagraphFont"/>
    <w:link w:val="Heading7"/>
    <w:uiPriority w:val="99"/>
    <w:locked/>
    <w:rsid w:val="000662DD"/>
    <w:rPr>
      <w:rFonts w:ascii="Calibri" w:hAnsi="Calibri" w:cs="Times New Roman"/>
      <w:color w:val="2A216A"/>
    </w:rPr>
  </w:style>
  <w:style w:type="character" w:customStyle="1" w:styleId="Heading8Char">
    <w:name w:val="Heading 8 Char"/>
    <w:basedOn w:val="DefaultParagraphFont"/>
    <w:link w:val="Heading8"/>
    <w:uiPriority w:val="99"/>
    <w:locked/>
    <w:rsid w:val="000662DD"/>
    <w:rPr>
      <w:rFonts w:ascii="Calibri" w:hAnsi="Calibri" w:cs="Times New Roman"/>
      <w:color w:val="2A216A"/>
    </w:rPr>
  </w:style>
  <w:style w:type="character" w:customStyle="1" w:styleId="Heading9Char">
    <w:name w:val="Heading 9 Char"/>
    <w:basedOn w:val="DefaultParagraphFont"/>
    <w:link w:val="Heading9"/>
    <w:uiPriority w:val="99"/>
    <w:locked/>
    <w:rsid w:val="000662DD"/>
    <w:rPr>
      <w:rFonts w:ascii="Calibri" w:hAnsi="Calibri" w:cs="Times New Roman"/>
      <w:color w:val="2A216A"/>
    </w:rPr>
  </w:style>
  <w:style w:type="paragraph" w:styleId="BodyText">
    <w:name w:val="Body Text"/>
    <w:basedOn w:val="Normal"/>
    <w:link w:val="BodyTextChar"/>
    <w:uiPriority w:val="99"/>
    <w:qFormat/>
    <w:rsid w:val="00FC1D5A"/>
    <w:pPr>
      <w:spacing w:before="180" w:after="180"/>
    </w:pPr>
  </w:style>
  <w:style w:type="character" w:customStyle="1" w:styleId="BodyTextChar">
    <w:name w:val="Body Text Char"/>
    <w:basedOn w:val="DefaultParagraphFont"/>
    <w:link w:val="BodyText"/>
    <w:uiPriority w:val="99"/>
    <w:locked/>
    <w:rsid w:val="00720D4E"/>
    <w:rPr>
      <w:rFonts w:cs="Times New Roman"/>
    </w:rPr>
  </w:style>
  <w:style w:type="paragraph" w:customStyle="1" w:styleId="FirstParagraph">
    <w:name w:val="First Paragraph"/>
    <w:basedOn w:val="BodyText"/>
    <w:next w:val="BodyText"/>
    <w:uiPriority w:val="99"/>
    <w:rsid w:val="00B55628"/>
  </w:style>
  <w:style w:type="paragraph" w:customStyle="1" w:styleId="Compact">
    <w:name w:val="Compact"/>
    <w:basedOn w:val="BodyText"/>
    <w:uiPriority w:val="99"/>
    <w:rsid w:val="00B55628"/>
    <w:pPr>
      <w:spacing w:before="36" w:after="36"/>
    </w:pPr>
  </w:style>
  <w:style w:type="paragraph" w:styleId="Title">
    <w:name w:val="Title"/>
    <w:basedOn w:val="Normal"/>
    <w:next w:val="BodyText"/>
    <w:link w:val="TitleChar"/>
    <w:uiPriority w:val="99"/>
    <w:qFormat/>
    <w:rsid w:val="001304AB"/>
    <w:pPr>
      <w:keepNext/>
      <w:keepLines/>
      <w:spacing w:before="480" w:after="240"/>
      <w:jc w:val="center"/>
    </w:pPr>
    <w:rPr>
      <w:rFonts w:ascii="Calibri" w:eastAsia="Times New Roman" w:hAnsi="Calibri"/>
      <w:b/>
      <w:bCs/>
      <w:color w:val="1D174A"/>
      <w:sz w:val="36"/>
      <w:szCs w:val="36"/>
    </w:rPr>
  </w:style>
  <w:style w:type="character" w:customStyle="1" w:styleId="TitleChar">
    <w:name w:val="Title Char"/>
    <w:basedOn w:val="DefaultParagraphFont"/>
    <w:link w:val="Title"/>
    <w:uiPriority w:val="99"/>
    <w:locked/>
    <w:rsid w:val="000662DD"/>
    <w:rPr>
      <w:rFonts w:ascii="Calibri" w:hAnsi="Calibri" w:cs="Times New Roman"/>
      <w:b/>
      <w:bCs/>
      <w:color w:val="1D174A"/>
      <w:sz w:val="36"/>
      <w:szCs w:val="36"/>
    </w:rPr>
  </w:style>
  <w:style w:type="paragraph" w:styleId="Subtitle">
    <w:name w:val="Subtitle"/>
    <w:basedOn w:val="Title"/>
    <w:next w:val="BodyText"/>
    <w:link w:val="SubtitleChar"/>
    <w:uiPriority w:val="99"/>
    <w:qFormat/>
    <w:rsid w:val="00DF5695"/>
    <w:pPr>
      <w:spacing w:before="240"/>
    </w:pPr>
    <w:rPr>
      <w:sz w:val="30"/>
      <w:szCs w:val="30"/>
    </w:rPr>
  </w:style>
  <w:style w:type="character" w:customStyle="1" w:styleId="SubtitleChar">
    <w:name w:val="Subtitle Char"/>
    <w:basedOn w:val="DefaultParagraphFont"/>
    <w:link w:val="Subtitle"/>
    <w:uiPriority w:val="11"/>
    <w:locked/>
    <w:rsid w:val="000662DD"/>
    <w:rPr>
      <w:rFonts w:ascii="Calibri" w:hAnsi="Calibri" w:cs="Times New Roman"/>
      <w:b/>
      <w:bCs/>
      <w:color w:val="1D174A"/>
      <w:sz w:val="30"/>
      <w:szCs w:val="30"/>
    </w:rPr>
  </w:style>
  <w:style w:type="paragraph" w:customStyle="1" w:styleId="Author">
    <w:name w:val="Author"/>
    <w:next w:val="BodyText"/>
    <w:uiPriority w:val="99"/>
    <w:rsid w:val="00B55628"/>
    <w:pPr>
      <w:keepNext/>
      <w:keepLines/>
      <w:spacing w:after="200" w:line="276" w:lineRule="auto"/>
      <w:jc w:val="center"/>
    </w:pPr>
    <w:rPr>
      <w:sz w:val="24"/>
      <w:szCs w:val="24"/>
      <w:lang w:val="en-US" w:eastAsia="en-US"/>
    </w:rPr>
  </w:style>
  <w:style w:type="paragraph" w:styleId="Date">
    <w:name w:val="Date"/>
    <w:basedOn w:val="Normal"/>
    <w:next w:val="BodyText"/>
    <w:link w:val="DateChar"/>
    <w:uiPriority w:val="99"/>
    <w:rsid w:val="00B55628"/>
    <w:pPr>
      <w:keepNext/>
      <w:keepLines/>
      <w:jc w:val="center"/>
    </w:pPr>
  </w:style>
  <w:style w:type="character" w:customStyle="1" w:styleId="DateChar">
    <w:name w:val="Date Char"/>
    <w:basedOn w:val="DefaultParagraphFont"/>
    <w:link w:val="Date"/>
    <w:uiPriority w:val="99"/>
    <w:locked/>
    <w:rsid w:val="000662DD"/>
    <w:rPr>
      <w:sz w:val="24"/>
      <w:szCs w:val="24"/>
      <w:lang w:val="en-US" w:eastAsia="en-US"/>
    </w:rPr>
  </w:style>
  <w:style w:type="paragraph" w:customStyle="1" w:styleId="Abstract">
    <w:name w:val="Abstract"/>
    <w:basedOn w:val="Normal"/>
    <w:next w:val="BodyText"/>
    <w:uiPriority w:val="99"/>
    <w:rsid w:val="00B55628"/>
    <w:pPr>
      <w:keepNext/>
      <w:keepLines/>
      <w:spacing w:before="300" w:after="300"/>
    </w:pPr>
    <w:rPr>
      <w:sz w:val="20"/>
      <w:szCs w:val="20"/>
    </w:rPr>
  </w:style>
  <w:style w:type="paragraph" w:styleId="Bibliography">
    <w:name w:val="Bibliography"/>
    <w:basedOn w:val="Normal"/>
    <w:uiPriority w:val="99"/>
    <w:rsid w:val="00B55628"/>
    <w:pPr>
      <w:tabs>
        <w:tab w:val="left" w:pos="384"/>
      </w:tabs>
      <w:spacing w:after="240" w:line="240" w:lineRule="auto"/>
      <w:ind w:left="384" w:hanging="384"/>
    </w:pPr>
  </w:style>
  <w:style w:type="paragraph" w:styleId="BlockText">
    <w:name w:val="Block Text"/>
    <w:basedOn w:val="BodyText"/>
    <w:next w:val="BodyText"/>
    <w:uiPriority w:val="99"/>
    <w:rsid w:val="00B55628"/>
    <w:pPr>
      <w:spacing w:before="100" w:after="100"/>
      <w:ind w:left="480" w:right="480"/>
    </w:pPr>
  </w:style>
  <w:style w:type="paragraph" w:styleId="FootnoteText">
    <w:name w:val="footnote text"/>
    <w:basedOn w:val="Normal"/>
    <w:link w:val="FootnoteTextChar"/>
    <w:uiPriority w:val="99"/>
    <w:rsid w:val="00B55628"/>
  </w:style>
  <w:style w:type="character" w:customStyle="1" w:styleId="FootnoteTextChar">
    <w:name w:val="Footnote Text Char"/>
    <w:basedOn w:val="DefaultParagraphFont"/>
    <w:link w:val="FootnoteText"/>
    <w:uiPriority w:val="99"/>
    <w:locked/>
    <w:rsid w:val="000662DD"/>
    <w:rPr>
      <w:sz w:val="24"/>
      <w:szCs w:val="24"/>
      <w:lang w:val="en-US" w:eastAsia="en-US"/>
    </w:rPr>
  </w:style>
  <w:style w:type="table" w:customStyle="1" w:styleId="Table">
    <w:name w:val="Table"/>
    <w:uiPriority w:val="99"/>
    <w:semiHidden/>
    <w:qFormat/>
    <w:rsid w:val="00DF5695"/>
    <w:pPr>
      <w:spacing w:after="200" w:line="276" w:lineRule="auto"/>
    </w:pPr>
    <w:rPr>
      <w:sz w:val="24"/>
      <w:szCs w:val="24"/>
      <w:lang w:val="en-US" w:eastAsia="en-US"/>
    </w:rPr>
    <w:tblPr>
      <w:tblInd w:w="0" w:type="dxa"/>
      <w:tblCellMar>
        <w:top w:w="0" w:type="dxa"/>
        <w:left w:w="108" w:type="dxa"/>
        <w:bottom w:w="0" w:type="dxa"/>
        <w:right w:w="108" w:type="dxa"/>
      </w:tblCellMar>
    </w:tblPr>
  </w:style>
  <w:style w:type="paragraph" w:customStyle="1" w:styleId="DefinitionTerm">
    <w:name w:val="Definition Term"/>
    <w:basedOn w:val="Normal"/>
    <w:next w:val="Definition"/>
    <w:uiPriority w:val="99"/>
    <w:rsid w:val="00DF5695"/>
    <w:pPr>
      <w:keepNext/>
      <w:keepLines/>
      <w:spacing w:after="0"/>
    </w:pPr>
    <w:rPr>
      <w:b/>
    </w:rPr>
  </w:style>
  <w:style w:type="paragraph" w:customStyle="1" w:styleId="Definition">
    <w:name w:val="Definition"/>
    <w:basedOn w:val="Normal"/>
    <w:uiPriority w:val="99"/>
    <w:rsid w:val="00DF5695"/>
  </w:style>
  <w:style w:type="paragraph" w:styleId="Caption">
    <w:name w:val="caption"/>
    <w:basedOn w:val="Normal"/>
    <w:link w:val="CaptionChar"/>
    <w:uiPriority w:val="99"/>
    <w:qFormat/>
    <w:rsid w:val="00DF5695"/>
    <w:pPr>
      <w:spacing w:after="120"/>
    </w:pPr>
    <w:rPr>
      <w:i/>
    </w:rPr>
  </w:style>
  <w:style w:type="paragraph" w:customStyle="1" w:styleId="TableCaption">
    <w:name w:val="Table Caption"/>
    <w:basedOn w:val="Caption"/>
    <w:uiPriority w:val="99"/>
    <w:rsid w:val="00DF5695"/>
    <w:pPr>
      <w:keepNext/>
    </w:pPr>
  </w:style>
  <w:style w:type="paragraph" w:customStyle="1" w:styleId="ImageCaption">
    <w:name w:val="Image Caption"/>
    <w:basedOn w:val="Caption"/>
    <w:uiPriority w:val="99"/>
    <w:rsid w:val="00DF5695"/>
  </w:style>
  <w:style w:type="paragraph" w:customStyle="1" w:styleId="Figure">
    <w:name w:val="Figure"/>
    <w:basedOn w:val="Normal"/>
    <w:uiPriority w:val="99"/>
    <w:rsid w:val="00DF5695"/>
  </w:style>
  <w:style w:type="paragraph" w:customStyle="1" w:styleId="CaptionedFigure">
    <w:name w:val="Captioned Figure"/>
    <w:basedOn w:val="Figure"/>
    <w:uiPriority w:val="99"/>
    <w:rsid w:val="00DF5695"/>
    <w:pPr>
      <w:keepNext/>
    </w:pPr>
  </w:style>
  <w:style w:type="character" w:customStyle="1" w:styleId="CaptionChar">
    <w:name w:val="Caption Char"/>
    <w:basedOn w:val="DefaultParagraphFont"/>
    <w:link w:val="Caption"/>
    <w:uiPriority w:val="99"/>
    <w:locked/>
    <w:rsid w:val="00DF5695"/>
    <w:rPr>
      <w:rFonts w:cs="Times New Roman"/>
    </w:rPr>
  </w:style>
  <w:style w:type="character" w:customStyle="1" w:styleId="VerbatimChar">
    <w:name w:val="Verbatim Char"/>
    <w:basedOn w:val="CaptionChar"/>
    <w:link w:val="SourceCode"/>
    <w:uiPriority w:val="99"/>
    <w:locked/>
    <w:rsid w:val="00DF5695"/>
    <w:rPr>
      <w:rFonts w:ascii="Consolas" w:hAnsi="Consolas" w:cs="Times New Roman"/>
      <w:sz w:val="22"/>
    </w:rPr>
  </w:style>
  <w:style w:type="character" w:customStyle="1" w:styleId="SectionNumber">
    <w:name w:val="Section Number"/>
    <w:basedOn w:val="CaptionChar"/>
    <w:uiPriority w:val="99"/>
    <w:rsid w:val="00DF5695"/>
    <w:rPr>
      <w:rFonts w:cs="Times New Roman"/>
    </w:rPr>
  </w:style>
  <w:style w:type="character" w:styleId="FootnoteReference">
    <w:name w:val="footnote reference"/>
    <w:basedOn w:val="CaptionChar"/>
    <w:uiPriority w:val="99"/>
    <w:rsid w:val="00DF5695"/>
    <w:rPr>
      <w:rFonts w:cs="Times New Roman"/>
      <w:vertAlign w:val="superscript"/>
    </w:rPr>
  </w:style>
  <w:style w:type="character" w:styleId="Hyperlink">
    <w:name w:val="Hyperlink"/>
    <w:basedOn w:val="CaptionChar"/>
    <w:uiPriority w:val="99"/>
    <w:rsid w:val="001304AB"/>
    <w:rPr>
      <w:rFonts w:cs="Times New Roman"/>
      <w:color w:val="2A216A"/>
    </w:rPr>
  </w:style>
  <w:style w:type="paragraph" w:styleId="TOCHeading">
    <w:name w:val="TOC Heading"/>
    <w:basedOn w:val="Heading1"/>
    <w:next w:val="BodyText"/>
    <w:uiPriority w:val="39"/>
    <w:qFormat/>
    <w:rsid w:val="00B55628"/>
    <w:pPr>
      <w:spacing w:before="240" w:line="259" w:lineRule="auto"/>
      <w:outlineLvl w:val="9"/>
    </w:pPr>
    <w:rPr>
      <w:b w:val="0"/>
      <w:bCs w:val="0"/>
      <w:color w:val="1F184F"/>
    </w:rPr>
  </w:style>
  <w:style w:type="paragraph" w:customStyle="1" w:styleId="SourceCode">
    <w:name w:val="Source Code"/>
    <w:basedOn w:val="Normal"/>
    <w:link w:val="VerbatimChar"/>
    <w:uiPriority w:val="99"/>
    <w:rsid w:val="00DF5695"/>
    <w:pPr>
      <w:wordWrap w:val="0"/>
    </w:pPr>
  </w:style>
  <w:style w:type="character" w:customStyle="1" w:styleId="KeywordTok">
    <w:name w:val="KeywordTok"/>
    <w:basedOn w:val="VerbatimChar"/>
    <w:uiPriority w:val="99"/>
    <w:rsid w:val="00DF5695"/>
    <w:rPr>
      <w:rFonts w:ascii="Consolas" w:hAnsi="Consolas" w:cs="Times New Roman"/>
      <w:b/>
      <w:color w:val="007020"/>
      <w:sz w:val="22"/>
    </w:rPr>
  </w:style>
  <w:style w:type="character" w:customStyle="1" w:styleId="DataTypeTok">
    <w:name w:val="DataTypeTok"/>
    <w:basedOn w:val="VerbatimChar"/>
    <w:uiPriority w:val="99"/>
    <w:rsid w:val="00DF5695"/>
    <w:rPr>
      <w:rFonts w:ascii="Consolas" w:hAnsi="Consolas" w:cs="Times New Roman"/>
      <w:color w:val="902000"/>
      <w:sz w:val="22"/>
    </w:rPr>
  </w:style>
  <w:style w:type="character" w:customStyle="1" w:styleId="DecValTok">
    <w:name w:val="DecValTok"/>
    <w:basedOn w:val="VerbatimChar"/>
    <w:uiPriority w:val="99"/>
    <w:rsid w:val="00DF5695"/>
    <w:rPr>
      <w:rFonts w:ascii="Consolas" w:hAnsi="Consolas" w:cs="Times New Roman"/>
      <w:color w:val="40A070"/>
      <w:sz w:val="22"/>
    </w:rPr>
  </w:style>
  <w:style w:type="character" w:customStyle="1" w:styleId="BaseNTok">
    <w:name w:val="BaseNTok"/>
    <w:basedOn w:val="VerbatimChar"/>
    <w:uiPriority w:val="99"/>
    <w:rsid w:val="00DF5695"/>
    <w:rPr>
      <w:rFonts w:ascii="Consolas" w:hAnsi="Consolas" w:cs="Times New Roman"/>
      <w:color w:val="40A070"/>
      <w:sz w:val="22"/>
    </w:rPr>
  </w:style>
  <w:style w:type="character" w:customStyle="1" w:styleId="FloatTok">
    <w:name w:val="FloatTok"/>
    <w:basedOn w:val="VerbatimChar"/>
    <w:uiPriority w:val="99"/>
    <w:rsid w:val="00DF5695"/>
    <w:rPr>
      <w:rFonts w:ascii="Consolas" w:hAnsi="Consolas" w:cs="Times New Roman"/>
      <w:color w:val="40A070"/>
      <w:sz w:val="22"/>
    </w:rPr>
  </w:style>
  <w:style w:type="character" w:customStyle="1" w:styleId="ConstantTok">
    <w:name w:val="ConstantTok"/>
    <w:basedOn w:val="VerbatimChar"/>
    <w:uiPriority w:val="99"/>
    <w:rsid w:val="00DF5695"/>
    <w:rPr>
      <w:rFonts w:ascii="Consolas" w:hAnsi="Consolas" w:cs="Times New Roman"/>
      <w:color w:val="880000"/>
      <w:sz w:val="22"/>
    </w:rPr>
  </w:style>
  <w:style w:type="character" w:customStyle="1" w:styleId="CharTok">
    <w:name w:val="CharTok"/>
    <w:basedOn w:val="VerbatimChar"/>
    <w:uiPriority w:val="99"/>
    <w:rsid w:val="00DF5695"/>
    <w:rPr>
      <w:rFonts w:ascii="Consolas" w:hAnsi="Consolas" w:cs="Times New Roman"/>
      <w:color w:val="4070A0"/>
      <w:sz w:val="22"/>
    </w:rPr>
  </w:style>
  <w:style w:type="character" w:customStyle="1" w:styleId="SpecialCharTok">
    <w:name w:val="SpecialCharTok"/>
    <w:basedOn w:val="VerbatimChar"/>
    <w:uiPriority w:val="99"/>
    <w:rsid w:val="00DF5695"/>
    <w:rPr>
      <w:rFonts w:ascii="Consolas" w:hAnsi="Consolas" w:cs="Times New Roman"/>
      <w:color w:val="4070A0"/>
      <w:sz w:val="22"/>
    </w:rPr>
  </w:style>
  <w:style w:type="character" w:customStyle="1" w:styleId="StringTok">
    <w:name w:val="StringTok"/>
    <w:basedOn w:val="VerbatimChar"/>
    <w:uiPriority w:val="99"/>
    <w:rsid w:val="00DF5695"/>
    <w:rPr>
      <w:rFonts w:ascii="Consolas" w:hAnsi="Consolas" w:cs="Times New Roman"/>
      <w:color w:val="4070A0"/>
      <w:sz w:val="22"/>
    </w:rPr>
  </w:style>
  <w:style w:type="character" w:customStyle="1" w:styleId="VerbatimStringTok">
    <w:name w:val="VerbatimStringTok"/>
    <w:basedOn w:val="VerbatimChar"/>
    <w:uiPriority w:val="99"/>
    <w:rsid w:val="00DF5695"/>
    <w:rPr>
      <w:rFonts w:ascii="Consolas" w:hAnsi="Consolas" w:cs="Times New Roman"/>
      <w:color w:val="4070A0"/>
      <w:sz w:val="22"/>
    </w:rPr>
  </w:style>
  <w:style w:type="character" w:customStyle="1" w:styleId="SpecialStringTok">
    <w:name w:val="SpecialStringTok"/>
    <w:basedOn w:val="VerbatimChar"/>
    <w:uiPriority w:val="99"/>
    <w:rsid w:val="00DF5695"/>
    <w:rPr>
      <w:rFonts w:ascii="Consolas" w:hAnsi="Consolas" w:cs="Times New Roman"/>
      <w:color w:val="BB6688"/>
      <w:sz w:val="22"/>
    </w:rPr>
  </w:style>
  <w:style w:type="character" w:customStyle="1" w:styleId="ImportTok">
    <w:name w:val="ImportTok"/>
    <w:basedOn w:val="VerbatimChar"/>
    <w:uiPriority w:val="99"/>
    <w:rsid w:val="00DF5695"/>
    <w:rPr>
      <w:rFonts w:ascii="Consolas" w:hAnsi="Consolas" w:cs="Times New Roman"/>
      <w:sz w:val="22"/>
    </w:rPr>
  </w:style>
  <w:style w:type="character" w:customStyle="1" w:styleId="CommentTok">
    <w:name w:val="CommentTok"/>
    <w:basedOn w:val="VerbatimChar"/>
    <w:uiPriority w:val="99"/>
    <w:rsid w:val="00DF5695"/>
    <w:rPr>
      <w:rFonts w:ascii="Consolas" w:hAnsi="Consolas" w:cs="Times New Roman"/>
      <w:i/>
      <w:color w:val="60A0B0"/>
      <w:sz w:val="22"/>
    </w:rPr>
  </w:style>
  <w:style w:type="character" w:customStyle="1" w:styleId="DocumentationTok">
    <w:name w:val="DocumentationTok"/>
    <w:basedOn w:val="VerbatimChar"/>
    <w:uiPriority w:val="99"/>
    <w:rsid w:val="00DF5695"/>
    <w:rPr>
      <w:rFonts w:ascii="Consolas" w:hAnsi="Consolas" w:cs="Times New Roman"/>
      <w:i/>
      <w:color w:val="BA2121"/>
      <w:sz w:val="22"/>
    </w:rPr>
  </w:style>
  <w:style w:type="character" w:customStyle="1" w:styleId="AnnotationTok">
    <w:name w:val="AnnotationTok"/>
    <w:basedOn w:val="VerbatimChar"/>
    <w:uiPriority w:val="99"/>
    <w:rsid w:val="00DF5695"/>
    <w:rPr>
      <w:rFonts w:ascii="Consolas" w:hAnsi="Consolas" w:cs="Times New Roman"/>
      <w:b/>
      <w:i/>
      <w:color w:val="60A0B0"/>
      <w:sz w:val="22"/>
    </w:rPr>
  </w:style>
  <w:style w:type="character" w:customStyle="1" w:styleId="CommentVarTok">
    <w:name w:val="CommentVarTok"/>
    <w:basedOn w:val="VerbatimChar"/>
    <w:uiPriority w:val="99"/>
    <w:rsid w:val="00DF5695"/>
    <w:rPr>
      <w:rFonts w:ascii="Consolas" w:hAnsi="Consolas" w:cs="Times New Roman"/>
      <w:b/>
      <w:i/>
      <w:color w:val="60A0B0"/>
      <w:sz w:val="22"/>
    </w:rPr>
  </w:style>
  <w:style w:type="character" w:customStyle="1" w:styleId="OtherTok">
    <w:name w:val="OtherTok"/>
    <w:basedOn w:val="VerbatimChar"/>
    <w:uiPriority w:val="99"/>
    <w:rsid w:val="00DF5695"/>
    <w:rPr>
      <w:rFonts w:ascii="Consolas" w:hAnsi="Consolas" w:cs="Times New Roman"/>
      <w:color w:val="007020"/>
      <w:sz w:val="22"/>
    </w:rPr>
  </w:style>
  <w:style w:type="character" w:customStyle="1" w:styleId="FunctionTok">
    <w:name w:val="FunctionTok"/>
    <w:basedOn w:val="VerbatimChar"/>
    <w:uiPriority w:val="99"/>
    <w:rsid w:val="00DF5695"/>
    <w:rPr>
      <w:rFonts w:ascii="Consolas" w:hAnsi="Consolas" w:cs="Times New Roman"/>
      <w:color w:val="06287E"/>
      <w:sz w:val="22"/>
    </w:rPr>
  </w:style>
  <w:style w:type="character" w:customStyle="1" w:styleId="VariableTok">
    <w:name w:val="VariableTok"/>
    <w:basedOn w:val="VerbatimChar"/>
    <w:uiPriority w:val="99"/>
    <w:rsid w:val="00DF5695"/>
    <w:rPr>
      <w:rFonts w:ascii="Consolas" w:hAnsi="Consolas" w:cs="Times New Roman"/>
      <w:color w:val="19177C"/>
      <w:sz w:val="22"/>
    </w:rPr>
  </w:style>
  <w:style w:type="character" w:customStyle="1" w:styleId="ControlFlowTok">
    <w:name w:val="ControlFlowTok"/>
    <w:basedOn w:val="VerbatimChar"/>
    <w:uiPriority w:val="99"/>
    <w:rsid w:val="00DF5695"/>
    <w:rPr>
      <w:rFonts w:ascii="Consolas" w:hAnsi="Consolas" w:cs="Times New Roman"/>
      <w:b/>
      <w:color w:val="007020"/>
      <w:sz w:val="22"/>
    </w:rPr>
  </w:style>
  <w:style w:type="character" w:customStyle="1" w:styleId="OperatorTok">
    <w:name w:val="OperatorTok"/>
    <w:basedOn w:val="VerbatimChar"/>
    <w:uiPriority w:val="99"/>
    <w:rsid w:val="00DF5695"/>
    <w:rPr>
      <w:rFonts w:ascii="Consolas" w:hAnsi="Consolas" w:cs="Times New Roman"/>
      <w:color w:val="666666"/>
      <w:sz w:val="22"/>
    </w:rPr>
  </w:style>
  <w:style w:type="character" w:customStyle="1" w:styleId="BuiltInTok">
    <w:name w:val="BuiltInTok"/>
    <w:basedOn w:val="VerbatimChar"/>
    <w:uiPriority w:val="99"/>
    <w:rsid w:val="00DF5695"/>
    <w:rPr>
      <w:rFonts w:ascii="Consolas" w:hAnsi="Consolas" w:cs="Times New Roman"/>
      <w:sz w:val="22"/>
    </w:rPr>
  </w:style>
  <w:style w:type="character" w:customStyle="1" w:styleId="ExtensionTok">
    <w:name w:val="ExtensionTok"/>
    <w:basedOn w:val="VerbatimChar"/>
    <w:uiPriority w:val="99"/>
    <w:rsid w:val="00DF5695"/>
    <w:rPr>
      <w:rFonts w:ascii="Consolas" w:hAnsi="Consolas" w:cs="Times New Roman"/>
      <w:sz w:val="22"/>
    </w:rPr>
  </w:style>
  <w:style w:type="character" w:customStyle="1" w:styleId="PreprocessorTok">
    <w:name w:val="PreprocessorTok"/>
    <w:basedOn w:val="VerbatimChar"/>
    <w:uiPriority w:val="99"/>
    <w:rsid w:val="00DF5695"/>
    <w:rPr>
      <w:rFonts w:ascii="Consolas" w:hAnsi="Consolas" w:cs="Times New Roman"/>
      <w:color w:val="BC7A00"/>
      <w:sz w:val="22"/>
    </w:rPr>
  </w:style>
  <w:style w:type="character" w:customStyle="1" w:styleId="AttributeTok">
    <w:name w:val="AttributeTok"/>
    <w:basedOn w:val="VerbatimChar"/>
    <w:uiPriority w:val="99"/>
    <w:rsid w:val="00DF5695"/>
    <w:rPr>
      <w:rFonts w:ascii="Consolas" w:hAnsi="Consolas" w:cs="Times New Roman"/>
      <w:color w:val="7D9029"/>
      <w:sz w:val="22"/>
    </w:rPr>
  </w:style>
  <w:style w:type="character" w:customStyle="1" w:styleId="RegionMarkerTok">
    <w:name w:val="RegionMarkerTok"/>
    <w:basedOn w:val="VerbatimChar"/>
    <w:uiPriority w:val="99"/>
    <w:rsid w:val="00DF5695"/>
    <w:rPr>
      <w:rFonts w:ascii="Consolas" w:hAnsi="Consolas" w:cs="Times New Roman"/>
      <w:sz w:val="22"/>
    </w:rPr>
  </w:style>
  <w:style w:type="character" w:customStyle="1" w:styleId="InformationTok">
    <w:name w:val="InformationTok"/>
    <w:basedOn w:val="VerbatimChar"/>
    <w:uiPriority w:val="99"/>
    <w:rsid w:val="00DF5695"/>
    <w:rPr>
      <w:rFonts w:ascii="Consolas" w:hAnsi="Consolas" w:cs="Times New Roman"/>
      <w:b/>
      <w:i/>
      <w:color w:val="60A0B0"/>
      <w:sz w:val="22"/>
    </w:rPr>
  </w:style>
  <w:style w:type="character" w:customStyle="1" w:styleId="WarningTok">
    <w:name w:val="WarningTok"/>
    <w:basedOn w:val="VerbatimChar"/>
    <w:uiPriority w:val="99"/>
    <w:rsid w:val="00DF5695"/>
    <w:rPr>
      <w:rFonts w:ascii="Consolas" w:hAnsi="Consolas" w:cs="Times New Roman"/>
      <w:b/>
      <w:i/>
      <w:color w:val="60A0B0"/>
      <w:sz w:val="22"/>
    </w:rPr>
  </w:style>
  <w:style w:type="character" w:customStyle="1" w:styleId="AlertTok">
    <w:name w:val="AlertTok"/>
    <w:basedOn w:val="VerbatimChar"/>
    <w:uiPriority w:val="99"/>
    <w:rsid w:val="00DF5695"/>
    <w:rPr>
      <w:rFonts w:ascii="Consolas" w:hAnsi="Consolas" w:cs="Times New Roman"/>
      <w:b/>
      <w:color w:val="FF0000"/>
      <w:sz w:val="22"/>
    </w:rPr>
  </w:style>
  <w:style w:type="character" w:customStyle="1" w:styleId="ErrorTok">
    <w:name w:val="ErrorTok"/>
    <w:basedOn w:val="VerbatimChar"/>
    <w:uiPriority w:val="99"/>
    <w:rsid w:val="00DF5695"/>
    <w:rPr>
      <w:rFonts w:ascii="Consolas" w:hAnsi="Consolas" w:cs="Times New Roman"/>
      <w:b/>
      <w:color w:val="FF0000"/>
      <w:sz w:val="22"/>
    </w:rPr>
  </w:style>
  <w:style w:type="character" w:customStyle="1" w:styleId="NormalTok">
    <w:name w:val="NormalTok"/>
    <w:basedOn w:val="VerbatimChar"/>
    <w:uiPriority w:val="99"/>
    <w:rsid w:val="00DF5695"/>
    <w:rPr>
      <w:rFonts w:ascii="Consolas" w:hAnsi="Consolas" w:cs="Times New Roman"/>
      <w:sz w:val="22"/>
    </w:rPr>
  </w:style>
  <w:style w:type="paragraph" w:styleId="Revision">
    <w:name w:val="Revision"/>
    <w:hidden/>
    <w:uiPriority w:val="99"/>
    <w:semiHidden/>
    <w:rsid w:val="00B55628"/>
    <w:rPr>
      <w:sz w:val="24"/>
      <w:szCs w:val="24"/>
      <w:lang w:val="en-US" w:eastAsia="en-US"/>
    </w:rPr>
  </w:style>
  <w:style w:type="character" w:customStyle="1" w:styleId="UnresolvedMention1">
    <w:name w:val="Unresolved Mention1"/>
    <w:basedOn w:val="DefaultParagraphFont"/>
    <w:uiPriority w:val="99"/>
    <w:semiHidden/>
    <w:rsid w:val="007D380B"/>
    <w:rPr>
      <w:rFonts w:cs="Times New Roman"/>
      <w:color w:val="605E5C"/>
      <w:shd w:val="clear" w:color="auto" w:fill="E1DFDD"/>
    </w:rPr>
  </w:style>
  <w:style w:type="character" w:styleId="CommentReference">
    <w:name w:val="annotation reference"/>
    <w:basedOn w:val="DefaultParagraphFont"/>
    <w:uiPriority w:val="99"/>
    <w:semiHidden/>
    <w:rsid w:val="00B55628"/>
    <w:rPr>
      <w:rFonts w:cs="Times New Roman"/>
      <w:sz w:val="16"/>
      <w:szCs w:val="16"/>
    </w:rPr>
  </w:style>
  <w:style w:type="paragraph" w:styleId="CommentText">
    <w:name w:val="annotation text"/>
    <w:basedOn w:val="Normal"/>
    <w:link w:val="CommentTextChar"/>
    <w:uiPriority w:val="99"/>
    <w:rsid w:val="00B55628"/>
    <w:pPr>
      <w:spacing w:line="240" w:lineRule="auto"/>
    </w:pPr>
    <w:rPr>
      <w:sz w:val="20"/>
      <w:szCs w:val="20"/>
    </w:rPr>
  </w:style>
  <w:style w:type="character" w:customStyle="1" w:styleId="CommentTextChar">
    <w:name w:val="Comment Text Char"/>
    <w:basedOn w:val="DefaultParagraphFont"/>
    <w:link w:val="CommentText"/>
    <w:uiPriority w:val="99"/>
    <w:locked/>
    <w:rsid w:val="007D380B"/>
    <w:rPr>
      <w:sz w:val="20"/>
      <w:szCs w:val="20"/>
      <w:lang w:val="en-US" w:eastAsia="en-US"/>
    </w:rPr>
  </w:style>
  <w:style w:type="paragraph" w:styleId="CommentSubject">
    <w:name w:val="annotation subject"/>
    <w:basedOn w:val="CommentText"/>
    <w:next w:val="CommentText"/>
    <w:link w:val="CommentSubjectChar"/>
    <w:uiPriority w:val="99"/>
    <w:semiHidden/>
    <w:rsid w:val="00B55628"/>
    <w:rPr>
      <w:b/>
      <w:bCs/>
    </w:rPr>
  </w:style>
  <w:style w:type="character" w:customStyle="1" w:styleId="CommentSubjectChar">
    <w:name w:val="Comment Subject Char"/>
    <w:basedOn w:val="CommentTextChar"/>
    <w:link w:val="CommentSubject"/>
    <w:uiPriority w:val="99"/>
    <w:semiHidden/>
    <w:locked/>
    <w:rsid w:val="007D380B"/>
    <w:rPr>
      <w:b/>
      <w:bCs/>
      <w:sz w:val="20"/>
      <w:szCs w:val="20"/>
      <w:lang w:val="en-US" w:eastAsia="en-US"/>
    </w:rPr>
  </w:style>
  <w:style w:type="paragraph" w:styleId="ListBullet">
    <w:name w:val="List Bullet"/>
    <w:basedOn w:val="Normal"/>
    <w:uiPriority w:val="99"/>
    <w:rsid w:val="00B55628"/>
    <w:pPr>
      <w:numPr>
        <w:numId w:val="10"/>
      </w:numPr>
      <w:tabs>
        <w:tab w:val="num" w:pos="360"/>
      </w:tabs>
      <w:ind w:left="360" w:hanging="360"/>
      <w:contextualSpacing/>
    </w:pPr>
  </w:style>
  <w:style w:type="character" w:customStyle="1" w:styleId="UnresolvedMention10">
    <w:name w:val="Unresolved Mention10"/>
    <w:basedOn w:val="DefaultParagraphFont"/>
    <w:uiPriority w:val="99"/>
    <w:semiHidden/>
    <w:rsid w:val="00B55628"/>
    <w:rPr>
      <w:rFonts w:cs="Times New Roman"/>
      <w:color w:val="605E5C"/>
      <w:shd w:val="clear" w:color="auto" w:fill="E1DFDD"/>
    </w:rPr>
  </w:style>
  <w:style w:type="paragraph" w:styleId="BalloonText">
    <w:name w:val="Balloon Text"/>
    <w:basedOn w:val="Normal"/>
    <w:link w:val="BalloonTextChar"/>
    <w:uiPriority w:val="99"/>
    <w:semiHidden/>
    <w:rsid w:val="00B556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0937D8"/>
    <w:rPr>
      <w:rFonts w:ascii="Segoe UI" w:hAnsi="Segoe UI" w:cs="Segoe UI"/>
      <w:sz w:val="18"/>
      <w:szCs w:val="18"/>
      <w:lang w:val="en-US" w:eastAsia="en-US"/>
    </w:rPr>
  </w:style>
  <w:style w:type="paragraph" w:styleId="Header">
    <w:name w:val="header"/>
    <w:basedOn w:val="Normal"/>
    <w:link w:val="HeaderChar"/>
    <w:uiPriority w:val="99"/>
    <w:rsid w:val="00B5562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0937D8"/>
    <w:rPr>
      <w:sz w:val="24"/>
      <w:szCs w:val="24"/>
      <w:lang w:val="en-US" w:eastAsia="en-US"/>
    </w:rPr>
  </w:style>
  <w:style w:type="paragraph" w:styleId="Footer">
    <w:name w:val="footer"/>
    <w:basedOn w:val="Normal"/>
    <w:link w:val="FooterChar"/>
    <w:uiPriority w:val="99"/>
    <w:rsid w:val="00B55628"/>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0937D8"/>
    <w:rPr>
      <w:sz w:val="24"/>
      <w:szCs w:val="24"/>
      <w:lang w:val="en-US" w:eastAsia="en-US"/>
    </w:rPr>
  </w:style>
  <w:style w:type="table" w:styleId="TableGrid">
    <w:name w:val="Table Grid"/>
    <w:basedOn w:val="TableNormal"/>
    <w:uiPriority w:val="39"/>
    <w:rsid w:val="00FB6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B55628"/>
    <w:pPr>
      <w:ind w:left="720"/>
      <w:contextualSpacing/>
    </w:pPr>
  </w:style>
  <w:style w:type="character" w:styleId="UnresolvedMention">
    <w:name w:val="Unresolved Mention"/>
    <w:basedOn w:val="DefaultParagraphFont"/>
    <w:uiPriority w:val="99"/>
    <w:semiHidden/>
    <w:unhideWhenUsed/>
    <w:rsid w:val="00583625"/>
    <w:rPr>
      <w:color w:val="605E5C"/>
      <w:shd w:val="clear" w:color="auto" w:fill="E1DFDD"/>
    </w:rPr>
  </w:style>
  <w:style w:type="character" w:styleId="FollowedHyperlink">
    <w:name w:val="FollowedHyperlink"/>
    <w:basedOn w:val="DefaultParagraphFont"/>
    <w:locked/>
    <w:rsid w:val="00B55628"/>
    <w:rPr>
      <w:color w:val="800080" w:themeColor="followedHyperlink"/>
      <w:u w:val="single"/>
    </w:rPr>
  </w:style>
  <w:style w:type="character" w:styleId="LineNumber">
    <w:name w:val="line number"/>
    <w:basedOn w:val="DefaultParagraphFont"/>
    <w:uiPriority w:val="99"/>
    <w:semiHidden/>
    <w:unhideWhenUsed/>
    <w:locked/>
    <w:rsid w:val="005957DC"/>
  </w:style>
  <w:style w:type="paragraph" w:styleId="TOC1">
    <w:name w:val="toc 1"/>
    <w:basedOn w:val="Normal"/>
    <w:next w:val="Normal"/>
    <w:autoRedefine/>
    <w:uiPriority w:val="39"/>
    <w:unhideWhenUsed/>
    <w:locked/>
    <w:rsid w:val="00183C65"/>
    <w:pPr>
      <w:tabs>
        <w:tab w:val="right" w:leader="dot" w:pos="9350"/>
      </w:tabs>
      <w:spacing w:after="100"/>
    </w:pPr>
  </w:style>
  <w:style w:type="paragraph" w:styleId="TOC2">
    <w:name w:val="toc 2"/>
    <w:basedOn w:val="Normal"/>
    <w:next w:val="Normal"/>
    <w:autoRedefine/>
    <w:uiPriority w:val="39"/>
    <w:unhideWhenUsed/>
    <w:locked/>
    <w:rsid w:val="00121D18"/>
    <w:pPr>
      <w:spacing w:after="100"/>
      <w:ind w:left="240"/>
    </w:pPr>
  </w:style>
  <w:style w:type="character" w:styleId="PlaceholderText">
    <w:name w:val="Placeholder Text"/>
    <w:basedOn w:val="DefaultParagraphFont"/>
    <w:uiPriority w:val="99"/>
    <w:semiHidden/>
    <w:rsid w:val="00591AE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3679025">
      <w:bodyDiv w:val="1"/>
      <w:marLeft w:val="0"/>
      <w:marRight w:val="0"/>
      <w:marTop w:val="0"/>
      <w:marBottom w:val="0"/>
      <w:divBdr>
        <w:top w:val="none" w:sz="0" w:space="0" w:color="auto"/>
        <w:left w:val="none" w:sz="0" w:space="0" w:color="auto"/>
        <w:bottom w:val="none" w:sz="0" w:space="0" w:color="auto"/>
        <w:right w:val="none" w:sz="0" w:space="0" w:color="auto"/>
      </w:divBdr>
    </w:div>
    <w:div w:id="304555918">
      <w:bodyDiv w:val="1"/>
      <w:marLeft w:val="0"/>
      <w:marRight w:val="0"/>
      <w:marTop w:val="0"/>
      <w:marBottom w:val="0"/>
      <w:divBdr>
        <w:top w:val="none" w:sz="0" w:space="0" w:color="auto"/>
        <w:left w:val="none" w:sz="0" w:space="0" w:color="auto"/>
        <w:bottom w:val="none" w:sz="0" w:space="0" w:color="auto"/>
        <w:right w:val="none" w:sz="0" w:space="0" w:color="auto"/>
      </w:divBdr>
    </w:div>
    <w:div w:id="435104640">
      <w:bodyDiv w:val="1"/>
      <w:marLeft w:val="0"/>
      <w:marRight w:val="0"/>
      <w:marTop w:val="0"/>
      <w:marBottom w:val="0"/>
      <w:divBdr>
        <w:top w:val="none" w:sz="0" w:space="0" w:color="auto"/>
        <w:left w:val="none" w:sz="0" w:space="0" w:color="auto"/>
        <w:bottom w:val="none" w:sz="0" w:space="0" w:color="auto"/>
        <w:right w:val="none" w:sz="0" w:space="0" w:color="auto"/>
      </w:divBdr>
    </w:div>
    <w:div w:id="622422716">
      <w:bodyDiv w:val="1"/>
      <w:marLeft w:val="0"/>
      <w:marRight w:val="0"/>
      <w:marTop w:val="0"/>
      <w:marBottom w:val="0"/>
      <w:divBdr>
        <w:top w:val="none" w:sz="0" w:space="0" w:color="auto"/>
        <w:left w:val="none" w:sz="0" w:space="0" w:color="auto"/>
        <w:bottom w:val="none" w:sz="0" w:space="0" w:color="auto"/>
        <w:right w:val="none" w:sz="0" w:space="0" w:color="auto"/>
      </w:divBdr>
    </w:div>
    <w:div w:id="635724375">
      <w:bodyDiv w:val="1"/>
      <w:marLeft w:val="0"/>
      <w:marRight w:val="0"/>
      <w:marTop w:val="0"/>
      <w:marBottom w:val="0"/>
      <w:divBdr>
        <w:top w:val="none" w:sz="0" w:space="0" w:color="auto"/>
        <w:left w:val="none" w:sz="0" w:space="0" w:color="auto"/>
        <w:bottom w:val="none" w:sz="0" w:space="0" w:color="auto"/>
        <w:right w:val="none" w:sz="0" w:space="0" w:color="auto"/>
      </w:divBdr>
    </w:div>
    <w:div w:id="768890570">
      <w:marLeft w:val="0"/>
      <w:marRight w:val="0"/>
      <w:marTop w:val="0"/>
      <w:marBottom w:val="0"/>
      <w:divBdr>
        <w:top w:val="none" w:sz="0" w:space="0" w:color="auto"/>
        <w:left w:val="none" w:sz="0" w:space="0" w:color="auto"/>
        <w:bottom w:val="none" w:sz="0" w:space="0" w:color="auto"/>
        <w:right w:val="none" w:sz="0" w:space="0" w:color="auto"/>
      </w:divBdr>
    </w:div>
    <w:div w:id="768890571">
      <w:marLeft w:val="0"/>
      <w:marRight w:val="0"/>
      <w:marTop w:val="0"/>
      <w:marBottom w:val="0"/>
      <w:divBdr>
        <w:top w:val="none" w:sz="0" w:space="0" w:color="auto"/>
        <w:left w:val="none" w:sz="0" w:space="0" w:color="auto"/>
        <w:bottom w:val="none" w:sz="0" w:space="0" w:color="auto"/>
        <w:right w:val="none" w:sz="0" w:space="0" w:color="auto"/>
      </w:divBdr>
    </w:div>
    <w:div w:id="768890572">
      <w:marLeft w:val="0"/>
      <w:marRight w:val="0"/>
      <w:marTop w:val="0"/>
      <w:marBottom w:val="0"/>
      <w:divBdr>
        <w:top w:val="none" w:sz="0" w:space="0" w:color="auto"/>
        <w:left w:val="none" w:sz="0" w:space="0" w:color="auto"/>
        <w:bottom w:val="none" w:sz="0" w:space="0" w:color="auto"/>
        <w:right w:val="none" w:sz="0" w:space="0" w:color="auto"/>
      </w:divBdr>
    </w:div>
    <w:div w:id="768890573">
      <w:marLeft w:val="0"/>
      <w:marRight w:val="0"/>
      <w:marTop w:val="0"/>
      <w:marBottom w:val="0"/>
      <w:divBdr>
        <w:top w:val="none" w:sz="0" w:space="0" w:color="auto"/>
        <w:left w:val="none" w:sz="0" w:space="0" w:color="auto"/>
        <w:bottom w:val="none" w:sz="0" w:space="0" w:color="auto"/>
        <w:right w:val="none" w:sz="0" w:space="0" w:color="auto"/>
      </w:divBdr>
      <w:divsChild>
        <w:div w:id="768890577">
          <w:marLeft w:val="0"/>
          <w:marRight w:val="0"/>
          <w:marTop w:val="0"/>
          <w:marBottom w:val="0"/>
          <w:divBdr>
            <w:top w:val="none" w:sz="0" w:space="0" w:color="auto"/>
            <w:left w:val="none" w:sz="0" w:space="0" w:color="auto"/>
            <w:bottom w:val="none" w:sz="0" w:space="0" w:color="auto"/>
            <w:right w:val="none" w:sz="0" w:space="0" w:color="auto"/>
          </w:divBdr>
        </w:div>
      </w:divsChild>
    </w:div>
    <w:div w:id="768890574">
      <w:marLeft w:val="0"/>
      <w:marRight w:val="0"/>
      <w:marTop w:val="0"/>
      <w:marBottom w:val="0"/>
      <w:divBdr>
        <w:top w:val="none" w:sz="0" w:space="0" w:color="auto"/>
        <w:left w:val="none" w:sz="0" w:space="0" w:color="auto"/>
        <w:bottom w:val="none" w:sz="0" w:space="0" w:color="auto"/>
        <w:right w:val="none" w:sz="0" w:space="0" w:color="auto"/>
      </w:divBdr>
      <w:divsChild>
        <w:div w:id="768890569">
          <w:marLeft w:val="0"/>
          <w:marRight w:val="0"/>
          <w:marTop w:val="0"/>
          <w:marBottom w:val="0"/>
          <w:divBdr>
            <w:top w:val="none" w:sz="0" w:space="0" w:color="auto"/>
            <w:left w:val="none" w:sz="0" w:space="0" w:color="auto"/>
            <w:bottom w:val="none" w:sz="0" w:space="0" w:color="auto"/>
            <w:right w:val="none" w:sz="0" w:space="0" w:color="auto"/>
          </w:divBdr>
        </w:div>
      </w:divsChild>
    </w:div>
    <w:div w:id="768890575">
      <w:marLeft w:val="0"/>
      <w:marRight w:val="0"/>
      <w:marTop w:val="0"/>
      <w:marBottom w:val="0"/>
      <w:divBdr>
        <w:top w:val="none" w:sz="0" w:space="0" w:color="auto"/>
        <w:left w:val="none" w:sz="0" w:space="0" w:color="auto"/>
        <w:bottom w:val="none" w:sz="0" w:space="0" w:color="auto"/>
        <w:right w:val="none" w:sz="0" w:space="0" w:color="auto"/>
      </w:divBdr>
    </w:div>
    <w:div w:id="768890576">
      <w:marLeft w:val="0"/>
      <w:marRight w:val="0"/>
      <w:marTop w:val="0"/>
      <w:marBottom w:val="0"/>
      <w:divBdr>
        <w:top w:val="none" w:sz="0" w:space="0" w:color="auto"/>
        <w:left w:val="none" w:sz="0" w:space="0" w:color="auto"/>
        <w:bottom w:val="none" w:sz="0" w:space="0" w:color="auto"/>
        <w:right w:val="none" w:sz="0" w:space="0" w:color="auto"/>
      </w:divBdr>
    </w:div>
    <w:div w:id="901479394">
      <w:bodyDiv w:val="1"/>
      <w:marLeft w:val="0"/>
      <w:marRight w:val="0"/>
      <w:marTop w:val="0"/>
      <w:marBottom w:val="0"/>
      <w:divBdr>
        <w:top w:val="none" w:sz="0" w:space="0" w:color="auto"/>
        <w:left w:val="none" w:sz="0" w:space="0" w:color="auto"/>
        <w:bottom w:val="none" w:sz="0" w:space="0" w:color="auto"/>
        <w:right w:val="none" w:sz="0" w:space="0" w:color="auto"/>
      </w:divBdr>
    </w:div>
    <w:div w:id="1486430640">
      <w:marLeft w:val="0"/>
      <w:marRight w:val="0"/>
      <w:marTop w:val="0"/>
      <w:marBottom w:val="0"/>
      <w:divBdr>
        <w:top w:val="none" w:sz="0" w:space="0" w:color="auto"/>
        <w:left w:val="none" w:sz="0" w:space="0" w:color="auto"/>
        <w:bottom w:val="none" w:sz="0" w:space="0" w:color="auto"/>
        <w:right w:val="none" w:sz="0" w:space="0" w:color="auto"/>
      </w:divBdr>
    </w:div>
    <w:div w:id="1486430641">
      <w:marLeft w:val="0"/>
      <w:marRight w:val="0"/>
      <w:marTop w:val="0"/>
      <w:marBottom w:val="0"/>
      <w:divBdr>
        <w:top w:val="none" w:sz="0" w:space="0" w:color="auto"/>
        <w:left w:val="none" w:sz="0" w:space="0" w:color="auto"/>
        <w:bottom w:val="none" w:sz="0" w:space="0" w:color="auto"/>
        <w:right w:val="none" w:sz="0" w:space="0" w:color="auto"/>
      </w:divBdr>
    </w:div>
    <w:div w:id="1486430642">
      <w:marLeft w:val="0"/>
      <w:marRight w:val="0"/>
      <w:marTop w:val="0"/>
      <w:marBottom w:val="0"/>
      <w:divBdr>
        <w:top w:val="none" w:sz="0" w:space="0" w:color="auto"/>
        <w:left w:val="none" w:sz="0" w:space="0" w:color="auto"/>
        <w:bottom w:val="none" w:sz="0" w:space="0" w:color="auto"/>
        <w:right w:val="none" w:sz="0" w:space="0" w:color="auto"/>
      </w:divBdr>
    </w:div>
    <w:div w:id="1486430643">
      <w:marLeft w:val="0"/>
      <w:marRight w:val="0"/>
      <w:marTop w:val="0"/>
      <w:marBottom w:val="0"/>
      <w:divBdr>
        <w:top w:val="none" w:sz="0" w:space="0" w:color="auto"/>
        <w:left w:val="none" w:sz="0" w:space="0" w:color="auto"/>
        <w:bottom w:val="none" w:sz="0" w:space="0" w:color="auto"/>
        <w:right w:val="none" w:sz="0" w:space="0" w:color="auto"/>
      </w:divBdr>
    </w:div>
    <w:div w:id="1486430645">
      <w:marLeft w:val="0"/>
      <w:marRight w:val="0"/>
      <w:marTop w:val="0"/>
      <w:marBottom w:val="0"/>
      <w:divBdr>
        <w:top w:val="none" w:sz="0" w:space="0" w:color="auto"/>
        <w:left w:val="none" w:sz="0" w:space="0" w:color="auto"/>
        <w:bottom w:val="none" w:sz="0" w:space="0" w:color="auto"/>
        <w:right w:val="none" w:sz="0" w:space="0" w:color="auto"/>
      </w:divBdr>
    </w:div>
    <w:div w:id="1486430646">
      <w:marLeft w:val="0"/>
      <w:marRight w:val="0"/>
      <w:marTop w:val="0"/>
      <w:marBottom w:val="0"/>
      <w:divBdr>
        <w:top w:val="none" w:sz="0" w:space="0" w:color="auto"/>
        <w:left w:val="none" w:sz="0" w:space="0" w:color="auto"/>
        <w:bottom w:val="none" w:sz="0" w:space="0" w:color="auto"/>
        <w:right w:val="none" w:sz="0" w:space="0" w:color="auto"/>
      </w:divBdr>
    </w:div>
    <w:div w:id="1486430647">
      <w:marLeft w:val="0"/>
      <w:marRight w:val="0"/>
      <w:marTop w:val="0"/>
      <w:marBottom w:val="0"/>
      <w:divBdr>
        <w:top w:val="none" w:sz="0" w:space="0" w:color="auto"/>
        <w:left w:val="none" w:sz="0" w:space="0" w:color="auto"/>
        <w:bottom w:val="none" w:sz="0" w:space="0" w:color="auto"/>
        <w:right w:val="none" w:sz="0" w:space="0" w:color="auto"/>
      </w:divBdr>
    </w:div>
    <w:div w:id="1486430648">
      <w:marLeft w:val="0"/>
      <w:marRight w:val="0"/>
      <w:marTop w:val="0"/>
      <w:marBottom w:val="0"/>
      <w:divBdr>
        <w:top w:val="none" w:sz="0" w:space="0" w:color="auto"/>
        <w:left w:val="none" w:sz="0" w:space="0" w:color="auto"/>
        <w:bottom w:val="none" w:sz="0" w:space="0" w:color="auto"/>
        <w:right w:val="none" w:sz="0" w:space="0" w:color="auto"/>
      </w:divBdr>
      <w:divsChild>
        <w:div w:id="1486430652">
          <w:marLeft w:val="0"/>
          <w:marRight w:val="0"/>
          <w:marTop w:val="0"/>
          <w:marBottom w:val="0"/>
          <w:divBdr>
            <w:top w:val="none" w:sz="0" w:space="0" w:color="auto"/>
            <w:left w:val="none" w:sz="0" w:space="0" w:color="auto"/>
            <w:bottom w:val="none" w:sz="0" w:space="0" w:color="auto"/>
            <w:right w:val="none" w:sz="0" w:space="0" w:color="auto"/>
          </w:divBdr>
        </w:div>
      </w:divsChild>
    </w:div>
    <w:div w:id="1486430649">
      <w:marLeft w:val="0"/>
      <w:marRight w:val="0"/>
      <w:marTop w:val="0"/>
      <w:marBottom w:val="0"/>
      <w:divBdr>
        <w:top w:val="none" w:sz="0" w:space="0" w:color="auto"/>
        <w:left w:val="none" w:sz="0" w:space="0" w:color="auto"/>
        <w:bottom w:val="none" w:sz="0" w:space="0" w:color="auto"/>
        <w:right w:val="none" w:sz="0" w:space="0" w:color="auto"/>
      </w:divBdr>
      <w:divsChild>
        <w:div w:id="1486430644">
          <w:marLeft w:val="0"/>
          <w:marRight w:val="0"/>
          <w:marTop w:val="0"/>
          <w:marBottom w:val="0"/>
          <w:divBdr>
            <w:top w:val="none" w:sz="0" w:space="0" w:color="auto"/>
            <w:left w:val="none" w:sz="0" w:space="0" w:color="auto"/>
            <w:bottom w:val="none" w:sz="0" w:space="0" w:color="auto"/>
            <w:right w:val="none" w:sz="0" w:space="0" w:color="auto"/>
          </w:divBdr>
        </w:div>
      </w:divsChild>
    </w:div>
    <w:div w:id="1486430650">
      <w:marLeft w:val="0"/>
      <w:marRight w:val="0"/>
      <w:marTop w:val="0"/>
      <w:marBottom w:val="0"/>
      <w:divBdr>
        <w:top w:val="none" w:sz="0" w:space="0" w:color="auto"/>
        <w:left w:val="none" w:sz="0" w:space="0" w:color="auto"/>
        <w:bottom w:val="none" w:sz="0" w:space="0" w:color="auto"/>
        <w:right w:val="none" w:sz="0" w:space="0" w:color="auto"/>
      </w:divBdr>
    </w:div>
    <w:div w:id="1486430651">
      <w:marLeft w:val="0"/>
      <w:marRight w:val="0"/>
      <w:marTop w:val="0"/>
      <w:marBottom w:val="0"/>
      <w:divBdr>
        <w:top w:val="none" w:sz="0" w:space="0" w:color="auto"/>
        <w:left w:val="none" w:sz="0" w:space="0" w:color="auto"/>
        <w:bottom w:val="none" w:sz="0" w:space="0" w:color="auto"/>
        <w:right w:val="none" w:sz="0" w:space="0" w:color="auto"/>
      </w:divBdr>
    </w:div>
    <w:div w:id="1486430653">
      <w:marLeft w:val="0"/>
      <w:marRight w:val="0"/>
      <w:marTop w:val="0"/>
      <w:marBottom w:val="0"/>
      <w:divBdr>
        <w:top w:val="none" w:sz="0" w:space="0" w:color="auto"/>
        <w:left w:val="none" w:sz="0" w:space="0" w:color="auto"/>
        <w:bottom w:val="none" w:sz="0" w:space="0" w:color="auto"/>
        <w:right w:val="none" w:sz="0" w:space="0" w:color="auto"/>
      </w:divBdr>
    </w:div>
    <w:div w:id="1486430654">
      <w:marLeft w:val="0"/>
      <w:marRight w:val="0"/>
      <w:marTop w:val="0"/>
      <w:marBottom w:val="0"/>
      <w:divBdr>
        <w:top w:val="none" w:sz="0" w:space="0" w:color="auto"/>
        <w:left w:val="none" w:sz="0" w:space="0" w:color="auto"/>
        <w:bottom w:val="none" w:sz="0" w:space="0" w:color="auto"/>
        <w:right w:val="none" w:sz="0" w:space="0" w:color="auto"/>
      </w:divBdr>
    </w:div>
    <w:div w:id="1486430655">
      <w:marLeft w:val="0"/>
      <w:marRight w:val="0"/>
      <w:marTop w:val="0"/>
      <w:marBottom w:val="0"/>
      <w:divBdr>
        <w:top w:val="none" w:sz="0" w:space="0" w:color="auto"/>
        <w:left w:val="none" w:sz="0" w:space="0" w:color="auto"/>
        <w:bottom w:val="none" w:sz="0" w:space="0" w:color="auto"/>
        <w:right w:val="none" w:sz="0" w:space="0" w:color="auto"/>
      </w:divBdr>
      <w:divsChild>
        <w:div w:id="1486430659">
          <w:marLeft w:val="0"/>
          <w:marRight w:val="0"/>
          <w:marTop w:val="0"/>
          <w:marBottom w:val="0"/>
          <w:divBdr>
            <w:top w:val="none" w:sz="0" w:space="0" w:color="auto"/>
            <w:left w:val="none" w:sz="0" w:space="0" w:color="auto"/>
            <w:bottom w:val="none" w:sz="0" w:space="0" w:color="auto"/>
            <w:right w:val="none" w:sz="0" w:space="0" w:color="auto"/>
          </w:divBdr>
        </w:div>
      </w:divsChild>
    </w:div>
    <w:div w:id="1486430656">
      <w:marLeft w:val="0"/>
      <w:marRight w:val="0"/>
      <w:marTop w:val="0"/>
      <w:marBottom w:val="0"/>
      <w:divBdr>
        <w:top w:val="none" w:sz="0" w:space="0" w:color="auto"/>
        <w:left w:val="none" w:sz="0" w:space="0" w:color="auto"/>
        <w:bottom w:val="none" w:sz="0" w:space="0" w:color="auto"/>
        <w:right w:val="none" w:sz="0" w:space="0" w:color="auto"/>
      </w:divBdr>
      <w:divsChild>
        <w:div w:id="1486430639">
          <w:marLeft w:val="0"/>
          <w:marRight w:val="0"/>
          <w:marTop w:val="0"/>
          <w:marBottom w:val="0"/>
          <w:divBdr>
            <w:top w:val="none" w:sz="0" w:space="0" w:color="auto"/>
            <w:left w:val="none" w:sz="0" w:space="0" w:color="auto"/>
            <w:bottom w:val="none" w:sz="0" w:space="0" w:color="auto"/>
            <w:right w:val="none" w:sz="0" w:space="0" w:color="auto"/>
          </w:divBdr>
        </w:div>
      </w:divsChild>
    </w:div>
    <w:div w:id="1486430657">
      <w:marLeft w:val="0"/>
      <w:marRight w:val="0"/>
      <w:marTop w:val="0"/>
      <w:marBottom w:val="0"/>
      <w:divBdr>
        <w:top w:val="none" w:sz="0" w:space="0" w:color="auto"/>
        <w:left w:val="none" w:sz="0" w:space="0" w:color="auto"/>
        <w:bottom w:val="none" w:sz="0" w:space="0" w:color="auto"/>
        <w:right w:val="none" w:sz="0" w:space="0" w:color="auto"/>
      </w:divBdr>
    </w:div>
    <w:div w:id="1486430658">
      <w:marLeft w:val="0"/>
      <w:marRight w:val="0"/>
      <w:marTop w:val="0"/>
      <w:marBottom w:val="0"/>
      <w:divBdr>
        <w:top w:val="none" w:sz="0" w:space="0" w:color="auto"/>
        <w:left w:val="none" w:sz="0" w:space="0" w:color="auto"/>
        <w:bottom w:val="none" w:sz="0" w:space="0" w:color="auto"/>
        <w:right w:val="none" w:sz="0" w:space="0" w:color="auto"/>
      </w:divBdr>
    </w:div>
    <w:div w:id="1486430660">
      <w:marLeft w:val="0"/>
      <w:marRight w:val="0"/>
      <w:marTop w:val="0"/>
      <w:marBottom w:val="0"/>
      <w:divBdr>
        <w:top w:val="none" w:sz="0" w:space="0" w:color="auto"/>
        <w:left w:val="none" w:sz="0" w:space="0" w:color="auto"/>
        <w:bottom w:val="none" w:sz="0" w:space="0" w:color="auto"/>
        <w:right w:val="none" w:sz="0" w:space="0" w:color="auto"/>
      </w:divBdr>
    </w:div>
    <w:div w:id="1555462152">
      <w:bodyDiv w:val="1"/>
      <w:marLeft w:val="0"/>
      <w:marRight w:val="0"/>
      <w:marTop w:val="0"/>
      <w:marBottom w:val="0"/>
      <w:divBdr>
        <w:top w:val="none" w:sz="0" w:space="0" w:color="auto"/>
        <w:left w:val="none" w:sz="0" w:space="0" w:color="auto"/>
        <w:bottom w:val="none" w:sz="0" w:space="0" w:color="auto"/>
        <w:right w:val="none" w:sz="0" w:space="0" w:color="auto"/>
      </w:divBdr>
    </w:div>
    <w:div w:id="1805150962">
      <w:bodyDiv w:val="1"/>
      <w:marLeft w:val="0"/>
      <w:marRight w:val="0"/>
      <w:marTop w:val="0"/>
      <w:marBottom w:val="0"/>
      <w:divBdr>
        <w:top w:val="none" w:sz="0" w:space="0" w:color="auto"/>
        <w:left w:val="none" w:sz="0" w:space="0" w:color="auto"/>
        <w:bottom w:val="none" w:sz="0" w:space="0" w:color="auto"/>
        <w:right w:val="none" w:sz="0" w:space="0" w:color="auto"/>
      </w:divBdr>
      <w:divsChild>
        <w:div w:id="2077626822">
          <w:marLeft w:val="0"/>
          <w:marRight w:val="0"/>
          <w:marTop w:val="0"/>
          <w:marBottom w:val="0"/>
          <w:divBdr>
            <w:top w:val="none" w:sz="0" w:space="0" w:color="auto"/>
            <w:left w:val="none" w:sz="0" w:space="0" w:color="auto"/>
            <w:bottom w:val="none" w:sz="0" w:space="0" w:color="auto"/>
            <w:right w:val="none" w:sz="0" w:space="0" w:color="auto"/>
          </w:divBdr>
        </w:div>
      </w:divsChild>
    </w:div>
    <w:div w:id="1881504263">
      <w:bodyDiv w:val="1"/>
      <w:marLeft w:val="0"/>
      <w:marRight w:val="0"/>
      <w:marTop w:val="0"/>
      <w:marBottom w:val="0"/>
      <w:divBdr>
        <w:top w:val="none" w:sz="0" w:space="0" w:color="auto"/>
        <w:left w:val="none" w:sz="0" w:space="0" w:color="auto"/>
        <w:bottom w:val="none" w:sz="0" w:space="0" w:color="auto"/>
        <w:right w:val="none" w:sz="0" w:space="0" w:color="auto"/>
      </w:divBdr>
      <w:divsChild>
        <w:div w:id="172376502">
          <w:marLeft w:val="0"/>
          <w:marRight w:val="0"/>
          <w:marTop w:val="0"/>
          <w:marBottom w:val="0"/>
          <w:divBdr>
            <w:top w:val="none" w:sz="0" w:space="0" w:color="auto"/>
            <w:left w:val="none" w:sz="0" w:space="0" w:color="auto"/>
            <w:bottom w:val="none" w:sz="0" w:space="0" w:color="auto"/>
            <w:right w:val="none" w:sz="0" w:space="0" w:color="auto"/>
          </w:divBdr>
        </w:div>
      </w:divsChild>
    </w:div>
    <w:div w:id="2031713396">
      <w:bodyDiv w:val="1"/>
      <w:marLeft w:val="0"/>
      <w:marRight w:val="0"/>
      <w:marTop w:val="0"/>
      <w:marBottom w:val="0"/>
      <w:divBdr>
        <w:top w:val="none" w:sz="0" w:space="0" w:color="auto"/>
        <w:left w:val="none" w:sz="0" w:space="0" w:color="auto"/>
        <w:bottom w:val="none" w:sz="0" w:space="0" w:color="auto"/>
        <w:right w:val="none" w:sz="0" w:space="0" w:color="auto"/>
      </w:divBdr>
    </w:div>
    <w:div w:id="2042969483">
      <w:bodyDiv w:val="1"/>
      <w:marLeft w:val="0"/>
      <w:marRight w:val="0"/>
      <w:marTop w:val="0"/>
      <w:marBottom w:val="0"/>
      <w:divBdr>
        <w:top w:val="none" w:sz="0" w:space="0" w:color="auto"/>
        <w:left w:val="none" w:sz="0" w:space="0" w:color="auto"/>
        <w:bottom w:val="none" w:sz="0" w:space="0" w:color="auto"/>
        <w:right w:val="none" w:sz="0" w:space="0" w:color="auto"/>
      </w:divBdr>
    </w:div>
    <w:div w:id="209816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2.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svg"/><Relationship Id="rId2" Type="http://schemas.openxmlformats.org/officeDocument/2006/relationships/numbering" Target="numbering.xml"/><Relationship Id="rId16" Type="http://schemas.openxmlformats.org/officeDocument/2006/relationships/image" Target="media/image5.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4.png"/><Relationship Id="rId10" Type="http://schemas.microsoft.com/office/2016/09/relationships/commentsIds" Target="commentsIds.xml"/><Relationship Id="rId19" Type="http://schemas.openxmlformats.org/officeDocument/2006/relationships/fontTable" Target="fontTable.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F0F200-8071-4973-ABAF-021C14696D03}">
  <ds:schemaRefs>
    <ds:schemaRef ds:uri="http://schemas.openxmlformats.org/officeDocument/2006/bibliography"/>
  </ds:schemaRefs>
</ds:datastoreItem>
</file>

<file path=docMetadata/LabelInfo.xml><?xml version="1.0" encoding="utf-8"?>
<clbl:labelList xmlns:clbl="http://schemas.microsoft.com/office/2020/mipLabelMetadata">
  <clbl:label id="{6a2630e2-1ac5-455e-8217-0156b1936a76}" enabled="1" method="Standard" siteId="{a3927f91-cda1-4696-af89-8c9f1ceffa91}"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2394</Words>
  <Characters>103571</Characters>
  <Application>Microsoft Office Word</Application>
  <DocSecurity>4</DocSecurity>
  <Lines>2526</Lines>
  <Paragraphs>1261</Paragraphs>
  <ScaleCrop>false</ScaleCrop>
  <Company>SUND - KU</Company>
  <LinksUpToDate>false</LinksUpToDate>
  <CharactersWithSpaces>104704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PMHnet-alpha: development and validation of a neural network based discrete-time survival model for mortality prediction in ischemic heart disease</dc:title>
  <dc:subject/>
  <dc:creator>Peter Christoffer Holm1, Amalie Dahl Haue1,2, David Westergaard1, Karina Banasik1, Søren Brunak1,4,✉, and Henning Bundgaard2,3</dc:creator>
  <cp:keywords/>
  <dc:description/>
  <cp:lastModifiedBy>Peter Christoffer Holm</cp:lastModifiedBy>
  <cp:revision>2</cp:revision>
  <dcterms:created xsi:type="dcterms:W3CDTF">2024-05-15T11:08:00Z</dcterms:created>
  <dcterms:modified xsi:type="dcterms:W3CDTF">2024-05-15T11:08:00Z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y fmtid="{D5CDD505-2E9C-101B-9397-08002B2CF9AE}" pid="3" name="citekey_aliases">
    <vt:lpwstr/>
  </property>
  <property fmtid="{D5CDD505-2E9C-101B-9397-08002B2CF9AE}" pid="4" name="csl">
    <vt:lpwstr>references/the-lancet.csl</vt:lpwstr>
  </property>
  <property fmtid="{D5CDD505-2E9C-101B-9397-08002B2CF9AE}" pid="5" name="fignos-plus-name">
    <vt:lpwstr>Figure</vt:lpwstr>
  </property>
  <property fmtid="{D5CDD505-2E9C-101B-9397-08002B2CF9AE}" pid="6" name="fignos-star-name">
    <vt:lpwstr>Figure</vt:lpwstr>
  </property>
  <property fmtid="{D5CDD505-2E9C-101B-9397-08002B2CF9AE}" pid="7" name="manubot-bibliography-cache">
    <vt:lpwstr>references/bibliography.csl.json</vt:lpwstr>
  </property>
  <property fmtid="{D5CDD505-2E9C-101B-9397-08002B2CF9AE}" pid="8" name="references">
    <vt:lpwstr/>
  </property>
  <property fmtid="{D5CDD505-2E9C-101B-9397-08002B2CF9AE}" pid="9" name="tablenos-plus-name">
    <vt:lpwstr>Table</vt:lpwstr>
  </property>
  <property fmtid="{D5CDD505-2E9C-101B-9397-08002B2CF9AE}" pid="10" name="tablenos-star-name">
    <vt:lpwstr>Table</vt:lpwstr>
  </property>
  <property fmtid="{D5CDD505-2E9C-101B-9397-08002B2CF9AE}" pid="11" name="ContentRemapped">
    <vt:lpwstr>true</vt:lpwstr>
  </property>
  <property fmtid="{D5CDD505-2E9C-101B-9397-08002B2CF9AE}" pid="12" name="MSIP_Label_6a2630e2-1ac5-455e-8217-0156b1936a76_Enabled">
    <vt:lpwstr>true</vt:lpwstr>
  </property>
  <property fmtid="{D5CDD505-2E9C-101B-9397-08002B2CF9AE}" pid="13" name="MSIP_Label_6a2630e2-1ac5-455e-8217-0156b1936a76_SetDate">
    <vt:lpwstr>2022-09-05T11:21:33Z</vt:lpwstr>
  </property>
  <property fmtid="{D5CDD505-2E9C-101B-9397-08002B2CF9AE}" pid="14" name="MSIP_Label_6a2630e2-1ac5-455e-8217-0156b1936a76_Method">
    <vt:lpwstr>Standard</vt:lpwstr>
  </property>
  <property fmtid="{D5CDD505-2E9C-101B-9397-08002B2CF9AE}" pid="15" name="MSIP_Label_6a2630e2-1ac5-455e-8217-0156b1936a76_Name">
    <vt:lpwstr>Notclass</vt:lpwstr>
  </property>
  <property fmtid="{D5CDD505-2E9C-101B-9397-08002B2CF9AE}" pid="16" name="MSIP_Label_6a2630e2-1ac5-455e-8217-0156b1936a76_SiteId">
    <vt:lpwstr>a3927f91-cda1-4696-af89-8c9f1ceffa91</vt:lpwstr>
  </property>
  <property fmtid="{D5CDD505-2E9C-101B-9397-08002B2CF9AE}" pid="17" name="MSIP_Label_6a2630e2-1ac5-455e-8217-0156b1936a76_ActionId">
    <vt:lpwstr>9996dd2e-5b59-432a-8990-4950b12a6c12</vt:lpwstr>
  </property>
  <property fmtid="{D5CDD505-2E9C-101B-9397-08002B2CF9AE}" pid="18" name="MSIP_Label_6a2630e2-1ac5-455e-8217-0156b1936a76_ContentBits">
    <vt:lpwstr>0</vt:lpwstr>
  </property>
  <property fmtid="{D5CDD505-2E9C-101B-9397-08002B2CF9AE}" pid="19" name="ZOTERO_PREF_1">
    <vt:lpwstr>&lt;data data-version="3" zotero-version="6.0.26"&gt;&lt;session id="LcgledVp"/&gt;&lt;style id="http://www.zotero.org/styles/vancouver" locale="en-GB" hasBibliography="1" bibliographyStyleHasBeenSet="1"/&gt;&lt;prefs&gt;&lt;pref name="fieldType" value="Field"/&gt;&lt;pref name="automati</vt:lpwstr>
  </property>
  <property fmtid="{D5CDD505-2E9C-101B-9397-08002B2CF9AE}" pid="20" name="ZOTERO_PREF_2">
    <vt:lpwstr>cJournalAbbreviations" value="true"/&gt;&lt;/prefs&gt;&lt;/data&gt;</vt:lpwstr>
  </property>
  <property fmtid="{D5CDD505-2E9C-101B-9397-08002B2CF9AE}" pid="21" name="sdDocumentDate">
    <vt:lpwstr>44932</vt:lpwstr>
  </property>
  <property fmtid="{D5CDD505-2E9C-101B-9397-08002B2CF9AE}" pid="22" name="SD_IntegrationInfoAdded">
    <vt:bool>true</vt:bool>
  </property>
  <property fmtid="{D5CDD505-2E9C-101B-9397-08002B2CF9AE}" pid="23" name="GrammarlyDocumentId">
    <vt:lpwstr>b9458522dced9f5046b994924f36a871b8c7c67ee7e7f159c060345ba6f74e11</vt:lpwstr>
  </property>
</Properties>
</file>