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776" w:tblpY="2126"/>
        <w:tblOverlap w:val="never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8"/>
        <w:gridCol w:w="1852"/>
        <w:gridCol w:w="1688"/>
        <w:gridCol w:w="197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bottom w:val="single" w:color="auto" w:sz="12" w:space="0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Variables</w:t>
            </w:r>
          </w:p>
        </w:tc>
        <w:tc>
          <w:tcPr>
            <w:tcW w:w="1852" w:type="dxa"/>
            <w:tcBorders>
              <w:bottom w:val="single" w:color="auto" w:sz="12" w:space="0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Follow up </w:t>
            </w:r>
          </w:p>
          <w:p>
            <w:pPr>
              <w:ind w:firstLine="420" w:firstLineChars="200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(n=475)</w:t>
            </w:r>
          </w:p>
        </w:tc>
        <w:tc>
          <w:tcPr>
            <w:tcW w:w="1688" w:type="dxa"/>
            <w:tcBorders>
              <w:bottom w:val="single" w:color="auto" w:sz="12" w:space="0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Lost follow up</w:t>
            </w:r>
          </w:p>
          <w:p>
            <w:pPr>
              <w:ind w:firstLine="420" w:firstLineChars="2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(n=145)</w:t>
            </w:r>
          </w:p>
        </w:tc>
        <w:tc>
          <w:tcPr>
            <w:tcW w:w="1974" w:type="dxa"/>
            <w:tcBorders>
              <w:bottom w:val="single" w:color="auto" w:sz="12" w:space="0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op w:val="single" w:color="auto" w:sz="12" w:space="0"/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Age, y</w:t>
            </w:r>
          </w:p>
        </w:tc>
        <w:tc>
          <w:tcPr>
            <w:tcW w:w="1852" w:type="dxa"/>
            <w:tcBorders>
              <w:top w:val="single" w:color="auto" w:sz="12" w:space="0"/>
              <w:tl2br w:val="nil"/>
              <w:tr2bl w:val="nil"/>
            </w:tcBorders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68.97±7.269</w:t>
            </w:r>
          </w:p>
        </w:tc>
        <w:tc>
          <w:tcPr>
            <w:tcW w:w="1688" w:type="dxa"/>
            <w:tcBorders>
              <w:top w:val="single" w:color="auto" w:sz="12" w:space="0"/>
              <w:tl2br w:val="nil"/>
              <w:tr2bl w:val="nil"/>
            </w:tcBorders>
          </w:tcPr>
          <w:p>
            <w:pPr>
              <w:ind w:firstLine="210" w:firstLineChars="1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69.99±8.392</w:t>
            </w:r>
          </w:p>
        </w:tc>
        <w:tc>
          <w:tcPr>
            <w:tcW w:w="1974" w:type="dxa"/>
            <w:tcBorders>
              <w:top w:val="single" w:color="auto" w:sz="12" w:space="0"/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0.154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Education, y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 xml:space="preserve"> 11.46</w:t>
            </w:r>
            <w:r>
              <w:rPr>
                <w:rFonts w:hint="eastAsia"/>
                <w:vertAlign w:val="baseline"/>
                <w:lang w:val="en-US" w:eastAsia="zh-CN"/>
              </w:rPr>
              <w:t>±3.482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11.06±3.188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0.211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Male, n(%)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 xml:space="preserve"> 172(36.2)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52(35.9)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Smoker, n(%)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 xml:space="preserve"> 96(20.2)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23(15.9)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0.279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Drinker, n(%)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 xml:space="preserve"> 84(17.7)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21(14.5)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0.448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Tea drinker, n(%)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 xml:space="preserve"> 252(53.1)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63(43.4)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0.047*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Take exercise, n(%)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 xml:space="preserve"> 340(71.6)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101(69.7)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0.676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Hobby, n(%)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 xml:space="preserve"> 364(76.6)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109(76.2)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0.911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Hypertension, n(%)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cstheme="minorBidi"/>
                <w:color w:val="000000" w:themeColor="text1"/>
                <w:kern w:val="2"/>
                <w:sz w:val="21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Bidi"/>
                <w:color w:val="000000" w:themeColor="text1"/>
                <w:kern w:val="2"/>
                <w:sz w:val="21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251(52.8)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17(11.7)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&lt;0.001*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Diabetes, n(%)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cstheme="minorBidi"/>
                <w:color w:val="000000" w:themeColor="text1"/>
                <w:kern w:val="2"/>
                <w:sz w:val="21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Bidi"/>
                <w:color w:val="000000" w:themeColor="text1"/>
                <w:kern w:val="2"/>
                <w:sz w:val="21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96(20.2)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7(4.8)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&lt;0.001*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Coronary heart disease, n(%)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cstheme="minorBidi"/>
                <w:color w:val="000000" w:themeColor="text1"/>
                <w:kern w:val="2"/>
                <w:sz w:val="21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Bidi"/>
                <w:color w:val="000000" w:themeColor="text1"/>
                <w:kern w:val="2"/>
                <w:sz w:val="21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77(16.2)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6(4.1)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&lt;0.001*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Hyperlipidemia, n(%)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cstheme="minorBidi"/>
                <w:color w:val="000000" w:themeColor="text1"/>
                <w:kern w:val="2"/>
                <w:sz w:val="21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Bidi"/>
                <w:color w:val="000000" w:themeColor="text1"/>
                <w:kern w:val="2"/>
                <w:sz w:val="21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152(32.0)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8(5.5)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&lt;0.001*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Cerebral hemorrhage, n(%)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cstheme="minorBidi"/>
                <w:color w:val="000000" w:themeColor="text1"/>
                <w:kern w:val="2"/>
                <w:sz w:val="21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Bidi"/>
                <w:color w:val="000000" w:themeColor="text1"/>
                <w:kern w:val="2"/>
                <w:sz w:val="21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10(2.1)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0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0.127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Cerebral infarction, n(%)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cstheme="minorBidi"/>
                <w:color w:val="000000" w:themeColor="text1"/>
                <w:kern w:val="2"/>
                <w:sz w:val="21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Bidi"/>
                <w:color w:val="000000" w:themeColor="text1"/>
                <w:kern w:val="2"/>
                <w:sz w:val="21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58(12.2)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3(2.1)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&lt;0.001*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Depression, n(%)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cstheme="minorBidi"/>
                <w:color w:val="000000" w:themeColor="text1"/>
                <w:kern w:val="2"/>
                <w:sz w:val="21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Bidi"/>
                <w:color w:val="000000" w:themeColor="text1"/>
                <w:kern w:val="2"/>
                <w:sz w:val="21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11(2.3)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0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0.076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bookmarkStart w:id="0" w:name="OLE_LINK1" w:colFirst="0" w:colLast="0"/>
            <w:r>
              <w:rPr>
                <w:rFonts w:hint="eastAsia"/>
                <w:vertAlign w:val="baseline"/>
                <w:lang w:val="en-US" w:eastAsia="zh-CN"/>
              </w:rPr>
              <w:t>Eat rice weekly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14.35</w:t>
            </w:r>
            <w:r>
              <w:rPr>
                <w:rFonts w:hint="eastAsia"/>
                <w:vertAlign w:val="baseline"/>
                <w:lang w:val="en-US" w:eastAsia="zh-CN"/>
              </w:rPr>
              <w:t>±5.020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15.00±5.433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0.180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Eat bread weekly 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7.10</w:t>
            </w:r>
            <w:r>
              <w:rPr>
                <w:rFonts w:hint="eastAsia"/>
                <w:vertAlign w:val="baseline"/>
                <w:lang w:val="en-US" w:eastAsia="zh-CN"/>
              </w:rPr>
              <w:t>±1.275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7.00±0.000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0.724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Eat fruits weekly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8.16</w:t>
            </w:r>
            <w:r>
              <w:rPr>
                <w:rFonts w:hint="eastAsia"/>
                <w:vertAlign w:val="baseline"/>
                <w:lang w:val="en-US" w:eastAsia="zh-CN"/>
              </w:rPr>
              <w:t>±3.070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7.90±2.774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0.467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Eat orange vegetables weekly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7.91</w:t>
            </w:r>
            <w:r>
              <w:rPr>
                <w:rFonts w:hint="eastAsia"/>
                <w:vertAlign w:val="baseline"/>
                <w:lang w:val="en-US" w:eastAsia="zh-CN"/>
              </w:rPr>
              <w:t>±2.567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7.97±2.455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0.900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Eat green vegetables weekly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3.95</w:t>
            </w:r>
            <w:r>
              <w:rPr>
                <w:rFonts w:hint="eastAsia"/>
                <w:vertAlign w:val="baseline"/>
                <w:lang w:val="en-US" w:eastAsia="zh-CN"/>
              </w:rPr>
              <w:t>±1.529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3.79±1.584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0.705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Eat fish weekly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2.74</w:t>
            </w:r>
            <w:r>
              <w:rPr>
                <w:rFonts w:hint="eastAsia"/>
                <w:vertAlign w:val="baseline"/>
                <w:lang w:val="en-US" w:eastAsia="zh-CN"/>
              </w:rPr>
              <w:t>±1.171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2.54±1.106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0.105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Eat tofu weekly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2.15</w:t>
            </w:r>
            <w:r>
              <w:rPr>
                <w:rFonts w:hint="eastAsia"/>
                <w:vertAlign w:val="baseline"/>
                <w:lang w:val="en-US" w:eastAsia="zh-CN"/>
              </w:rPr>
              <w:t>±1.159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2.07±1.130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0.571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Eat white meat weekly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1.92</w:t>
            </w:r>
            <w:r>
              <w:rPr>
                <w:rFonts w:hint="eastAsia"/>
                <w:vertAlign w:val="baseline"/>
                <w:lang w:val="en-US" w:eastAsia="zh-CN"/>
              </w:rPr>
              <w:t>±1.138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2.03±1.273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0.504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Eat red meat weekly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2.29</w:t>
            </w:r>
            <w:r>
              <w:rPr>
                <w:rFonts w:hint="eastAsia"/>
                <w:vertAlign w:val="baseline"/>
                <w:lang w:val="en-US" w:eastAsia="zh-CN"/>
              </w:rPr>
              <w:t>±1.314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2.49±1.354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0.290</w:t>
            </w:r>
          </w:p>
        </w:tc>
      </w:tr>
      <w:bookmarkEnd w:id="0"/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MoCA</w:t>
            </w:r>
          </w:p>
        </w:tc>
        <w:tc>
          <w:tcPr>
            <w:tcW w:w="1852" w:type="dxa"/>
            <w:tcBorders>
              <w:tl2br w:val="nil"/>
              <w:tr2bl w:val="nil"/>
            </w:tcBorders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24.67±2.993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23.72±3.287</w:t>
            </w:r>
          </w:p>
        </w:tc>
        <w:tc>
          <w:tcPr>
            <w:tcW w:w="1974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0.001*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Supplementary 1</w:t>
      </w: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 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.comparison of general </w:t>
      </w:r>
      <w:r>
        <w:rPr>
          <w:rFonts w:hint="eastAsia"/>
          <w:lang w:val="en-US" w:eastAsia="zh-CN"/>
        </w:rPr>
        <w:t>demographic data between follow-up and lost follow up population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DB6ED2"/>
    <w:rsid w:val="119B62FE"/>
    <w:rsid w:val="13870525"/>
    <w:rsid w:val="223F6E8F"/>
    <w:rsid w:val="23A953AE"/>
    <w:rsid w:val="255F111A"/>
    <w:rsid w:val="2E081690"/>
    <w:rsid w:val="3043253F"/>
    <w:rsid w:val="35DE0CF7"/>
    <w:rsid w:val="365B3B6B"/>
    <w:rsid w:val="49454093"/>
    <w:rsid w:val="4CB26C55"/>
    <w:rsid w:val="744B13AE"/>
    <w:rsid w:val="79CC6762"/>
    <w:rsid w:val="7A5731F4"/>
    <w:rsid w:val="7A7C0A50"/>
    <w:rsid w:val="7FC72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2020-07-17T08:29:00Z</dcterms:created>
  <dc:creator>Mac</dc:creator>
  <cp:lastModifiedBy>李伟</cp:lastModifiedBy>
  <dcterms:modified xsi:type="dcterms:W3CDTF">2021-01-13T06:25:30Z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