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7CB0C" w14:textId="77777777" w:rsidR="002C3786" w:rsidRPr="003258C4" w:rsidRDefault="002C3786" w:rsidP="002C3786">
      <w:pPr>
        <w:spacing w:line="360" w:lineRule="auto"/>
        <w:rPr>
          <w:b/>
          <w:bCs/>
          <w:lang w:val="en-AU"/>
        </w:rPr>
      </w:pPr>
      <w:r w:rsidRPr="003258C4">
        <w:rPr>
          <w:b/>
          <w:bCs/>
          <w:lang w:val="en-AU"/>
        </w:rPr>
        <w:t xml:space="preserve">Gaps in the usage and reporting of multiple imputation for incomplete data: </w:t>
      </w:r>
      <w:r>
        <w:rPr>
          <w:b/>
          <w:bCs/>
          <w:lang w:val="en-AU"/>
        </w:rPr>
        <w:t>F</w:t>
      </w:r>
      <w:r w:rsidRPr="003258C4">
        <w:rPr>
          <w:b/>
          <w:bCs/>
          <w:lang w:val="en-AU"/>
        </w:rPr>
        <w:t xml:space="preserve">indings from a scoping review of observational studies addressing causal </w:t>
      </w:r>
      <w:proofErr w:type="gramStart"/>
      <w:r w:rsidRPr="003258C4">
        <w:rPr>
          <w:b/>
          <w:bCs/>
          <w:lang w:val="en-AU"/>
        </w:rPr>
        <w:t>questions</w:t>
      </w:r>
      <w:proofErr w:type="gramEnd"/>
    </w:p>
    <w:p w14:paraId="606A47AB" w14:textId="6C9CC9A0" w:rsidR="0033637D" w:rsidRPr="00641913" w:rsidRDefault="00810CD4" w:rsidP="000E2AA6">
      <w:pPr>
        <w:spacing w:line="360" w:lineRule="auto"/>
        <w:rPr>
          <w:b/>
          <w:bCs/>
          <w:lang w:val="en-AU"/>
        </w:rPr>
      </w:pPr>
      <w:r>
        <w:rPr>
          <w:b/>
          <w:bCs/>
          <w:lang w:val="en-AU"/>
        </w:rPr>
        <w:t>Additional file 1</w:t>
      </w:r>
    </w:p>
    <w:p w14:paraId="684C65B4" w14:textId="5175684D" w:rsidR="0033637D" w:rsidRDefault="0033637D" w:rsidP="0033637D">
      <w:pPr>
        <w:spacing w:line="360" w:lineRule="auto"/>
        <w:rPr>
          <w:vertAlign w:val="superscript"/>
          <w:lang w:val="en-AU"/>
        </w:rPr>
      </w:pPr>
      <w:r>
        <w:rPr>
          <w:lang w:val="en-AU"/>
        </w:rPr>
        <w:t>Rheanna M. Mainzer*</w:t>
      </w:r>
      <w:r>
        <w:rPr>
          <w:vertAlign w:val="superscript"/>
          <w:lang w:val="en-AU"/>
        </w:rPr>
        <w:t>1,2</w:t>
      </w:r>
      <w:r>
        <w:rPr>
          <w:lang w:val="en-AU"/>
        </w:rPr>
        <w:t>, Margarita Moreno-Betancur</w:t>
      </w:r>
      <w:r>
        <w:rPr>
          <w:vertAlign w:val="superscript"/>
          <w:lang w:val="en-AU"/>
        </w:rPr>
        <w:t>1,2</w:t>
      </w:r>
      <w:r>
        <w:rPr>
          <w:lang w:val="en-AU"/>
        </w:rPr>
        <w:t>, Cattram D. Nguyen</w:t>
      </w:r>
      <w:r>
        <w:rPr>
          <w:vertAlign w:val="superscript"/>
          <w:lang w:val="en-AU"/>
        </w:rPr>
        <w:t>1,2</w:t>
      </w:r>
      <w:r>
        <w:rPr>
          <w:lang w:val="en-AU"/>
        </w:rPr>
        <w:t>, Julie A. Simpson</w:t>
      </w:r>
      <w:r>
        <w:rPr>
          <w:vertAlign w:val="superscript"/>
          <w:lang w:val="en-AU"/>
        </w:rPr>
        <w:t>3</w:t>
      </w:r>
      <w:r w:rsidR="00A86DCD">
        <w:rPr>
          <w:vertAlign w:val="superscript"/>
          <w:lang w:val="en-AU"/>
        </w:rPr>
        <w:t>,4</w:t>
      </w:r>
      <w:r>
        <w:rPr>
          <w:lang w:val="en-AU"/>
        </w:rPr>
        <w:t>, John B. Carlin</w:t>
      </w:r>
      <w:r>
        <w:rPr>
          <w:vertAlign w:val="superscript"/>
          <w:lang w:val="en-AU"/>
        </w:rPr>
        <w:t>1,3</w:t>
      </w:r>
      <w:r>
        <w:rPr>
          <w:lang w:val="en-AU"/>
        </w:rPr>
        <w:t>, Katherine J. Lee</w:t>
      </w:r>
      <w:r>
        <w:rPr>
          <w:vertAlign w:val="superscript"/>
          <w:lang w:val="en-AU"/>
        </w:rPr>
        <w:t>1,2</w:t>
      </w:r>
    </w:p>
    <w:p w14:paraId="55E68A86" w14:textId="77777777" w:rsidR="0033637D" w:rsidRDefault="0033637D" w:rsidP="0033637D">
      <w:pPr>
        <w:spacing w:line="360" w:lineRule="auto"/>
        <w:rPr>
          <w:lang w:val="en-AU"/>
        </w:rPr>
      </w:pPr>
      <w:r>
        <w:rPr>
          <w:vertAlign w:val="superscript"/>
          <w:lang w:val="en-AU"/>
        </w:rPr>
        <w:t>1</w:t>
      </w:r>
      <w:r>
        <w:rPr>
          <w:lang w:val="en-AU"/>
        </w:rPr>
        <w:t>Clinical Epidemiology and Biostatistics Unit, Murdoch Children’s Research Institute, Parkville, Victoria 3052, Australia</w:t>
      </w:r>
    </w:p>
    <w:p w14:paraId="085D123F" w14:textId="77777777" w:rsidR="0033637D" w:rsidRDefault="0033637D" w:rsidP="0033637D">
      <w:pPr>
        <w:spacing w:line="360" w:lineRule="auto"/>
        <w:rPr>
          <w:lang w:val="en-AU"/>
        </w:rPr>
      </w:pPr>
      <w:r>
        <w:rPr>
          <w:vertAlign w:val="superscript"/>
          <w:lang w:val="en-AU"/>
        </w:rPr>
        <w:t>2</w:t>
      </w:r>
      <w:r>
        <w:rPr>
          <w:lang w:val="en-AU"/>
        </w:rPr>
        <w:t>Department of Paediatrics, The University of Melbourne, Parkville, Victoria 3052, Australia</w:t>
      </w:r>
    </w:p>
    <w:p w14:paraId="7591AD03" w14:textId="77777777" w:rsidR="0033637D" w:rsidRDefault="0033637D" w:rsidP="0033637D">
      <w:pPr>
        <w:spacing w:line="360" w:lineRule="auto"/>
        <w:rPr>
          <w:lang w:val="en-AU"/>
        </w:rPr>
      </w:pPr>
      <w:r>
        <w:rPr>
          <w:vertAlign w:val="superscript"/>
          <w:lang w:val="en-AU"/>
        </w:rPr>
        <w:t>3</w:t>
      </w:r>
      <w:r>
        <w:rPr>
          <w:lang w:val="en-AU"/>
        </w:rPr>
        <w:t>Centre for Epidemiology and Biostatistics, Melbourne School of Population and Global Health, The University of Melbourne, Parkville, Victoria 3052, Australia</w:t>
      </w:r>
    </w:p>
    <w:p w14:paraId="7C93E201" w14:textId="157D9A2C" w:rsidR="00A86DCD" w:rsidRDefault="00A86DCD" w:rsidP="0033637D">
      <w:pPr>
        <w:spacing w:line="360" w:lineRule="auto"/>
        <w:rPr>
          <w:lang w:val="en-AU"/>
        </w:rPr>
      </w:pPr>
      <w:r w:rsidRPr="00D057E5">
        <w:rPr>
          <w:vertAlign w:val="superscript"/>
          <w:lang w:val="en-AU"/>
        </w:rPr>
        <w:t>4</w:t>
      </w:r>
      <w:r w:rsidRPr="41440BD3">
        <w:rPr>
          <w:lang w:val="en-AU"/>
        </w:rPr>
        <w:t>Nuffield Department of Medicine, University of Oxford, Oxford, UK</w:t>
      </w:r>
    </w:p>
    <w:p w14:paraId="70A739C8" w14:textId="13330C60" w:rsidR="0033637D" w:rsidRDefault="0033637D" w:rsidP="0033637D">
      <w:pPr>
        <w:spacing w:line="360" w:lineRule="auto"/>
        <w:rPr>
          <w:lang w:val="en-AU"/>
        </w:rPr>
      </w:pPr>
      <w:r>
        <w:rPr>
          <w:lang w:val="en-AU"/>
        </w:rPr>
        <w:t xml:space="preserve">*Corresponding author: </w:t>
      </w:r>
      <w:hyperlink r:id="rId5" w:history="1">
        <w:r w:rsidR="00220A3D" w:rsidRPr="006E1858">
          <w:rPr>
            <w:rStyle w:val="Hyperlink"/>
            <w:lang w:val="en-AU"/>
          </w:rPr>
          <w:t>rheanna.mainzer@unimelb.edu.au</w:t>
        </w:r>
      </w:hyperlink>
    </w:p>
    <w:p w14:paraId="5A60AADC" w14:textId="77777777" w:rsidR="0033637D" w:rsidRDefault="0033637D" w:rsidP="0033637D">
      <w:pPr>
        <w:spacing w:line="360" w:lineRule="auto"/>
        <w:rPr>
          <w:vertAlign w:val="superscript"/>
          <w:lang w:val="en-AU"/>
        </w:rPr>
      </w:pPr>
    </w:p>
    <w:p w14:paraId="1DC5DA9A" w14:textId="580E4F4D" w:rsidR="008D293B" w:rsidRDefault="00755152" w:rsidP="008D293B">
      <w:pPr>
        <w:spacing w:line="360" w:lineRule="auto"/>
        <w:rPr>
          <w:b/>
          <w:bCs/>
          <w:lang w:val="en-AU"/>
        </w:rPr>
      </w:pPr>
      <w:r>
        <w:rPr>
          <w:b/>
          <w:bCs/>
          <w:lang w:val="en-AU"/>
        </w:rPr>
        <w:t>Contents:</w:t>
      </w:r>
    </w:p>
    <w:p w14:paraId="36BBF610" w14:textId="7CD7782F" w:rsidR="00755152" w:rsidRPr="00755152" w:rsidRDefault="00A42A70" w:rsidP="00755152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AU"/>
        </w:rPr>
      </w:pPr>
      <w:r>
        <w:rPr>
          <w:lang w:val="en-AU"/>
        </w:rPr>
        <w:t>C</w:t>
      </w:r>
      <w:r w:rsidR="00755152">
        <w:rPr>
          <w:lang w:val="en-AU"/>
        </w:rPr>
        <w:t>hanges to review protocol</w:t>
      </w:r>
    </w:p>
    <w:p w14:paraId="6E5EC530" w14:textId="11F03EED" w:rsidR="00755152" w:rsidRPr="00755152" w:rsidRDefault="00A42A70" w:rsidP="00755152">
      <w:pPr>
        <w:pStyle w:val="ListParagraph"/>
        <w:numPr>
          <w:ilvl w:val="0"/>
          <w:numId w:val="10"/>
        </w:numPr>
        <w:spacing w:line="360" w:lineRule="auto"/>
        <w:rPr>
          <w:b/>
          <w:bCs/>
          <w:lang w:val="en-AU"/>
        </w:rPr>
      </w:pPr>
      <w:r>
        <w:rPr>
          <w:lang w:val="en-AU"/>
        </w:rPr>
        <w:t>Supplementary Table 1: Description of the primary and secondary analyses when studies performed more than one secondary analysis.</w:t>
      </w:r>
    </w:p>
    <w:p w14:paraId="44818265" w14:textId="77777777" w:rsidR="002C3786" w:rsidRDefault="002C3786">
      <w:pPr>
        <w:rPr>
          <w:b/>
          <w:bCs/>
          <w:lang w:val="en-AU"/>
        </w:rPr>
      </w:pPr>
      <w:r>
        <w:rPr>
          <w:b/>
          <w:bCs/>
          <w:lang w:val="en-AU"/>
        </w:rPr>
        <w:br w:type="page"/>
      </w:r>
    </w:p>
    <w:p w14:paraId="6043A6A5" w14:textId="5197B82D" w:rsidR="008D293B" w:rsidRDefault="008D293B" w:rsidP="00AA5166">
      <w:pPr>
        <w:spacing w:line="360" w:lineRule="auto"/>
        <w:rPr>
          <w:b/>
          <w:bCs/>
          <w:lang w:val="en-AU"/>
        </w:rPr>
      </w:pPr>
      <w:r w:rsidRPr="00AA5166">
        <w:rPr>
          <w:b/>
          <w:bCs/>
          <w:lang w:val="en-AU"/>
        </w:rPr>
        <w:lastRenderedPageBreak/>
        <w:t xml:space="preserve">Changes to </w:t>
      </w:r>
      <w:r w:rsidR="00FD5FB1">
        <w:rPr>
          <w:b/>
          <w:bCs/>
          <w:lang w:val="en-AU"/>
        </w:rPr>
        <w:t xml:space="preserve">review </w:t>
      </w:r>
      <w:r w:rsidRPr="00AA5166">
        <w:rPr>
          <w:b/>
          <w:bCs/>
          <w:lang w:val="en-AU"/>
        </w:rPr>
        <w:t>protocol</w:t>
      </w:r>
    </w:p>
    <w:p w14:paraId="394AA82E" w14:textId="40896D31" w:rsidR="004B337E" w:rsidRDefault="004B337E" w:rsidP="009B5E1E">
      <w:pPr>
        <w:pStyle w:val="ListParagraph"/>
        <w:numPr>
          <w:ilvl w:val="0"/>
          <w:numId w:val="7"/>
        </w:numPr>
        <w:spacing w:line="360" w:lineRule="auto"/>
        <w:rPr>
          <w:lang w:val="en-AU"/>
        </w:rPr>
      </w:pPr>
      <w:r w:rsidRPr="009B5E1E">
        <w:rPr>
          <w:lang w:val="en-AU"/>
        </w:rPr>
        <w:t xml:space="preserve">Exclusion criteria </w:t>
      </w:r>
      <w:r w:rsidR="00C126ED">
        <w:rPr>
          <w:lang w:val="en-AU"/>
        </w:rPr>
        <w:t xml:space="preserve">were </w:t>
      </w:r>
      <w:r w:rsidRPr="009B5E1E">
        <w:rPr>
          <w:lang w:val="en-AU"/>
        </w:rPr>
        <w:t xml:space="preserve">expanded to include </w:t>
      </w:r>
      <w:r w:rsidR="009B5E1E" w:rsidRPr="009B5E1E">
        <w:rPr>
          <w:lang w:val="en-AU"/>
        </w:rPr>
        <w:t>retracted articles</w:t>
      </w:r>
      <w:r w:rsidR="00055666">
        <w:rPr>
          <w:lang w:val="en-AU"/>
        </w:rPr>
        <w:t>.</w:t>
      </w:r>
    </w:p>
    <w:p w14:paraId="59B321B9" w14:textId="7B24751D" w:rsidR="00DC1707" w:rsidRDefault="007662C9" w:rsidP="009B5E1E">
      <w:pPr>
        <w:pStyle w:val="ListParagraph"/>
        <w:numPr>
          <w:ilvl w:val="0"/>
          <w:numId w:val="7"/>
        </w:numPr>
        <w:spacing w:line="360" w:lineRule="auto"/>
        <w:rPr>
          <w:lang w:val="en-AU"/>
        </w:rPr>
      </w:pPr>
      <w:r>
        <w:rPr>
          <w:lang w:val="en-AU"/>
        </w:rPr>
        <w:t>The following a</w:t>
      </w:r>
      <w:r w:rsidR="00DC1707">
        <w:rPr>
          <w:lang w:val="en-AU"/>
        </w:rPr>
        <w:t xml:space="preserve">dditional items were extracted during a systematic check of the </w:t>
      </w:r>
      <w:r>
        <w:rPr>
          <w:lang w:val="en-AU"/>
        </w:rPr>
        <w:t>extracted data:</w:t>
      </w:r>
    </w:p>
    <w:p w14:paraId="44340D66" w14:textId="37F86258" w:rsidR="009B5E1E" w:rsidRDefault="00DC1707" w:rsidP="00DC1707">
      <w:pPr>
        <w:pStyle w:val="ListParagraph"/>
        <w:numPr>
          <w:ilvl w:val="1"/>
          <w:numId w:val="7"/>
        </w:numPr>
        <w:spacing w:line="360" w:lineRule="auto"/>
        <w:rPr>
          <w:lang w:val="en-AU"/>
        </w:rPr>
      </w:pPr>
      <w:r>
        <w:rPr>
          <w:lang w:val="en-AU"/>
        </w:rPr>
        <w:t xml:space="preserve">What type of outcome was used for analysis? </w:t>
      </w:r>
      <w:r w:rsidR="000B7A7D">
        <w:rPr>
          <w:lang w:val="en-AU"/>
        </w:rPr>
        <w:t>Multiple choice selection from the following options: b</w:t>
      </w:r>
      <w:r>
        <w:rPr>
          <w:lang w:val="en-AU"/>
        </w:rPr>
        <w:t>inomial, categorical (not binary), continuous, or time-to-event</w:t>
      </w:r>
      <w:r w:rsidR="000B7A7D">
        <w:rPr>
          <w:lang w:val="en-AU"/>
        </w:rPr>
        <w:t>.</w:t>
      </w:r>
    </w:p>
    <w:p w14:paraId="0697126C" w14:textId="36BEE3FC" w:rsidR="00DC1707" w:rsidRDefault="00DC1707" w:rsidP="00DC1707">
      <w:pPr>
        <w:pStyle w:val="ListParagraph"/>
        <w:numPr>
          <w:ilvl w:val="1"/>
          <w:numId w:val="7"/>
        </w:numPr>
        <w:spacing w:line="360" w:lineRule="auto"/>
        <w:rPr>
          <w:lang w:val="en-AU"/>
        </w:rPr>
      </w:pPr>
      <w:r>
        <w:rPr>
          <w:lang w:val="en-AU"/>
        </w:rPr>
        <w:t>If multivariate imputation by chained equations was used, what type of models were used</w:t>
      </w:r>
      <w:r w:rsidR="00366FAA">
        <w:rPr>
          <w:lang w:val="en-AU"/>
        </w:rPr>
        <w:t>?</w:t>
      </w:r>
      <w:r w:rsidR="007662C9">
        <w:rPr>
          <w:lang w:val="en-AU"/>
        </w:rPr>
        <w:t xml:space="preserve"> </w:t>
      </w:r>
      <w:r w:rsidR="007238A6">
        <w:rPr>
          <w:lang w:val="en-AU"/>
        </w:rPr>
        <w:t>Open-ended</w:t>
      </w:r>
      <w:r w:rsidR="00366FAA">
        <w:rPr>
          <w:lang w:val="en-AU"/>
        </w:rPr>
        <w:t xml:space="preserve"> response.</w:t>
      </w:r>
    </w:p>
    <w:p w14:paraId="3F50A807" w14:textId="25851CA8" w:rsidR="008246FA" w:rsidRDefault="007662C9" w:rsidP="00857255">
      <w:pPr>
        <w:pStyle w:val="ListParagraph"/>
        <w:numPr>
          <w:ilvl w:val="1"/>
          <w:numId w:val="7"/>
        </w:numPr>
        <w:spacing w:line="360" w:lineRule="auto"/>
        <w:rPr>
          <w:lang w:val="en-AU"/>
        </w:rPr>
      </w:pPr>
      <w:r>
        <w:rPr>
          <w:lang w:val="en-AU"/>
        </w:rPr>
        <w:t xml:space="preserve">How were </w:t>
      </w:r>
      <w:r w:rsidR="007238A6">
        <w:rPr>
          <w:lang w:val="en-AU"/>
        </w:rPr>
        <w:t>estimates combined across imputed datasets</w:t>
      </w:r>
      <w:r w:rsidR="00366FAA">
        <w:rPr>
          <w:lang w:val="en-AU"/>
        </w:rPr>
        <w:t>?</w:t>
      </w:r>
      <w:r w:rsidR="007238A6">
        <w:rPr>
          <w:lang w:val="en-AU"/>
        </w:rPr>
        <w:t xml:space="preserve"> Open ended</w:t>
      </w:r>
      <w:r w:rsidR="00366FAA">
        <w:rPr>
          <w:lang w:val="en-AU"/>
        </w:rPr>
        <w:t xml:space="preserve"> response.</w:t>
      </w:r>
    </w:p>
    <w:p w14:paraId="4D45A1DB" w14:textId="730FE43C" w:rsidR="00CC0C9D" w:rsidRDefault="00686082" w:rsidP="00857255">
      <w:pPr>
        <w:pStyle w:val="ListParagraph"/>
        <w:numPr>
          <w:ilvl w:val="0"/>
          <w:numId w:val="7"/>
        </w:numPr>
        <w:spacing w:line="360" w:lineRule="auto"/>
        <w:rPr>
          <w:lang w:val="en-AU"/>
        </w:rPr>
      </w:pPr>
      <w:r>
        <w:rPr>
          <w:lang w:val="en-AU"/>
        </w:rPr>
        <w:t xml:space="preserve">The item “Did authors address the potential for data to be MNAR?” was difficult to measure as selection bias </w:t>
      </w:r>
      <w:r w:rsidR="002451C6">
        <w:rPr>
          <w:lang w:val="en-AU"/>
        </w:rPr>
        <w:t>was commonly d</w:t>
      </w:r>
      <w:r w:rsidR="00AE21AB">
        <w:rPr>
          <w:lang w:val="en-AU"/>
        </w:rPr>
        <w:t xml:space="preserve">escribed </w:t>
      </w:r>
      <w:r w:rsidR="002451C6">
        <w:rPr>
          <w:lang w:val="en-AU"/>
        </w:rPr>
        <w:t>as a study limitation in vague terms.</w:t>
      </w:r>
      <w:r w:rsidR="00AE21AB">
        <w:rPr>
          <w:lang w:val="en-AU"/>
        </w:rPr>
        <w:t xml:space="preserve"> Rather than summarise this item in the tables, </w:t>
      </w:r>
      <w:r w:rsidR="00952F6C">
        <w:rPr>
          <w:lang w:val="en-AU"/>
        </w:rPr>
        <w:t xml:space="preserve">information on </w:t>
      </w:r>
      <w:r w:rsidR="005A0C84">
        <w:rPr>
          <w:lang w:val="en-AU"/>
        </w:rPr>
        <w:t>the studies that conducted a</w:t>
      </w:r>
      <w:r w:rsidR="00124FEF">
        <w:rPr>
          <w:lang w:val="en-AU"/>
        </w:rPr>
        <w:t xml:space="preserve">n analysis incorporating </w:t>
      </w:r>
      <w:r w:rsidR="00707CC8">
        <w:rPr>
          <w:lang w:val="en-AU"/>
        </w:rPr>
        <w:t>assumptions about a difference in distribution between the missing and observed data</w:t>
      </w:r>
      <w:r w:rsidR="00940E9A">
        <w:rPr>
          <w:lang w:val="en-AU"/>
        </w:rPr>
        <w:t xml:space="preserve"> have</w:t>
      </w:r>
      <w:r w:rsidR="005A0C84">
        <w:rPr>
          <w:lang w:val="en-AU"/>
        </w:rPr>
        <w:t xml:space="preserve"> been summarised in text.</w:t>
      </w:r>
    </w:p>
    <w:p w14:paraId="608FA944" w14:textId="79A1BFBD" w:rsidR="00857255" w:rsidRDefault="000B7D23" w:rsidP="00857255">
      <w:pPr>
        <w:pStyle w:val="ListParagraph"/>
        <w:numPr>
          <w:ilvl w:val="0"/>
          <w:numId w:val="7"/>
        </w:numPr>
        <w:spacing w:line="360" w:lineRule="auto"/>
        <w:rPr>
          <w:lang w:val="en-AU"/>
        </w:rPr>
      </w:pPr>
      <w:r>
        <w:rPr>
          <w:lang w:val="en-AU"/>
        </w:rPr>
        <w:t xml:space="preserve">Study funding was not extracted as </w:t>
      </w:r>
      <w:r w:rsidR="00C50194">
        <w:rPr>
          <w:lang w:val="en-AU"/>
        </w:rPr>
        <w:t>funding source</w:t>
      </w:r>
      <w:r>
        <w:rPr>
          <w:lang w:val="en-AU"/>
        </w:rPr>
        <w:t xml:space="preserve"> was deemed </w:t>
      </w:r>
      <w:r w:rsidR="00FB4F8F">
        <w:rPr>
          <w:lang w:val="en-AU"/>
        </w:rPr>
        <w:t>not applicable</w:t>
      </w:r>
      <w:r>
        <w:rPr>
          <w:lang w:val="en-AU"/>
        </w:rPr>
        <w:t xml:space="preserve"> for this</w:t>
      </w:r>
      <w:r w:rsidR="0095411C">
        <w:rPr>
          <w:lang w:val="en-AU"/>
        </w:rPr>
        <w:t xml:space="preserve"> r</w:t>
      </w:r>
      <w:r>
        <w:rPr>
          <w:lang w:val="en-AU"/>
        </w:rPr>
        <w:t>eview</w:t>
      </w:r>
      <w:r w:rsidR="006A1277">
        <w:rPr>
          <w:lang w:val="en-AU"/>
        </w:rPr>
        <w:t xml:space="preserve"> of methodology</w:t>
      </w:r>
      <w:r>
        <w:rPr>
          <w:lang w:val="en-AU"/>
        </w:rPr>
        <w:t>.</w:t>
      </w:r>
    </w:p>
    <w:p w14:paraId="61E9FA30" w14:textId="71989FAE" w:rsidR="006F2468" w:rsidRDefault="006F2468">
      <w:pPr>
        <w:rPr>
          <w:b/>
          <w:bCs/>
          <w:lang w:val="en-AU"/>
        </w:rPr>
      </w:pPr>
    </w:p>
    <w:p w14:paraId="7FEF95FD" w14:textId="77777777" w:rsidR="002C3786" w:rsidRDefault="002C3786">
      <w:pPr>
        <w:rPr>
          <w:b/>
          <w:bCs/>
          <w:lang w:val="en-AU"/>
        </w:rPr>
      </w:pPr>
      <w:r>
        <w:rPr>
          <w:b/>
          <w:bCs/>
          <w:lang w:val="en-AU"/>
        </w:rPr>
        <w:br w:type="page"/>
      </w:r>
    </w:p>
    <w:p w14:paraId="35438FB2" w14:textId="377433AF" w:rsidR="00637108" w:rsidRPr="005E08D8" w:rsidRDefault="005E08D8" w:rsidP="00B21327">
      <w:pPr>
        <w:spacing w:line="360" w:lineRule="auto"/>
        <w:rPr>
          <w:lang w:val="en-AU"/>
        </w:rPr>
      </w:pPr>
      <w:r>
        <w:rPr>
          <w:b/>
          <w:bCs/>
          <w:lang w:val="en-AU"/>
        </w:rPr>
        <w:lastRenderedPageBreak/>
        <w:t xml:space="preserve">Supplementary Table 1. </w:t>
      </w:r>
      <w:r w:rsidR="00A42A70">
        <w:rPr>
          <w:lang w:val="en-AU"/>
        </w:rPr>
        <w:t>Description of the primary and secondary analyses when studies performed more than one secondary analysis.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0"/>
        <w:gridCol w:w="5786"/>
      </w:tblGrid>
      <w:tr w:rsidR="00DD39DA" w14:paraId="4CD7C044" w14:textId="77777777" w:rsidTr="00DD39DA">
        <w:tc>
          <w:tcPr>
            <w:tcW w:w="1791" w:type="pct"/>
          </w:tcPr>
          <w:p w14:paraId="71BED144" w14:textId="3B6F80F7" w:rsidR="00DD39DA" w:rsidRDefault="00DD39DA" w:rsidP="00B21327">
            <w:pPr>
              <w:spacing w:line="360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Primary analysis</w:t>
            </w:r>
          </w:p>
        </w:tc>
        <w:tc>
          <w:tcPr>
            <w:tcW w:w="3209" w:type="pct"/>
          </w:tcPr>
          <w:p w14:paraId="406F07BA" w14:textId="1C48B880" w:rsidR="00DD39DA" w:rsidRDefault="00DD39DA" w:rsidP="00B21327">
            <w:pPr>
              <w:spacing w:line="360" w:lineRule="auto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>Secondary analyses</w:t>
            </w:r>
          </w:p>
        </w:tc>
      </w:tr>
      <w:tr w:rsidR="00DD39DA" w14:paraId="2782297F" w14:textId="77777777" w:rsidTr="00DD39DA">
        <w:tc>
          <w:tcPr>
            <w:tcW w:w="1791" w:type="pct"/>
          </w:tcPr>
          <w:p w14:paraId="0BF7BF28" w14:textId="4ACCF147" w:rsidR="00DD39DA" w:rsidRPr="006D7900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</w:t>
            </w:r>
          </w:p>
        </w:tc>
        <w:tc>
          <w:tcPr>
            <w:tcW w:w="3209" w:type="pct"/>
          </w:tcPr>
          <w:p w14:paraId="3A6D1BD3" w14:textId="4E8D7BD4" w:rsidR="00DD39DA" w:rsidRPr="00280B52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 combined with weighting using two approaches for calculation of weights</w:t>
            </w:r>
          </w:p>
        </w:tc>
      </w:tr>
      <w:tr w:rsidR="00DD39DA" w14:paraId="43F6037F" w14:textId="77777777" w:rsidTr="00DD39DA">
        <w:tc>
          <w:tcPr>
            <w:tcW w:w="1791" w:type="pct"/>
          </w:tcPr>
          <w:p w14:paraId="477EB717" w14:textId="3C13FCB1" w:rsidR="00DD39DA" w:rsidRPr="00280B52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 (covariates imputed)</w:t>
            </w:r>
          </w:p>
        </w:tc>
        <w:tc>
          <w:tcPr>
            <w:tcW w:w="3209" w:type="pct"/>
          </w:tcPr>
          <w:p w14:paraId="6342D1E8" w14:textId="26532E55" w:rsidR="00DD39DA" w:rsidRPr="00E20174" w:rsidRDefault="00DD39DA" w:rsidP="00B21327">
            <w:pPr>
              <w:spacing w:line="360" w:lineRule="auto"/>
              <w:rPr>
                <w:lang w:val="en-AU"/>
              </w:rPr>
            </w:pPr>
            <w:r w:rsidRPr="00E20174">
              <w:rPr>
                <w:lang w:val="en-AU"/>
              </w:rPr>
              <w:t>CCA</w:t>
            </w:r>
            <w:r>
              <w:rPr>
                <w:lang w:val="en-AU"/>
              </w:rPr>
              <w:t>, standard MI (covariates and exposure imputed)</w:t>
            </w:r>
          </w:p>
        </w:tc>
      </w:tr>
      <w:tr w:rsidR="00DD39DA" w14:paraId="34C2724B" w14:textId="77777777" w:rsidTr="00DD39DA">
        <w:tc>
          <w:tcPr>
            <w:tcW w:w="1791" w:type="pct"/>
          </w:tcPr>
          <w:p w14:paraId="4FF0FC92" w14:textId="4DCE2B4F" w:rsidR="00DD39DA" w:rsidRPr="003D05C4" w:rsidRDefault="00DD39DA" w:rsidP="00B21327">
            <w:pPr>
              <w:spacing w:line="360" w:lineRule="auto"/>
              <w:rPr>
                <w:highlight w:val="yellow"/>
                <w:lang w:val="en-AU"/>
              </w:rPr>
            </w:pPr>
            <w:r w:rsidRPr="00BA15DD">
              <w:rPr>
                <w:lang w:val="en-AU"/>
              </w:rPr>
              <w:t>Standard MI combined with weighting</w:t>
            </w:r>
          </w:p>
        </w:tc>
        <w:tc>
          <w:tcPr>
            <w:tcW w:w="3209" w:type="pct"/>
          </w:tcPr>
          <w:p w14:paraId="6B165A48" w14:textId="2DA463BF" w:rsidR="00DD39DA" w:rsidRPr="003D05C4" w:rsidRDefault="00DD39DA" w:rsidP="00B21327">
            <w:pPr>
              <w:spacing w:line="360" w:lineRule="auto"/>
              <w:rPr>
                <w:highlight w:val="yellow"/>
                <w:lang w:val="en-AU"/>
              </w:rPr>
            </w:pPr>
            <w:r>
              <w:rPr>
                <w:lang w:val="en-AU"/>
              </w:rPr>
              <w:t>Standard MI, CCA, CCA combined with weighting</w:t>
            </w:r>
          </w:p>
        </w:tc>
      </w:tr>
      <w:tr w:rsidR="00DD39DA" w14:paraId="661B0397" w14:textId="77777777" w:rsidTr="00DD39DA">
        <w:tc>
          <w:tcPr>
            <w:tcW w:w="1791" w:type="pct"/>
          </w:tcPr>
          <w:p w14:paraId="22A76A62" w14:textId="6448F04D" w:rsidR="00DD39DA" w:rsidRPr="00794685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Single mean imputation for variables with &gt;25% missing data</w:t>
            </w:r>
          </w:p>
        </w:tc>
        <w:tc>
          <w:tcPr>
            <w:tcW w:w="3209" w:type="pct"/>
          </w:tcPr>
          <w:p w14:paraId="0BA901DA" w14:textId="4CC04008" w:rsidR="00DD39DA" w:rsidRPr="00794685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MI, single minimum value imputation, single maximum value imputation.</w:t>
            </w:r>
          </w:p>
        </w:tc>
      </w:tr>
      <w:tr w:rsidR="00DD39DA" w14:paraId="1F4232B7" w14:textId="77777777" w:rsidTr="00DD39DA">
        <w:tc>
          <w:tcPr>
            <w:tcW w:w="1791" w:type="pct"/>
          </w:tcPr>
          <w:p w14:paraId="3565A2EE" w14:textId="24E14E76" w:rsidR="00DD39DA" w:rsidRPr="00794685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 combined with weighting</w:t>
            </w:r>
          </w:p>
        </w:tc>
        <w:tc>
          <w:tcPr>
            <w:tcW w:w="3209" w:type="pct"/>
          </w:tcPr>
          <w:p w14:paraId="17284D98" w14:textId="796951F8" w:rsidR="00DD39DA" w:rsidRPr="00794685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MI, CCA, CCA combined with weighting</w:t>
            </w:r>
          </w:p>
        </w:tc>
      </w:tr>
      <w:tr w:rsidR="00DD39DA" w14:paraId="44F355CD" w14:textId="77777777" w:rsidTr="00DD39DA">
        <w:tc>
          <w:tcPr>
            <w:tcW w:w="1791" w:type="pct"/>
          </w:tcPr>
          <w:p w14:paraId="0CADB9E8" w14:textId="165EE091" w:rsidR="00DD39DA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</w:t>
            </w:r>
          </w:p>
        </w:tc>
        <w:tc>
          <w:tcPr>
            <w:tcW w:w="3209" w:type="pct"/>
          </w:tcPr>
          <w:p w14:paraId="7FC1B2BF" w14:textId="39FAAC19" w:rsidR="00DD39DA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 but excluding one study with &gt;25% missing data for exposure (data collected from multiple studies), CCA</w:t>
            </w:r>
          </w:p>
        </w:tc>
      </w:tr>
      <w:tr w:rsidR="00DD39DA" w14:paraId="5EA24249" w14:textId="77777777" w:rsidTr="00DD39DA">
        <w:tc>
          <w:tcPr>
            <w:tcW w:w="1791" w:type="pct"/>
          </w:tcPr>
          <w:p w14:paraId="72048861" w14:textId="4ECA6967" w:rsidR="00DD39DA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CCA</w:t>
            </w:r>
          </w:p>
        </w:tc>
        <w:tc>
          <w:tcPr>
            <w:tcW w:w="3209" w:type="pct"/>
          </w:tcPr>
          <w:p w14:paraId="32F0E587" w14:textId="4F22D2E2" w:rsidR="00DD39DA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Standard MI where the time-to-event outcome was imputed using a Kaplan-Meier-based imputation method, single imputation of outcome under two extreme scenarios</w:t>
            </w:r>
          </w:p>
        </w:tc>
      </w:tr>
      <w:tr w:rsidR="00DD39DA" w14:paraId="735813B8" w14:textId="77777777" w:rsidTr="00DD39DA">
        <w:tc>
          <w:tcPr>
            <w:tcW w:w="1791" w:type="pct"/>
          </w:tcPr>
          <w:p w14:paraId="08E81F49" w14:textId="0B20D5C5" w:rsidR="00DD39DA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Treated “missing” as an additional category</w:t>
            </w:r>
          </w:p>
        </w:tc>
        <w:tc>
          <w:tcPr>
            <w:tcW w:w="3209" w:type="pct"/>
          </w:tcPr>
          <w:p w14:paraId="4C04E87E" w14:textId="2E3F8357" w:rsidR="00DD39DA" w:rsidRDefault="00DD39DA" w:rsidP="00B21327">
            <w:pPr>
              <w:spacing w:line="360" w:lineRule="auto"/>
              <w:rPr>
                <w:lang w:val="en-AU"/>
              </w:rPr>
            </w:pPr>
            <w:r>
              <w:rPr>
                <w:lang w:val="en-AU"/>
              </w:rPr>
              <w:t>Single imputation using last value carried forward, standard MI</w:t>
            </w:r>
          </w:p>
        </w:tc>
      </w:tr>
    </w:tbl>
    <w:p w14:paraId="43CEA154" w14:textId="77777777" w:rsidR="00A948D4" w:rsidRPr="00637108" w:rsidRDefault="00A948D4" w:rsidP="00B21327">
      <w:pPr>
        <w:spacing w:line="360" w:lineRule="auto"/>
        <w:rPr>
          <w:b/>
          <w:bCs/>
          <w:lang w:val="en-AU"/>
        </w:rPr>
      </w:pPr>
    </w:p>
    <w:p w14:paraId="19939CDE" w14:textId="77777777" w:rsidR="007238A6" w:rsidRPr="007238A6" w:rsidRDefault="007238A6" w:rsidP="007238A6">
      <w:pPr>
        <w:spacing w:line="360" w:lineRule="auto"/>
        <w:rPr>
          <w:lang w:val="en-AU"/>
        </w:rPr>
      </w:pPr>
    </w:p>
    <w:p w14:paraId="35AF11E8" w14:textId="77777777" w:rsidR="009B5E1E" w:rsidRPr="000C77AD" w:rsidRDefault="009B5E1E" w:rsidP="000C77AD">
      <w:pPr>
        <w:spacing w:line="360" w:lineRule="auto"/>
        <w:rPr>
          <w:lang w:val="en-AU"/>
        </w:rPr>
      </w:pPr>
    </w:p>
    <w:p w14:paraId="44F7C4EA" w14:textId="77777777" w:rsidR="008D293B" w:rsidRPr="008D293B" w:rsidRDefault="008D293B" w:rsidP="008D293B">
      <w:pPr>
        <w:spacing w:line="360" w:lineRule="auto"/>
        <w:rPr>
          <w:b/>
          <w:bCs/>
          <w:lang w:val="en-AU"/>
        </w:rPr>
      </w:pPr>
    </w:p>
    <w:sectPr w:rsidR="008D293B" w:rsidRPr="008D2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66233"/>
    <w:multiLevelType w:val="hybridMultilevel"/>
    <w:tmpl w:val="58A64D00"/>
    <w:lvl w:ilvl="0" w:tplc="B19429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740A"/>
    <w:multiLevelType w:val="hybridMultilevel"/>
    <w:tmpl w:val="B4B2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31D93"/>
    <w:multiLevelType w:val="hybridMultilevel"/>
    <w:tmpl w:val="4B7093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826E0"/>
    <w:multiLevelType w:val="hybridMultilevel"/>
    <w:tmpl w:val="5BC4EED8"/>
    <w:lvl w:ilvl="0" w:tplc="C6B6D0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C53BD"/>
    <w:multiLevelType w:val="hybridMultilevel"/>
    <w:tmpl w:val="B35669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07C32"/>
    <w:multiLevelType w:val="hybridMultilevel"/>
    <w:tmpl w:val="CD5238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676BC"/>
    <w:multiLevelType w:val="hybridMultilevel"/>
    <w:tmpl w:val="F4A4ED5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AAC34E3"/>
    <w:multiLevelType w:val="hybridMultilevel"/>
    <w:tmpl w:val="CADE34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7053BF"/>
    <w:multiLevelType w:val="hybridMultilevel"/>
    <w:tmpl w:val="7098D1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B07D7"/>
    <w:multiLevelType w:val="hybridMultilevel"/>
    <w:tmpl w:val="FE6295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037605">
    <w:abstractNumId w:val="6"/>
  </w:num>
  <w:num w:numId="2" w16cid:durableId="867525397">
    <w:abstractNumId w:val="4"/>
  </w:num>
  <w:num w:numId="3" w16cid:durableId="373192746">
    <w:abstractNumId w:val="2"/>
  </w:num>
  <w:num w:numId="4" w16cid:durableId="271517945">
    <w:abstractNumId w:val="5"/>
  </w:num>
  <w:num w:numId="5" w16cid:durableId="554003191">
    <w:abstractNumId w:val="0"/>
  </w:num>
  <w:num w:numId="6" w16cid:durableId="83647029">
    <w:abstractNumId w:val="3"/>
  </w:num>
  <w:num w:numId="7" w16cid:durableId="584339139">
    <w:abstractNumId w:val="1"/>
  </w:num>
  <w:num w:numId="8" w16cid:durableId="1245720887">
    <w:abstractNumId w:val="8"/>
  </w:num>
  <w:num w:numId="9" w16cid:durableId="72169824">
    <w:abstractNumId w:val="7"/>
  </w:num>
  <w:num w:numId="10" w16cid:durableId="15070956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0C"/>
    <w:rsid w:val="00003EC4"/>
    <w:rsid w:val="00006187"/>
    <w:rsid w:val="00055666"/>
    <w:rsid w:val="000727E9"/>
    <w:rsid w:val="000A0D1F"/>
    <w:rsid w:val="000B7A7D"/>
    <w:rsid w:val="000B7D23"/>
    <w:rsid w:val="000C77AD"/>
    <w:rsid w:val="000E2AA6"/>
    <w:rsid w:val="00116F8B"/>
    <w:rsid w:val="00124FEF"/>
    <w:rsid w:val="001437B1"/>
    <w:rsid w:val="00220A3D"/>
    <w:rsid w:val="0023534B"/>
    <w:rsid w:val="002451C6"/>
    <w:rsid w:val="002679B0"/>
    <w:rsid w:val="00275316"/>
    <w:rsid w:val="00280B52"/>
    <w:rsid w:val="00286778"/>
    <w:rsid w:val="00296706"/>
    <w:rsid w:val="002C3786"/>
    <w:rsid w:val="002F080E"/>
    <w:rsid w:val="00324723"/>
    <w:rsid w:val="0033637D"/>
    <w:rsid w:val="00366FAA"/>
    <w:rsid w:val="003A6908"/>
    <w:rsid w:val="003D05C4"/>
    <w:rsid w:val="003F61F3"/>
    <w:rsid w:val="004B337E"/>
    <w:rsid w:val="00526117"/>
    <w:rsid w:val="00552C4B"/>
    <w:rsid w:val="00594EE3"/>
    <w:rsid w:val="005A0C84"/>
    <w:rsid w:val="005A7811"/>
    <w:rsid w:val="005C07A5"/>
    <w:rsid w:val="005C320E"/>
    <w:rsid w:val="005E08D8"/>
    <w:rsid w:val="00607DCC"/>
    <w:rsid w:val="00623CA7"/>
    <w:rsid w:val="00637108"/>
    <w:rsid w:val="00686082"/>
    <w:rsid w:val="006A1277"/>
    <w:rsid w:val="006D7900"/>
    <w:rsid w:val="006F2468"/>
    <w:rsid w:val="006F320D"/>
    <w:rsid w:val="00707CC8"/>
    <w:rsid w:val="007238A6"/>
    <w:rsid w:val="00755152"/>
    <w:rsid w:val="007662C9"/>
    <w:rsid w:val="00772AD3"/>
    <w:rsid w:val="00782271"/>
    <w:rsid w:val="00791C07"/>
    <w:rsid w:val="00794685"/>
    <w:rsid w:val="007A4A1A"/>
    <w:rsid w:val="00810CD4"/>
    <w:rsid w:val="00814A4A"/>
    <w:rsid w:val="008246FA"/>
    <w:rsid w:val="00835B35"/>
    <w:rsid w:val="00852BDA"/>
    <w:rsid w:val="00857255"/>
    <w:rsid w:val="00876D66"/>
    <w:rsid w:val="008C67B8"/>
    <w:rsid w:val="008D293B"/>
    <w:rsid w:val="00907D21"/>
    <w:rsid w:val="00913BB7"/>
    <w:rsid w:val="00920328"/>
    <w:rsid w:val="00940E9A"/>
    <w:rsid w:val="00952F6C"/>
    <w:rsid w:val="0095411C"/>
    <w:rsid w:val="009777F9"/>
    <w:rsid w:val="009873A6"/>
    <w:rsid w:val="00994642"/>
    <w:rsid w:val="009B3BB3"/>
    <w:rsid w:val="009B5E1E"/>
    <w:rsid w:val="009C0987"/>
    <w:rsid w:val="009D0F26"/>
    <w:rsid w:val="009D6B5C"/>
    <w:rsid w:val="00A00A0C"/>
    <w:rsid w:val="00A42A70"/>
    <w:rsid w:val="00A55A27"/>
    <w:rsid w:val="00A86DCD"/>
    <w:rsid w:val="00A948D4"/>
    <w:rsid w:val="00AA4B02"/>
    <w:rsid w:val="00AA5166"/>
    <w:rsid w:val="00AE21AB"/>
    <w:rsid w:val="00AF5637"/>
    <w:rsid w:val="00B21327"/>
    <w:rsid w:val="00B435C8"/>
    <w:rsid w:val="00B91DD0"/>
    <w:rsid w:val="00B944BB"/>
    <w:rsid w:val="00BA15DD"/>
    <w:rsid w:val="00C126ED"/>
    <w:rsid w:val="00C22D32"/>
    <w:rsid w:val="00C50194"/>
    <w:rsid w:val="00C83A99"/>
    <w:rsid w:val="00C910AE"/>
    <w:rsid w:val="00C91BD3"/>
    <w:rsid w:val="00CA7ACC"/>
    <w:rsid w:val="00CB61C7"/>
    <w:rsid w:val="00CC0C9D"/>
    <w:rsid w:val="00CC64C5"/>
    <w:rsid w:val="00D46DA0"/>
    <w:rsid w:val="00D70E6D"/>
    <w:rsid w:val="00DC1707"/>
    <w:rsid w:val="00DC77BD"/>
    <w:rsid w:val="00DD3357"/>
    <w:rsid w:val="00DD39DA"/>
    <w:rsid w:val="00DE7ED4"/>
    <w:rsid w:val="00E20174"/>
    <w:rsid w:val="00E3453B"/>
    <w:rsid w:val="00E5515B"/>
    <w:rsid w:val="00E85005"/>
    <w:rsid w:val="00E91928"/>
    <w:rsid w:val="00EF001F"/>
    <w:rsid w:val="00F13CAD"/>
    <w:rsid w:val="00FA620C"/>
    <w:rsid w:val="00FB4F8F"/>
    <w:rsid w:val="00FD1DA7"/>
    <w:rsid w:val="00FD5FB1"/>
    <w:rsid w:val="00FE21A7"/>
    <w:rsid w:val="00F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5D19"/>
  <w15:chartTrackingRefBased/>
  <w15:docId w15:val="{53F6EEC4-76B8-4C1A-96D5-AFE3FACD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7D"/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3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37D"/>
    <w:rPr>
      <w:color w:val="0000FF"/>
      <w:u w:val="single"/>
    </w:rPr>
  </w:style>
  <w:style w:type="table" w:styleId="TableGrid">
    <w:name w:val="Table Grid"/>
    <w:basedOn w:val="TableNormal"/>
    <w:uiPriority w:val="39"/>
    <w:rsid w:val="00A94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3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3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3CA7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CA7"/>
    <w:rPr>
      <w:b/>
      <w:bCs/>
      <w:kern w:val="0"/>
      <w:sz w:val="20"/>
      <w:szCs w:val="2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9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eanna.mainzer@unimelb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Rheanna Mainzer</dc:creator>
  <cp:keywords/>
  <dc:description/>
  <cp:lastModifiedBy>Rheanna Mainzer</cp:lastModifiedBy>
  <cp:revision>121</cp:revision>
  <dcterms:created xsi:type="dcterms:W3CDTF">2024-02-16T06:00:00Z</dcterms:created>
  <dcterms:modified xsi:type="dcterms:W3CDTF">2024-05-24T00:17:00Z</dcterms:modified>
</cp:coreProperties>
</file>