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17EBD" w14:textId="3258A177" w:rsidR="005066DE" w:rsidRDefault="005C7704">
      <w:pPr>
        <w:rPr>
          <w:rStyle w:val="Nenhum"/>
          <w:rFonts w:ascii="Arial" w:hAnsi="Arial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4C71931D" wp14:editId="32A74DA8">
            <wp:extent cx="5400040" cy="2080260"/>
            <wp:effectExtent l="0" t="0" r="0" b="0"/>
            <wp:docPr id="1420716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25C" w:rsidRPr="008F225C">
        <w:rPr>
          <w:rFonts w:ascii="Arial" w:hAnsi="Arial"/>
          <w:b/>
          <w:bCs/>
          <w:sz w:val="20"/>
          <w:szCs w:val="20"/>
          <w:lang w:val="it-IT"/>
        </w:rPr>
        <w:t xml:space="preserve"> </w:t>
      </w:r>
      <w:r w:rsidR="008E4AC2">
        <w:rPr>
          <w:rFonts w:ascii="Arial" w:hAnsi="Arial"/>
          <w:b/>
          <w:bCs/>
          <w:sz w:val="20"/>
          <w:szCs w:val="20"/>
          <w:lang w:val="it-IT"/>
        </w:rPr>
        <w:t>S</w:t>
      </w:r>
      <w:r w:rsidR="008E4AC2"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>upplementary figure 1.</w:t>
      </w:r>
      <w:r w:rsidR="008F225C"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 </w:t>
      </w:r>
      <w:r w:rsidR="008F225C">
        <w:rPr>
          <w:rStyle w:val="Nenhum"/>
          <w:rFonts w:ascii="Arial" w:hAnsi="Arial"/>
          <w:sz w:val="20"/>
          <w:szCs w:val="20"/>
          <w:lang w:val="en-US"/>
        </w:rPr>
        <w:t>Heat-map. Tissue expression pattern of the genes listed in the GWAS.</w:t>
      </w:r>
    </w:p>
    <w:p w14:paraId="51434EB4" w14:textId="77777777" w:rsidR="008E4AC2" w:rsidRDefault="008E4AC2"/>
    <w:p w14:paraId="57FA4C7C" w14:textId="0A00392D" w:rsidR="005C7704" w:rsidRDefault="005C7704">
      <w:r>
        <w:rPr>
          <w:noProof/>
        </w:rPr>
        <w:drawing>
          <wp:inline distT="0" distB="0" distL="0" distR="0" wp14:anchorId="1988BAB8" wp14:editId="0B5DADCF">
            <wp:extent cx="5400040" cy="1644650"/>
            <wp:effectExtent l="0" t="0" r="0" b="0"/>
            <wp:docPr id="20495884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9A30" w14:textId="54519DD9" w:rsidR="008E4AC2" w:rsidRDefault="008E4AC2">
      <w:pPr>
        <w:rPr>
          <w:rStyle w:val="Nenhum"/>
          <w:rFonts w:ascii="Arial" w:hAnsi="Arial"/>
          <w:b/>
          <w:bCs/>
          <w:sz w:val="20"/>
          <w:szCs w:val="20"/>
          <w:lang w:val="it-IT"/>
        </w:rPr>
      </w:pPr>
      <w:r>
        <w:rPr>
          <w:rFonts w:ascii="Arial" w:hAnsi="Arial"/>
          <w:b/>
          <w:bCs/>
          <w:sz w:val="20"/>
          <w:szCs w:val="20"/>
          <w:lang w:val="it-IT"/>
        </w:rPr>
        <w:t>S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upplementary figure 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>2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>.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 </w:t>
      </w:r>
      <w:r>
        <w:rPr>
          <w:rStyle w:val="Nenhum"/>
          <w:rFonts w:ascii="Arial" w:hAnsi="Arial"/>
          <w:sz w:val="20"/>
          <w:szCs w:val="20"/>
          <w:lang w:val="en-US"/>
        </w:rPr>
        <w:t>Heat-map. Tissue expression pattern of the main protein-coding genes, with the best classification in the GWAS.</w:t>
      </w:r>
    </w:p>
    <w:p w14:paraId="159D87F5" w14:textId="77777777" w:rsidR="008E4AC2" w:rsidRDefault="008E4AC2"/>
    <w:p w14:paraId="21701692" w14:textId="337788E7" w:rsidR="005C7704" w:rsidRDefault="005C7704">
      <w:r>
        <w:rPr>
          <w:noProof/>
        </w:rPr>
        <w:drawing>
          <wp:inline distT="0" distB="0" distL="0" distR="0" wp14:anchorId="7D773501" wp14:editId="003787A7">
            <wp:extent cx="5400040" cy="3063240"/>
            <wp:effectExtent l="0" t="0" r="0" b="3810"/>
            <wp:docPr id="5500527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D48E4" w14:textId="77777777" w:rsidR="008E4AC2" w:rsidRDefault="008E4AC2"/>
    <w:p w14:paraId="56578596" w14:textId="77777777" w:rsidR="008E4AC2" w:rsidRDefault="008E4AC2"/>
    <w:p w14:paraId="3F771A4C" w14:textId="77777777" w:rsidR="008E4AC2" w:rsidRPr="00277452" w:rsidRDefault="008E4AC2" w:rsidP="008E4AC2">
      <w:pPr>
        <w:pStyle w:val="Corpo"/>
        <w:spacing w:line="360" w:lineRule="auto"/>
        <w:ind w:firstLine="708"/>
        <w:jc w:val="both"/>
        <w:rPr>
          <w:rStyle w:val="Nenhum"/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it-IT"/>
        </w:rPr>
        <w:t>S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upplementary figure 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>3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>.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 </w:t>
      </w:r>
      <w:r w:rsidRPr="00277452">
        <w:rPr>
          <w:rStyle w:val="Nenhum"/>
          <w:rFonts w:ascii="Arial" w:hAnsi="Arial"/>
          <w:sz w:val="20"/>
          <w:szCs w:val="20"/>
          <w:lang w:val="en-US"/>
        </w:rPr>
        <w:t>Locuszoom Plot.</w:t>
      </w:r>
      <w:r w:rsidRPr="00277452">
        <w:rPr>
          <w:rStyle w:val="Nenhum"/>
          <w:rFonts w:ascii="Arial" w:hAnsi="Arial"/>
          <w:b/>
          <w:bCs/>
          <w:sz w:val="20"/>
          <w:szCs w:val="20"/>
          <w:lang w:val="en-US"/>
        </w:rPr>
        <w:t xml:space="preserve"> </w:t>
      </w:r>
      <w:r w:rsidRPr="00277452">
        <w:rPr>
          <w:rStyle w:val="Nenhum"/>
          <w:rFonts w:ascii="Arial" w:hAnsi="Arial"/>
          <w:sz w:val="20"/>
          <w:szCs w:val="20"/>
          <w:lang w:val="en-US"/>
        </w:rPr>
        <w:t>rs11538062 (</w:t>
      </w:r>
      <w:r w:rsidRPr="00277452">
        <w:rPr>
          <w:rStyle w:val="Nenhum"/>
          <w:rFonts w:ascii="Arial" w:hAnsi="Arial"/>
          <w:i/>
          <w:iCs/>
          <w:sz w:val="20"/>
          <w:szCs w:val="20"/>
          <w:lang w:val="en-US"/>
        </w:rPr>
        <w:t>SPON2</w:t>
      </w:r>
      <w:r>
        <w:rPr>
          <w:rStyle w:val="Nenhum"/>
          <w:rFonts w:ascii="Arial" w:hAnsi="Arial"/>
          <w:sz w:val="20"/>
          <w:szCs w:val="20"/>
          <w:lang w:val="en-US"/>
        </w:rPr>
        <w:t xml:space="preserve">) is in linkage disequilibrium with other variants on chromosome 4, located between </w:t>
      </w:r>
      <w:r w:rsidRPr="00277452">
        <w:rPr>
          <w:rStyle w:val="Nenhum"/>
          <w:rFonts w:ascii="Arial" w:hAnsi="Arial"/>
          <w:i/>
          <w:iCs/>
          <w:sz w:val="20"/>
          <w:szCs w:val="20"/>
          <w:lang w:val="en-US"/>
        </w:rPr>
        <w:t>SPON2</w:t>
      </w:r>
      <w:r>
        <w:rPr>
          <w:rStyle w:val="Nenhum"/>
          <w:rFonts w:ascii="Arial" w:hAnsi="Arial"/>
          <w:sz w:val="20"/>
          <w:szCs w:val="20"/>
          <w:lang w:val="en-US"/>
        </w:rPr>
        <w:t xml:space="preserve"> and </w:t>
      </w:r>
      <w:r>
        <w:rPr>
          <w:rStyle w:val="Nenhum"/>
          <w:rFonts w:ascii="Arial" w:hAnsi="Arial"/>
          <w:i/>
          <w:iCs/>
          <w:sz w:val="20"/>
          <w:szCs w:val="20"/>
          <w:lang w:val="en-US"/>
        </w:rPr>
        <w:t>RNF212</w:t>
      </w:r>
      <w:r>
        <w:rPr>
          <w:rStyle w:val="Nenhum"/>
          <w:rFonts w:ascii="Arial" w:hAnsi="Arial"/>
          <w:sz w:val="20"/>
          <w:szCs w:val="20"/>
          <w:lang w:val="en-US"/>
        </w:rPr>
        <w:t>. Variants are colored based on their estimated linkage disequilibrium (r²) to the main SNV (purple diamond).</w:t>
      </w:r>
    </w:p>
    <w:p w14:paraId="5CA50DA1" w14:textId="5738A45C" w:rsidR="008E4AC2" w:rsidRDefault="008E4AC2">
      <w:pPr>
        <w:rPr>
          <w:rStyle w:val="Nenhum"/>
          <w:rFonts w:ascii="Arial" w:hAnsi="Arial"/>
          <w:b/>
          <w:bCs/>
          <w:sz w:val="20"/>
          <w:szCs w:val="20"/>
          <w:lang w:val="it-IT"/>
        </w:rPr>
      </w:pPr>
    </w:p>
    <w:p w14:paraId="45713886" w14:textId="43E54647" w:rsidR="008E4AC2" w:rsidRDefault="008E4AC2">
      <w:r>
        <w:t xml:space="preserve"> </w:t>
      </w:r>
    </w:p>
    <w:p w14:paraId="73313EED" w14:textId="077A3689" w:rsidR="005C7704" w:rsidRDefault="005C7704">
      <w:r>
        <w:rPr>
          <w:noProof/>
        </w:rPr>
        <w:drawing>
          <wp:inline distT="0" distB="0" distL="0" distR="0" wp14:anchorId="07D33B3F" wp14:editId="426EC31C">
            <wp:extent cx="5400040" cy="1706880"/>
            <wp:effectExtent l="0" t="0" r="0" b="7620"/>
            <wp:docPr id="37044899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6F92B" w14:textId="77777777" w:rsidR="008E4AC2" w:rsidRDefault="008E4AC2"/>
    <w:p w14:paraId="2D71801D" w14:textId="5FB0251D" w:rsidR="008E4AC2" w:rsidRPr="00277452" w:rsidRDefault="008E4AC2" w:rsidP="008E4AC2">
      <w:pPr>
        <w:pStyle w:val="Corpo"/>
        <w:spacing w:line="360" w:lineRule="auto"/>
        <w:jc w:val="both"/>
        <w:rPr>
          <w:rStyle w:val="Nenhum"/>
          <w:rFonts w:ascii="Arial" w:eastAsia="Arial" w:hAnsi="Arial" w:cs="Arial"/>
          <w:color w:val="222222"/>
          <w:sz w:val="20"/>
          <w:szCs w:val="20"/>
          <w:u w:color="222222"/>
          <w:lang w:val="en-US"/>
        </w:rPr>
      </w:pPr>
      <w:r>
        <w:rPr>
          <w:rFonts w:ascii="Arial" w:hAnsi="Arial"/>
          <w:b/>
          <w:bCs/>
          <w:sz w:val="20"/>
          <w:szCs w:val="20"/>
          <w:lang w:val="it-IT"/>
        </w:rPr>
        <w:t>S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upplementary figure 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>4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>.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 </w:t>
      </w:r>
      <w:r>
        <w:rPr>
          <w:rStyle w:val="Nenhum"/>
          <w:rFonts w:ascii="Arial" w:hAnsi="Arial"/>
          <w:color w:val="222222"/>
          <w:sz w:val="20"/>
          <w:szCs w:val="20"/>
          <w:u w:color="222222"/>
          <w:lang w:val="en-US"/>
        </w:rPr>
        <w:t xml:space="preserve">Association of the </w:t>
      </w:r>
      <w:r w:rsidRPr="00277452">
        <w:rPr>
          <w:rStyle w:val="Nenhum"/>
          <w:rFonts w:ascii="Arial" w:hAnsi="Arial"/>
          <w:i/>
          <w:iCs/>
          <w:color w:val="222222"/>
          <w:sz w:val="20"/>
          <w:szCs w:val="20"/>
          <w:u w:color="222222"/>
          <w:lang w:val="en-US"/>
        </w:rPr>
        <w:t>SPON2</w:t>
      </w:r>
      <w:r>
        <w:rPr>
          <w:rStyle w:val="Nenhum"/>
          <w:rFonts w:ascii="Arial" w:hAnsi="Arial"/>
          <w:color w:val="222222"/>
          <w:sz w:val="20"/>
          <w:szCs w:val="20"/>
          <w:u w:color="222222"/>
          <w:lang w:val="en-US"/>
        </w:rPr>
        <w:t xml:space="preserve"> gene with groups of obesity-related phenotypes (- log 10).</w:t>
      </w:r>
    </w:p>
    <w:p w14:paraId="3DBDF4D8" w14:textId="764C99DF" w:rsidR="008E4AC2" w:rsidRDefault="008E4AC2">
      <w:pPr>
        <w:rPr>
          <w:rStyle w:val="Nenhum"/>
          <w:rFonts w:ascii="Arial" w:hAnsi="Arial"/>
          <w:b/>
          <w:bCs/>
          <w:sz w:val="20"/>
          <w:szCs w:val="20"/>
          <w:lang w:val="it-IT"/>
        </w:rPr>
      </w:pPr>
    </w:p>
    <w:p w14:paraId="58A927F0" w14:textId="77777777" w:rsidR="008E4AC2" w:rsidRDefault="008E4AC2"/>
    <w:p w14:paraId="187AC206" w14:textId="06562DE8" w:rsidR="008F225C" w:rsidRDefault="008F225C">
      <w:r>
        <w:rPr>
          <w:noProof/>
        </w:rPr>
        <w:lastRenderedPageBreak/>
        <w:drawing>
          <wp:inline distT="0" distB="0" distL="0" distR="0" wp14:anchorId="2D94CDBC" wp14:editId="23C1E4AC">
            <wp:extent cx="5400040" cy="4220210"/>
            <wp:effectExtent l="0" t="0" r="0" b="8890"/>
            <wp:docPr id="188907862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DD41B" w14:textId="04543615" w:rsidR="008E4AC2" w:rsidRDefault="008E4AC2">
      <w:r>
        <w:rPr>
          <w:rFonts w:ascii="Arial" w:hAnsi="Arial"/>
          <w:b/>
          <w:bCs/>
          <w:sz w:val="20"/>
          <w:szCs w:val="20"/>
          <w:lang w:val="it-IT"/>
        </w:rPr>
        <w:t>S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upplementary figure 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>5</w:t>
      </w:r>
      <w:r w:rsidRPr="008E4AC2">
        <w:rPr>
          <w:rStyle w:val="Nenhum"/>
          <w:rFonts w:ascii="Arial" w:hAnsi="Arial"/>
          <w:b/>
          <w:bCs/>
          <w:sz w:val="20"/>
          <w:szCs w:val="20"/>
          <w:lang w:val="it-IT"/>
        </w:rPr>
        <w:t>.</w:t>
      </w:r>
      <w:r>
        <w:rPr>
          <w:rStyle w:val="Nenhum"/>
          <w:rFonts w:ascii="Arial" w:hAnsi="Arial"/>
          <w:b/>
          <w:bCs/>
          <w:sz w:val="20"/>
          <w:szCs w:val="20"/>
          <w:lang w:val="it-IT"/>
        </w:rPr>
        <w:t xml:space="preserve"> </w:t>
      </w:r>
      <w:r>
        <w:rPr>
          <w:rStyle w:val="Nenhum"/>
          <w:rFonts w:ascii="Arial" w:hAnsi="Arial"/>
          <w:sz w:val="20"/>
          <w:szCs w:val="20"/>
          <w:lang w:val="en-US"/>
        </w:rPr>
        <w:t xml:space="preserve">Levels of IL-12 (A) and IL-10 (B) (pg/ml) between the different genotypes of the </w:t>
      </w:r>
      <w:r w:rsidRPr="00277452">
        <w:rPr>
          <w:rStyle w:val="Nenhum"/>
          <w:rFonts w:ascii="Arial" w:hAnsi="Arial"/>
          <w:i/>
          <w:iCs/>
          <w:sz w:val="20"/>
          <w:szCs w:val="20"/>
          <w:lang w:val="en-US"/>
        </w:rPr>
        <w:t>ZZEF1</w:t>
      </w:r>
      <w:r w:rsidRPr="00277452">
        <w:rPr>
          <w:rStyle w:val="Nenhum"/>
          <w:rFonts w:ascii="Arial" w:hAnsi="Arial"/>
          <w:sz w:val="20"/>
          <w:szCs w:val="20"/>
          <w:lang w:val="en-US"/>
        </w:rPr>
        <w:t xml:space="preserve"> gene (rs781851).</w:t>
      </w:r>
    </w:p>
    <w:sectPr w:rsidR="008E4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04"/>
    <w:rsid w:val="005066DE"/>
    <w:rsid w:val="005C7704"/>
    <w:rsid w:val="008E4AC2"/>
    <w:rsid w:val="008F225C"/>
    <w:rsid w:val="00E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46A1E"/>
  <w15:chartTrackingRefBased/>
  <w15:docId w15:val="{1069E611-1926-4D76-88C0-584D3099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nhum">
    <w:name w:val="Nenhum"/>
    <w:rsid w:val="008F225C"/>
  </w:style>
  <w:style w:type="paragraph" w:customStyle="1" w:styleId="Corpo">
    <w:name w:val="Corpo"/>
    <w:rsid w:val="008E4AC2"/>
    <w:rPr>
      <w:rFonts w:ascii="Calibri" w:eastAsia="Calibri" w:hAnsi="Calibri" w:cs="Calibri"/>
      <w:color w:val="000000"/>
      <w:kern w:val="0"/>
      <w:u w:color="00000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Coelho</dc:creator>
  <cp:keywords/>
  <dc:description/>
  <cp:lastModifiedBy>Raisa Coelho</cp:lastModifiedBy>
  <cp:revision>1</cp:revision>
  <dcterms:created xsi:type="dcterms:W3CDTF">2024-05-23T14:53:00Z</dcterms:created>
  <dcterms:modified xsi:type="dcterms:W3CDTF">2024-05-23T14:58:00Z</dcterms:modified>
</cp:coreProperties>
</file>