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62" w:rsidRPr="00EF1C48" w:rsidRDefault="00A36F79" w:rsidP="00EF1C48">
      <w:pPr>
        <w:tabs>
          <w:tab w:val="left" w:pos="11520"/>
        </w:tabs>
        <w:spacing w:after="0"/>
        <w:ind w:left="1418" w:right="568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  <w:r w:rsidRPr="00A36F79"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Table 3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a</w:t>
      </w:r>
      <w:r w:rsidRPr="00A36F79"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:</w:t>
      </w:r>
      <w:r w:rsidRPr="00A36F79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Pr="00A36F79">
        <w:rPr>
          <w:rFonts w:ascii="Times New Roman" w:eastAsia="Calibri" w:hAnsi="Times New Roman" w:cs="Times New Roman"/>
          <w:sz w:val="24"/>
          <w:szCs w:val="24"/>
          <w:lang w:val="en-US"/>
        </w:rPr>
        <w:t>Uncorrected p-distances of the</w:t>
      </w:r>
      <w:r w:rsidRPr="00A36F79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>mtDNA</w:t>
      </w:r>
      <w:proofErr w:type="spellEnd"/>
      <w:r w:rsidRPr="00A36F79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="00EF1C48" w:rsidRPr="00EF1C48">
        <w:rPr>
          <w:rFonts w:ascii="Times New Roman" w:eastAsia="Batang" w:hAnsi="Times New Roman" w:cs="Times New Roman"/>
          <w:i/>
          <w:sz w:val="24"/>
          <w:szCs w:val="24"/>
          <w:lang w:val="en-GB" w:eastAsia="ko-KR"/>
        </w:rPr>
        <w:t>Cox2</w:t>
      </w:r>
      <w:r w:rsidR="00EF1C48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Pr="00A36F79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among </w:t>
      </w:r>
      <w:proofErr w:type="spellStart"/>
      <w:r w:rsidRPr="00EF1C48">
        <w:rPr>
          <w:rFonts w:ascii="Times New Roman" w:eastAsia="Batang" w:hAnsi="Times New Roman" w:cs="Times New Roman"/>
          <w:i/>
          <w:sz w:val="24"/>
          <w:szCs w:val="24"/>
          <w:lang w:val="en-GB" w:eastAsia="ko-KR"/>
        </w:rPr>
        <w:t>Contracaecum</w:t>
      </w:r>
      <w:proofErr w:type="spellEnd"/>
      <w:r w:rsidRPr="00A36F79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spp. used in this study and expressed in percentage.</w:t>
      </w:r>
      <w:r w:rsidRPr="00A36F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47F41" w:rsidRPr="00A47F41">
        <w:rPr>
          <w:rFonts w:ascii="Times New Roman" w:eastAsia="Calibri" w:hAnsi="Times New Roman" w:cs="Times New Roman"/>
          <w:sz w:val="24"/>
          <w:szCs w:val="24"/>
          <w:lang w:val="en-US"/>
        </w:rPr>
        <w:t>New reported sequences in bold.</w:t>
      </w:r>
    </w:p>
    <w:p w:rsidR="00A36F79" w:rsidRPr="00A36F79" w:rsidRDefault="00A36F79">
      <w:pPr>
        <w:rPr>
          <w:lang w:val="en-US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0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A36F79" w:rsidRPr="00A36F79" w:rsidTr="00EF1C48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AR"/>
              </w:rPr>
              <w:t>jorgei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jorgei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multipapillatum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aff</w:t>
            </w:r>
            <w:proofErr w:type="spellEnd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multipapillatum</w:t>
            </w:r>
            <w:proofErr w:type="spellEnd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A47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EU852348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overstreeti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multipapillatum</w:t>
            </w:r>
            <w:proofErr w:type="spellEnd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A47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AF1</w:t>
            </w:r>
            <w:bookmarkStart w:id="0" w:name="_GoBack"/>
            <w:bookmarkEnd w:id="0"/>
            <w:r w:rsidRPr="00A47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79910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micropapillatum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banchofti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obmorhini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margolisi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rudolphii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Contracaecum</w:t>
            </w:r>
            <w:proofErr w:type="spellEnd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sp</w:t>
            </w:r>
            <w:proofErr w:type="spellEnd"/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chubutensis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septentrionale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fagherolmi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bioccai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mirounga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radiatum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pelagicum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microcephalum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</w:t>
            </w: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aff</w:t>
            </w:r>
            <w:proofErr w:type="spellEnd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multipapillatum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A36F79" w:rsidRPr="00A36F79" w:rsidTr="00EF1C48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A36F7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AR"/>
              </w:rPr>
              <w:t>osculatum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36F79" w:rsidRPr="00A36F79" w:rsidRDefault="00A36F79" w:rsidP="00A36F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A3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15</w:t>
            </w:r>
          </w:p>
        </w:tc>
      </w:tr>
    </w:tbl>
    <w:p w:rsidR="00A36F79" w:rsidRDefault="00A36F79"/>
    <w:sectPr w:rsidR="00A36F79" w:rsidSect="00EF1C48">
      <w:pgSz w:w="16838" w:h="11906" w:orient="landscape"/>
      <w:pgMar w:top="1701" w:right="223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79"/>
    <w:rsid w:val="00A36F79"/>
    <w:rsid w:val="00A47F41"/>
    <w:rsid w:val="00D80662"/>
    <w:rsid w:val="00E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BE894-2393-4E60-9D48-1441B2EB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2</cp:revision>
  <dcterms:created xsi:type="dcterms:W3CDTF">2024-05-20T17:30:00Z</dcterms:created>
  <dcterms:modified xsi:type="dcterms:W3CDTF">2024-05-20T17:30:00Z</dcterms:modified>
</cp:coreProperties>
</file>