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Table 1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  <w:drawing>
          <wp:inline distB="114300" distT="114300" distL="114300" distR="114300">
            <wp:extent cx="5435663" cy="7060853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5663" cy="70608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Table 1: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This study rated factors valued by patients who completed telemedicine visits versus those who did not complete telemedicine visits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tqKTsoApimEDKrHSw2usN4nKsg==">CgMxLjA4AHIhMUVQSUFoazI0U3g0dU1YekNzYUxnMjhJczU3bTg4VGs1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