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3576" w14:textId="79EC0F31" w:rsidR="00895637" w:rsidRPr="006C5E9D" w:rsidRDefault="00895637" w:rsidP="006C5E9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C5E9D">
        <w:rPr>
          <w:rFonts w:ascii="Times New Roman" w:hAnsi="Times New Roman" w:cs="Times New Roman"/>
          <w:b/>
          <w:bCs/>
          <w:color w:val="000000" w:themeColor="text1"/>
        </w:rPr>
        <w:t>Supplemental Materials 3</w:t>
      </w:r>
    </w:p>
    <w:p w14:paraId="02A525BF" w14:textId="67551480" w:rsidR="007E4490" w:rsidRPr="006C5E9D" w:rsidRDefault="007E4490" w:rsidP="006C5E9D">
      <w:pPr>
        <w:spacing w:after="16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EF3B71" w14:textId="77777777" w:rsidR="006C5E9D" w:rsidRPr="006C5E9D" w:rsidRDefault="006C5E9D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  <w:b/>
          <w:bCs/>
        </w:rPr>
        <w:t>Supplementary Fig. 6.</w:t>
      </w:r>
      <w:r w:rsidRPr="006C5E9D">
        <w:rPr>
          <w:rFonts w:ascii="Times New Roman" w:hAnsi="Times New Roman" w:cs="Times New Roman"/>
        </w:rPr>
        <w:t xml:space="preserve"> Identification of the hippocampal and prefrontal neuronal cells.</w:t>
      </w:r>
    </w:p>
    <w:p w14:paraId="7AC81880" w14:textId="77777777" w:rsidR="006C5E9D" w:rsidRPr="006C5E9D" w:rsidRDefault="006C5E9D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  <w:b/>
          <w:bCs/>
        </w:rPr>
        <w:t>Supplementary Fig. 7.</w:t>
      </w:r>
      <w:r w:rsidRPr="006C5E9D">
        <w:rPr>
          <w:rFonts w:ascii="Times New Roman" w:hAnsi="Times New Roman" w:cs="Times New Roman"/>
        </w:rPr>
        <w:t xml:space="preserve"> Immature nuclei with DCX+CB-. </w:t>
      </w:r>
    </w:p>
    <w:p w14:paraId="4728C5FF" w14:textId="77777777" w:rsidR="006C5E9D" w:rsidRPr="006C5E9D" w:rsidRDefault="006C5E9D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  <w:b/>
          <w:bCs/>
        </w:rPr>
        <w:t>Supplementary Fig. 8.</w:t>
      </w:r>
      <w:r w:rsidRPr="006C5E9D">
        <w:rPr>
          <w:rFonts w:ascii="Times New Roman" w:hAnsi="Times New Roman" w:cs="Times New Roman"/>
        </w:rPr>
        <w:t xml:space="preserve"> Cell-to-cell communication (analyzed using </w:t>
      </w:r>
      <w:proofErr w:type="spellStart"/>
      <w:r w:rsidRPr="006C5E9D">
        <w:rPr>
          <w:rFonts w:ascii="Times New Roman" w:hAnsi="Times New Roman" w:cs="Times New Roman"/>
        </w:rPr>
        <w:t>CellChat</w:t>
      </w:r>
      <w:proofErr w:type="spellEnd"/>
      <w:r w:rsidRPr="006C5E9D">
        <w:rPr>
          <w:rFonts w:ascii="Times New Roman" w:hAnsi="Times New Roman" w:cs="Times New Roman"/>
        </w:rPr>
        <w:t>) among all nucleus types in hippocampal and prefrontal populations.</w:t>
      </w:r>
    </w:p>
    <w:p w14:paraId="1909FB8C" w14:textId="6B2F5A97" w:rsidR="006C5E9D" w:rsidRPr="006C5E9D" w:rsidRDefault="006C5E9D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  <w:b/>
          <w:bCs/>
        </w:rPr>
        <w:t>Supplementary Fig. 9.</w:t>
      </w:r>
      <w:r w:rsidRPr="006C5E9D">
        <w:rPr>
          <w:rFonts w:ascii="Times New Roman" w:hAnsi="Times New Roman" w:cs="Times New Roman"/>
        </w:rPr>
        <w:t xml:space="preserve"> Immature and neurogenic markers expressed nuclei. </w:t>
      </w:r>
    </w:p>
    <w:p w14:paraId="0109B675" w14:textId="32A287B8" w:rsidR="00564D84" w:rsidRPr="006C5E9D" w:rsidRDefault="00017BAC" w:rsidP="006C5E9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C5E9D">
        <w:rPr>
          <w:rFonts w:ascii="Times New Roman" w:hAnsi="Times New Roman" w:cs="Times New Roman"/>
          <w:b/>
          <w:bCs/>
          <w:color w:val="000000" w:themeColor="text1"/>
        </w:rPr>
        <w:t xml:space="preserve">Supplemental Fig. </w:t>
      </w:r>
      <w:r w:rsidR="00564D84" w:rsidRPr="006C5E9D">
        <w:rPr>
          <w:rFonts w:ascii="Times New Roman" w:hAnsi="Times New Roman" w:cs="Times New Roman"/>
          <w:b/>
          <w:bCs/>
          <w:color w:val="000000" w:themeColor="text1"/>
        </w:rPr>
        <w:t>1</w:t>
      </w:r>
      <w:r w:rsidR="00325F5A" w:rsidRPr="006C5E9D">
        <w:rPr>
          <w:rFonts w:ascii="Times New Roman" w:hAnsi="Times New Roman" w:cs="Times New Roman"/>
          <w:b/>
          <w:bCs/>
          <w:color w:val="000000" w:themeColor="text1"/>
        </w:rPr>
        <w:t>0</w:t>
      </w:r>
      <w:r w:rsidR="007E4490" w:rsidRPr="006C5E9D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7E4490" w:rsidRPr="006C5E9D">
        <w:rPr>
          <w:rFonts w:ascii="Times New Roman" w:hAnsi="Times New Roman" w:cs="Times New Roman"/>
          <w:color w:val="000000" w:themeColor="text1"/>
        </w:rPr>
        <w:t xml:space="preserve"> </w:t>
      </w:r>
      <w:r w:rsidR="00564D84" w:rsidRPr="006C5E9D">
        <w:rPr>
          <w:rFonts w:ascii="Times New Roman" w:hAnsi="Times New Roman" w:cs="Times New Roman"/>
          <w:color w:val="000000" w:themeColor="text1"/>
        </w:rPr>
        <w:t xml:space="preserve">Cell-to-cell interactions among the different cell types. </w:t>
      </w:r>
    </w:p>
    <w:p w14:paraId="627E17D6" w14:textId="2F170F8F" w:rsidR="007E4490" w:rsidRPr="006C5E9D" w:rsidRDefault="007E4490" w:rsidP="006C5E9D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F7D0686" w14:textId="4C3055DB" w:rsidR="00B97D76" w:rsidRPr="006C5E9D" w:rsidRDefault="007E4490" w:rsidP="006C5E9D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6C5E9D">
        <w:rPr>
          <w:rFonts w:ascii="Times New Roman" w:hAnsi="Times New Roman" w:cs="Times New Roman"/>
          <w:color w:val="000000" w:themeColor="text1"/>
        </w:rPr>
        <w:t>This supplemental material has been provided by the authors to give readers additional information about their work.</w:t>
      </w:r>
    </w:p>
    <w:p w14:paraId="4BF8B890" w14:textId="182AE22C" w:rsidR="00B97D76" w:rsidRPr="006C5E9D" w:rsidRDefault="00DF5367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w:drawing>
          <wp:inline distT="0" distB="0" distL="0" distR="0" wp14:anchorId="40337B1D" wp14:editId="43309CF6">
            <wp:extent cx="5731510" cy="7542530"/>
            <wp:effectExtent l="0" t="0" r="0" b="1270"/>
            <wp:docPr id="103653460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34604" name="그림 10365346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4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D5A89" w14:textId="77777777" w:rsidR="00B97D76" w:rsidRPr="000F1E21" w:rsidRDefault="00B97D76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0F1E21">
        <w:rPr>
          <w:rFonts w:ascii="Times New Roman" w:hAnsi="Times New Roman" w:cs="Times New Roman"/>
          <w:b/>
          <w:bCs/>
        </w:rPr>
        <w:t>Supplementary Fig. 6. Identification of the hippocampal and prefrontal neuronal cells.</w:t>
      </w:r>
    </w:p>
    <w:p w14:paraId="24170BAB" w14:textId="77777777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</w:rPr>
        <w:lastRenderedPageBreak/>
        <w:t xml:space="preserve">Gene ontology (GO) analysis using the REACTOME database with differentially expressed genes (DEGs) for </w:t>
      </w:r>
      <w:r w:rsidRPr="006C5E9D">
        <w:rPr>
          <w:rFonts w:ascii="Times New Roman" w:eastAsia="맑은 고딕" w:hAnsi="Times New Roman" w:cs="Times New Roman"/>
        </w:rPr>
        <w:t>the two neuronal groups found only in the hippocampus and commonly observed in both regions</w:t>
      </w:r>
      <w:r w:rsidRPr="006C5E9D">
        <w:rPr>
          <w:rFonts w:ascii="Times New Roman" w:hAnsi="Times New Roman" w:cs="Times New Roman"/>
        </w:rPr>
        <w:t>: pyramidal cell</w:t>
      </w:r>
      <w:r w:rsidRPr="006C5E9D">
        <w:rPr>
          <w:rFonts w:ascii="Times New Roman" w:eastAsia="맑은 고딕" w:hAnsi="Times New Roman" w:cs="Times New Roman"/>
        </w:rPr>
        <w:t>s (</w:t>
      </w:r>
      <w:r w:rsidRPr="005A5D4B">
        <w:rPr>
          <w:rFonts w:ascii="Times New Roman" w:eastAsia="맑은 고딕" w:hAnsi="Times New Roman" w:cs="Times New Roman"/>
          <w:b/>
          <w:bCs/>
        </w:rPr>
        <w:t>A, B</w:t>
      </w:r>
      <w:r w:rsidRPr="006C5E9D">
        <w:rPr>
          <w:rFonts w:ascii="Times New Roman" w:eastAsia="맑은 고딕" w:hAnsi="Times New Roman" w:cs="Times New Roman"/>
        </w:rPr>
        <w:t>) and granule cells (</w:t>
      </w:r>
      <w:r w:rsidRPr="005A5D4B">
        <w:rPr>
          <w:rFonts w:ascii="Times New Roman" w:eastAsia="맑은 고딕" w:hAnsi="Times New Roman" w:cs="Times New Roman"/>
          <w:b/>
          <w:bCs/>
        </w:rPr>
        <w:t>C, D</w:t>
      </w:r>
      <w:r w:rsidRPr="006C5E9D">
        <w:rPr>
          <w:rFonts w:ascii="Times New Roman" w:eastAsia="맑은 고딕" w:hAnsi="Times New Roman" w:cs="Times New Roman"/>
        </w:rPr>
        <w:t>).</w:t>
      </w:r>
    </w:p>
    <w:p w14:paraId="2327670E" w14:textId="77777777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</w:p>
    <w:p w14:paraId="39A945F3" w14:textId="77777777" w:rsidR="00B97D76" w:rsidRPr="006C5E9D" w:rsidRDefault="00B97D76" w:rsidP="006C5E9D">
      <w:pPr>
        <w:spacing w:after="160" w:line="480" w:lineRule="auto"/>
        <w:jc w:val="both"/>
        <w:rPr>
          <w:rFonts w:ascii="Times New Roman" w:hAnsi="Times New Roman" w:cs="Times New Roman"/>
          <w:b/>
          <w:bCs/>
        </w:rPr>
      </w:pPr>
      <w:r w:rsidRPr="006C5E9D">
        <w:rPr>
          <w:rFonts w:ascii="Times New Roman" w:hAnsi="Times New Roman" w:cs="Times New Roman"/>
          <w:b/>
          <w:bCs/>
        </w:rPr>
        <w:br w:type="page"/>
      </w:r>
    </w:p>
    <w:p w14:paraId="2DED4828" w14:textId="540E6502" w:rsidR="00B97D76" w:rsidRPr="006C5E9D" w:rsidRDefault="00DF5367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w:drawing>
          <wp:inline distT="0" distB="0" distL="0" distR="0" wp14:anchorId="4745EC19" wp14:editId="645F9DAB">
            <wp:extent cx="5731510" cy="5634990"/>
            <wp:effectExtent l="0" t="0" r="0" b="3810"/>
            <wp:docPr id="100213565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35650" name="그림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DB757" w14:textId="77777777" w:rsidR="006C5E9D" w:rsidRPr="000F1E21" w:rsidRDefault="00B97D76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0F1E21">
        <w:rPr>
          <w:rFonts w:ascii="Times New Roman" w:hAnsi="Times New Roman" w:cs="Times New Roman"/>
          <w:b/>
          <w:bCs/>
        </w:rPr>
        <w:t xml:space="preserve">Supplementary Fig. 7. Immature nuclei with DCX+CB-. </w:t>
      </w:r>
    </w:p>
    <w:p w14:paraId="4672740D" w14:textId="6EB8A97E" w:rsidR="000F1E21" w:rsidRDefault="00B97D76" w:rsidP="000F1E21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</w:rPr>
        <w:t xml:space="preserve">Nuclei with the immature signature (DCX+ CB-) in the hippocampus and prefrontal lobe. </w:t>
      </w:r>
      <w:r w:rsidR="005A5D4B" w:rsidRPr="005A5D4B">
        <w:rPr>
          <w:rFonts w:ascii="Times New Roman" w:hAnsi="Times New Roman" w:cs="Times New Roman"/>
          <w:b/>
          <w:bCs/>
        </w:rPr>
        <w:t xml:space="preserve">A </w:t>
      </w:r>
      <w:r w:rsidRPr="006C5E9D">
        <w:rPr>
          <w:rFonts w:ascii="Times New Roman" w:hAnsi="Times New Roman" w:cs="Times New Roman"/>
        </w:rPr>
        <w:t xml:space="preserve">Table represents the number and proportion of neuronal nuclei with the immature signature (DCX+ CB-) in all eight samples, indicating that most DCX+ nuclei (91.7–100%) lack CALB1 expression. A bar graph of this table is shown in Figure 2A. </w:t>
      </w:r>
      <w:r w:rsidRPr="005A5D4B">
        <w:rPr>
          <w:rFonts w:ascii="Times New Roman" w:hAnsi="Times New Roman" w:cs="Times New Roman"/>
          <w:b/>
          <w:bCs/>
        </w:rPr>
        <w:t>B</w:t>
      </w:r>
      <w:r w:rsidRPr="006C5E9D">
        <w:rPr>
          <w:rFonts w:ascii="Times New Roman" w:hAnsi="Times New Roman" w:cs="Times New Roman"/>
        </w:rPr>
        <w:t xml:space="preserve"> UMAP expression plots for immature cells (DCX</w:t>
      </w:r>
      <w:r w:rsidRPr="006C5E9D">
        <w:rPr>
          <w:rFonts w:ascii="Times New Roman" w:hAnsi="Times New Roman" w:cs="Times New Roman"/>
          <w:vertAlign w:val="superscript"/>
        </w:rPr>
        <w:t>+</w:t>
      </w:r>
      <w:r w:rsidRPr="006C5E9D">
        <w:rPr>
          <w:rFonts w:ascii="Times New Roman" w:hAnsi="Times New Roman" w:cs="Times New Roman"/>
        </w:rPr>
        <w:t>CB</w:t>
      </w:r>
      <w:r w:rsidRPr="006C5E9D">
        <w:rPr>
          <w:rFonts w:ascii="Times New Roman" w:hAnsi="Times New Roman" w:cs="Times New Roman"/>
          <w:vertAlign w:val="superscript"/>
        </w:rPr>
        <w:t>–</w:t>
      </w:r>
      <w:r w:rsidRPr="006C5E9D">
        <w:rPr>
          <w:rFonts w:ascii="Times New Roman" w:hAnsi="Times New Roman" w:cs="Times New Roman"/>
        </w:rPr>
        <w:t xml:space="preserve">, 1674 cells) and the remaining cells (13563 cells). </w:t>
      </w:r>
      <w:r w:rsidRPr="005A5D4B">
        <w:rPr>
          <w:rFonts w:ascii="Times New Roman" w:hAnsi="Times New Roman" w:cs="Times New Roman"/>
          <w:b/>
          <w:bCs/>
        </w:rPr>
        <w:t>C</w:t>
      </w:r>
      <w:r w:rsidRPr="006C5E9D">
        <w:rPr>
          <w:rFonts w:ascii="Times New Roman" w:hAnsi="Times New Roman" w:cs="Times New Roman"/>
        </w:rPr>
        <w:t xml:space="preserve"> Upregulated genes in immature cells (DCX</w:t>
      </w:r>
      <w:r w:rsidRPr="006C5E9D">
        <w:rPr>
          <w:rFonts w:ascii="Times New Roman" w:hAnsi="Times New Roman" w:cs="Times New Roman"/>
          <w:vertAlign w:val="superscript"/>
        </w:rPr>
        <w:t>+</w:t>
      </w:r>
      <w:r w:rsidRPr="006C5E9D">
        <w:rPr>
          <w:rFonts w:ascii="Times New Roman" w:hAnsi="Times New Roman" w:cs="Times New Roman"/>
        </w:rPr>
        <w:t>CB</w:t>
      </w:r>
      <w:r w:rsidRPr="006C5E9D">
        <w:rPr>
          <w:rFonts w:ascii="Times New Roman" w:hAnsi="Times New Roman" w:cs="Times New Roman"/>
          <w:vertAlign w:val="superscript"/>
        </w:rPr>
        <w:t>–</w:t>
      </w:r>
      <w:r w:rsidRPr="006C5E9D">
        <w:rPr>
          <w:rFonts w:ascii="Times New Roman" w:hAnsi="Times New Roman" w:cs="Times New Roman"/>
        </w:rPr>
        <w:t xml:space="preserve">) compared with others. </w:t>
      </w:r>
      <w:r w:rsidRPr="005A5D4B">
        <w:rPr>
          <w:rFonts w:ascii="Times New Roman" w:hAnsi="Times New Roman" w:cs="Times New Roman"/>
          <w:b/>
          <w:bCs/>
        </w:rPr>
        <w:t>D</w:t>
      </w:r>
      <w:r w:rsidRPr="006C5E9D">
        <w:rPr>
          <w:rFonts w:ascii="Times New Roman" w:hAnsi="Times New Roman" w:cs="Times New Roman"/>
        </w:rPr>
        <w:t xml:space="preserve"> REACTOME analysis of up- and downregulated genes in immature cells (DCX</w:t>
      </w:r>
      <w:r w:rsidRPr="006C5E9D">
        <w:rPr>
          <w:rFonts w:ascii="Times New Roman" w:hAnsi="Times New Roman" w:cs="Times New Roman"/>
          <w:vertAlign w:val="superscript"/>
        </w:rPr>
        <w:t>+</w:t>
      </w:r>
      <w:r w:rsidRPr="006C5E9D">
        <w:rPr>
          <w:rFonts w:ascii="Times New Roman" w:hAnsi="Times New Roman" w:cs="Times New Roman"/>
        </w:rPr>
        <w:t>CB</w:t>
      </w:r>
      <w:r w:rsidRPr="006C5E9D">
        <w:rPr>
          <w:rFonts w:ascii="Times New Roman" w:hAnsi="Times New Roman" w:cs="Times New Roman"/>
          <w:vertAlign w:val="superscript"/>
        </w:rPr>
        <w:t>–</w:t>
      </w:r>
      <w:r w:rsidRPr="006C5E9D">
        <w:rPr>
          <w:rFonts w:ascii="Times New Roman" w:hAnsi="Times New Roman" w:cs="Times New Roman"/>
        </w:rPr>
        <w:t>).</w:t>
      </w:r>
    </w:p>
    <w:p w14:paraId="6D0EE1F5" w14:textId="1003D8DC" w:rsidR="000F1E21" w:rsidRPr="000F1E21" w:rsidRDefault="000F1E21" w:rsidP="000F1E21">
      <w:pPr>
        <w:spacing w:after="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14:paraId="7B77221B" w14:textId="47D26D8F" w:rsidR="00B97D76" w:rsidRPr="006C5E9D" w:rsidRDefault="00DF5367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w:drawing>
          <wp:inline distT="0" distB="0" distL="0" distR="0" wp14:anchorId="6EC1DE3D" wp14:editId="1B4C9793">
            <wp:extent cx="5731510" cy="5442585"/>
            <wp:effectExtent l="0" t="0" r="0" b="5715"/>
            <wp:docPr id="1516153238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153238" name="그림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4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46A5C" w14:textId="77777777" w:rsidR="00B97D76" w:rsidRPr="000F1E21" w:rsidRDefault="00B97D76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0F1E21">
        <w:rPr>
          <w:rFonts w:ascii="Times New Roman" w:hAnsi="Times New Roman" w:cs="Times New Roman"/>
          <w:b/>
          <w:bCs/>
        </w:rPr>
        <w:t xml:space="preserve">Supplementary Fig. 8. Cell-to-cell communication (analyzed using </w:t>
      </w:r>
      <w:proofErr w:type="spellStart"/>
      <w:r w:rsidRPr="000F1E21">
        <w:rPr>
          <w:rFonts w:ascii="Times New Roman" w:hAnsi="Times New Roman" w:cs="Times New Roman"/>
          <w:b/>
          <w:bCs/>
        </w:rPr>
        <w:t>CellChat</w:t>
      </w:r>
      <w:proofErr w:type="spellEnd"/>
      <w:r w:rsidRPr="000F1E21">
        <w:rPr>
          <w:rFonts w:ascii="Times New Roman" w:hAnsi="Times New Roman" w:cs="Times New Roman"/>
          <w:b/>
          <w:bCs/>
        </w:rPr>
        <w:t>) among all nucleus types in hippocampal and prefrontal populations.</w:t>
      </w:r>
    </w:p>
    <w:p w14:paraId="3B510B56" w14:textId="7A1C07D4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  <w:proofErr w:type="gramStart"/>
      <w:r w:rsidRPr="005A5D4B">
        <w:rPr>
          <w:rFonts w:ascii="Times New Roman" w:hAnsi="Times New Roman" w:cs="Times New Roman"/>
          <w:b/>
          <w:bCs/>
        </w:rPr>
        <w:t>A</w:t>
      </w:r>
      <w:proofErr w:type="gramEnd"/>
      <w:r w:rsidR="005A5D4B">
        <w:rPr>
          <w:rFonts w:ascii="Times New Roman" w:hAnsi="Times New Roman" w:cs="Times New Roman"/>
        </w:rPr>
        <w:t xml:space="preserve"> </w:t>
      </w:r>
      <w:r w:rsidRPr="006C5E9D">
        <w:rPr>
          <w:rFonts w:ascii="Times New Roman" w:hAnsi="Times New Roman" w:cs="Times New Roman"/>
        </w:rPr>
        <w:t xml:space="preserve">Outgoing and incoming interaction strengths and expression levels of significant ligand–receptor pairs in the prefrontal (left) and hippocampal (right) populations. </w:t>
      </w:r>
      <w:r w:rsidRPr="005A5D4B">
        <w:rPr>
          <w:rFonts w:ascii="Times New Roman" w:hAnsi="Times New Roman" w:cs="Times New Roman"/>
          <w:b/>
          <w:bCs/>
        </w:rPr>
        <w:t>B</w:t>
      </w:r>
      <w:r w:rsidRPr="006C5E9D">
        <w:rPr>
          <w:rFonts w:ascii="Times New Roman" w:hAnsi="Times New Roman" w:cs="Times New Roman"/>
        </w:rPr>
        <w:t xml:space="preserve"> Cell-to-cell interactions among all cell types in the prefrontal (left) and hippocampal (right) populations. </w:t>
      </w:r>
      <w:r w:rsidRPr="005A5D4B">
        <w:rPr>
          <w:rFonts w:ascii="Times New Roman" w:hAnsi="Times New Roman" w:cs="Times New Roman"/>
          <w:b/>
          <w:bCs/>
        </w:rPr>
        <w:t>C</w:t>
      </w:r>
      <w:r w:rsidRPr="006C5E9D">
        <w:rPr>
          <w:rFonts w:ascii="Times New Roman" w:hAnsi="Times New Roman" w:cs="Times New Roman"/>
        </w:rPr>
        <w:t xml:space="preserve"> Ligand–receptor interactions among all cell types in the prefrontal (left) and hippocampal (right) populations. </w:t>
      </w:r>
      <w:r w:rsidRPr="005A5D4B">
        <w:rPr>
          <w:rFonts w:ascii="Times New Roman" w:hAnsi="Times New Roman" w:cs="Times New Roman"/>
          <w:b/>
          <w:bCs/>
        </w:rPr>
        <w:t>D</w:t>
      </w:r>
      <w:r w:rsidRPr="006C5E9D">
        <w:rPr>
          <w:rFonts w:ascii="Times New Roman" w:hAnsi="Times New Roman" w:cs="Times New Roman"/>
        </w:rPr>
        <w:t xml:space="preserve"> Pleiotrophin (PTN), insulin-like growth factor (IGF), and VISFATIN signaling pathway networks in the prefrontal (upper) and hippocampal (lower) populations. </w:t>
      </w:r>
      <w:r w:rsidRPr="005A5D4B">
        <w:rPr>
          <w:rFonts w:ascii="Times New Roman" w:hAnsi="Times New Roman" w:cs="Times New Roman"/>
          <w:b/>
          <w:bCs/>
        </w:rPr>
        <w:t>E</w:t>
      </w:r>
      <w:r w:rsidRPr="006C5E9D">
        <w:rPr>
          <w:rFonts w:ascii="Times New Roman" w:hAnsi="Times New Roman" w:cs="Times New Roman"/>
        </w:rPr>
        <w:t xml:space="preserve"> Cell-to-</w:t>
      </w:r>
      <w:r w:rsidRPr="006C5E9D">
        <w:rPr>
          <w:rFonts w:ascii="Times New Roman" w:hAnsi="Times New Roman" w:cs="Times New Roman"/>
        </w:rPr>
        <w:lastRenderedPageBreak/>
        <w:t xml:space="preserve">cell interactions (NGFR, SPP, and </w:t>
      </w:r>
      <w:proofErr w:type="spellStart"/>
      <w:r w:rsidRPr="006C5E9D">
        <w:rPr>
          <w:rFonts w:ascii="Times New Roman" w:hAnsi="Times New Roman" w:cs="Times New Roman"/>
        </w:rPr>
        <w:t>semaphorin</w:t>
      </w:r>
      <w:proofErr w:type="spellEnd"/>
      <w:r w:rsidRPr="006C5E9D">
        <w:rPr>
          <w:rFonts w:ascii="Times New Roman" w:hAnsi="Times New Roman" w:cs="Times New Roman"/>
        </w:rPr>
        <w:t xml:space="preserve"> 3 [SEMA3]) among all cell types of the hippocampal population. </w:t>
      </w:r>
    </w:p>
    <w:p w14:paraId="2F2CB9C3" w14:textId="77777777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</w:p>
    <w:p w14:paraId="61DF274F" w14:textId="77777777" w:rsidR="00B97D76" w:rsidRPr="006C5E9D" w:rsidRDefault="00B97D76" w:rsidP="006C5E9D">
      <w:pPr>
        <w:spacing w:after="160" w:line="480" w:lineRule="auto"/>
        <w:jc w:val="both"/>
        <w:rPr>
          <w:rFonts w:ascii="Times New Roman" w:hAnsi="Times New Roman" w:cs="Times New Roman"/>
          <w:b/>
          <w:bCs/>
        </w:rPr>
      </w:pPr>
      <w:r w:rsidRPr="006C5E9D">
        <w:rPr>
          <w:rFonts w:ascii="Times New Roman" w:hAnsi="Times New Roman" w:cs="Times New Roman"/>
          <w:b/>
          <w:bCs/>
        </w:rPr>
        <w:br w:type="page"/>
      </w:r>
    </w:p>
    <w:p w14:paraId="48F3E7C0" w14:textId="03A75ECA" w:rsidR="00B97D76" w:rsidRPr="006C5E9D" w:rsidRDefault="00DF5367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w:drawing>
          <wp:inline distT="0" distB="0" distL="0" distR="0" wp14:anchorId="46EC2753" wp14:editId="680B79CD">
            <wp:extent cx="5736771" cy="2414333"/>
            <wp:effectExtent l="0" t="0" r="3810" b="0"/>
            <wp:docPr id="230029426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029426" name="그림 23002942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8" r="8075"/>
                    <a:stretch/>
                  </pic:blipFill>
                  <pic:spPr bwMode="auto">
                    <a:xfrm>
                      <a:off x="0" y="0"/>
                      <a:ext cx="5763852" cy="2425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F2505" w14:textId="77777777" w:rsidR="006C5E9D" w:rsidRPr="007D13A3" w:rsidRDefault="00B97D76" w:rsidP="006C5E9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7D13A3">
        <w:rPr>
          <w:rFonts w:ascii="Times New Roman" w:hAnsi="Times New Roman" w:cs="Times New Roman"/>
          <w:b/>
          <w:bCs/>
        </w:rPr>
        <w:t xml:space="preserve">Supplementary Fig. 9. Immature and neurogenic markers expressed nuclei. </w:t>
      </w:r>
    </w:p>
    <w:p w14:paraId="500E99B9" w14:textId="0240ABE5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  <w:r w:rsidRPr="006C5E9D">
        <w:rPr>
          <w:rFonts w:ascii="Times New Roman" w:hAnsi="Times New Roman" w:cs="Times New Roman"/>
        </w:rPr>
        <w:t>Tables represent the number and proportion of the nuclei expressing the marker genes in the total, hippocampal, and prefrontal populations, detailing the highest UMI count of each marker within a single nucleus.</w:t>
      </w:r>
    </w:p>
    <w:p w14:paraId="5B2C3A67" w14:textId="77777777" w:rsidR="00B97D76" w:rsidRPr="006C5E9D" w:rsidRDefault="00B97D76" w:rsidP="006C5E9D">
      <w:pPr>
        <w:spacing w:line="480" w:lineRule="auto"/>
        <w:jc w:val="both"/>
        <w:rPr>
          <w:rFonts w:ascii="Times New Roman" w:hAnsi="Times New Roman" w:cs="Times New Roman"/>
        </w:rPr>
      </w:pPr>
    </w:p>
    <w:p w14:paraId="02066FB9" w14:textId="77777777" w:rsidR="00A112EF" w:rsidRPr="006C5E9D" w:rsidRDefault="00A112EF" w:rsidP="006C5E9D">
      <w:pPr>
        <w:spacing w:after="16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6C5923F" w14:textId="4A3547D2" w:rsidR="00921A04" w:rsidRPr="006C5E9D" w:rsidRDefault="00DF5367" w:rsidP="006C5E9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791110C3" wp14:editId="206544C2">
            <wp:extent cx="5731510" cy="5962650"/>
            <wp:effectExtent l="0" t="0" r="0" b="6350"/>
            <wp:docPr id="424785158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785158" name="그림 42478515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3C152" w14:textId="32B58A16" w:rsidR="00A112EF" w:rsidRPr="004A5D63" w:rsidRDefault="00017BAC" w:rsidP="006C5E9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4A5D63">
        <w:rPr>
          <w:rFonts w:ascii="Times New Roman" w:hAnsi="Times New Roman" w:cs="Times New Roman"/>
          <w:b/>
          <w:bCs/>
          <w:color w:val="000000" w:themeColor="text1"/>
        </w:rPr>
        <w:t xml:space="preserve">Supplemental Fig. </w:t>
      </w:r>
      <w:r w:rsidR="00A112EF" w:rsidRPr="004A5D63">
        <w:rPr>
          <w:rFonts w:ascii="Times New Roman" w:hAnsi="Times New Roman" w:cs="Times New Roman"/>
          <w:b/>
          <w:bCs/>
          <w:color w:val="000000" w:themeColor="text1"/>
        </w:rPr>
        <w:t>1</w:t>
      </w:r>
      <w:r w:rsidR="0043249C" w:rsidRPr="004A5D63">
        <w:rPr>
          <w:rFonts w:ascii="Times New Roman" w:hAnsi="Times New Roman" w:cs="Times New Roman"/>
          <w:b/>
          <w:bCs/>
          <w:color w:val="000000" w:themeColor="text1"/>
        </w:rPr>
        <w:t>0</w:t>
      </w:r>
      <w:r w:rsidR="00A112EF" w:rsidRPr="004A5D63">
        <w:rPr>
          <w:rFonts w:ascii="Times New Roman" w:hAnsi="Times New Roman" w:cs="Times New Roman"/>
          <w:b/>
          <w:bCs/>
          <w:color w:val="000000" w:themeColor="text1"/>
        </w:rPr>
        <w:t xml:space="preserve">. Cell-to-cell interactions among the different cell types. </w:t>
      </w:r>
    </w:p>
    <w:p w14:paraId="6954C025" w14:textId="0C998E9D" w:rsidR="00A112EF" w:rsidRPr="004A5D63" w:rsidRDefault="00AE19C5" w:rsidP="006C5E9D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AE19C5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4A5D63">
        <w:rPr>
          <w:rFonts w:ascii="Times New Roman" w:hAnsi="Times New Roman" w:cs="Times New Roman"/>
          <w:color w:val="000000" w:themeColor="text1"/>
        </w:rPr>
        <w:t xml:space="preserve"> </w:t>
      </w:r>
      <w:r w:rsidR="00A112EF" w:rsidRPr="004A5D63">
        <w:rPr>
          <w:rFonts w:ascii="Times New Roman" w:hAnsi="Times New Roman" w:cs="Times New Roman"/>
          <w:color w:val="000000" w:themeColor="text1"/>
        </w:rPr>
        <w:t xml:space="preserve">Heatmaps present the contributions of each cell type as the sender and receiver in the pleiotrophin (PTN), insulin-like growth factor (IGF), and </w:t>
      </w:r>
      <w:proofErr w:type="spellStart"/>
      <w:r w:rsidR="00A112EF" w:rsidRPr="004A5D63">
        <w:rPr>
          <w:rFonts w:ascii="Times New Roman" w:hAnsi="Times New Roman" w:cs="Times New Roman"/>
          <w:color w:val="000000" w:themeColor="text1"/>
        </w:rPr>
        <w:t>visfatin</w:t>
      </w:r>
      <w:proofErr w:type="spellEnd"/>
      <w:r w:rsidR="00A112EF" w:rsidRPr="004A5D63">
        <w:rPr>
          <w:rFonts w:ascii="Times New Roman" w:hAnsi="Times New Roman" w:cs="Times New Roman"/>
          <w:color w:val="000000" w:themeColor="text1"/>
        </w:rPr>
        <w:t xml:space="preserve"> signaling networks. </w:t>
      </w:r>
      <w:r w:rsidRPr="00AE19C5">
        <w:rPr>
          <w:rFonts w:ascii="Times New Roman" w:hAnsi="Times New Roman" w:cs="Times New Roman"/>
          <w:b/>
          <w:bCs/>
          <w:color w:val="000000" w:themeColor="text1"/>
        </w:rPr>
        <w:t>B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A112EF" w:rsidRPr="004A5D63">
        <w:rPr>
          <w:rFonts w:ascii="Times New Roman" w:hAnsi="Times New Roman" w:cs="Times New Roman"/>
          <w:color w:val="000000" w:themeColor="text1"/>
        </w:rPr>
        <w:t>Violin plots of expression levels of ligand–receptor pairs in the cell types of the prefrontal nuclei (left) and the hippocampal nuclei (right).</w:t>
      </w:r>
    </w:p>
    <w:p w14:paraId="3F5AEA84" w14:textId="77777777" w:rsidR="003575C7" w:rsidRPr="006C5E9D" w:rsidRDefault="003575C7" w:rsidP="006C5E9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2814741" w14:textId="77777777" w:rsidR="007E4490" w:rsidRPr="006C5E9D" w:rsidRDefault="007E4490" w:rsidP="006C5E9D">
      <w:pPr>
        <w:spacing w:line="480" w:lineRule="auto"/>
        <w:jc w:val="both"/>
        <w:rPr>
          <w:rFonts w:ascii="Times New Roman" w:hAnsi="Times New Roman" w:cs="Times New Roman"/>
        </w:rPr>
      </w:pPr>
    </w:p>
    <w:sectPr w:rsidR="007E4490" w:rsidRPr="006C5E9D" w:rsidSect="0056403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222D8" w14:textId="77777777" w:rsidR="009F0624" w:rsidRDefault="009F0624" w:rsidP="007E4490">
      <w:r>
        <w:separator/>
      </w:r>
    </w:p>
  </w:endnote>
  <w:endnote w:type="continuationSeparator" w:id="0">
    <w:p w14:paraId="1F71EB55" w14:textId="77777777" w:rsidR="009F0624" w:rsidRDefault="009F0624" w:rsidP="007E4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042D0" w14:textId="77777777" w:rsidR="009F0624" w:rsidRDefault="009F0624" w:rsidP="007E4490">
      <w:r>
        <w:separator/>
      </w:r>
    </w:p>
  </w:footnote>
  <w:footnote w:type="continuationSeparator" w:id="0">
    <w:p w14:paraId="783582AA" w14:textId="77777777" w:rsidR="009F0624" w:rsidRDefault="009F0624" w:rsidP="007E4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490"/>
    <w:rsid w:val="00017BAC"/>
    <w:rsid w:val="00064E03"/>
    <w:rsid w:val="000F1482"/>
    <w:rsid w:val="000F1E21"/>
    <w:rsid w:val="0011200D"/>
    <w:rsid w:val="00136572"/>
    <w:rsid w:val="00191282"/>
    <w:rsid w:val="00325F5A"/>
    <w:rsid w:val="003575C7"/>
    <w:rsid w:val="0041439E"/>
    <w:rsid w:val="0043249C"/>
    <w:rsid w:val="004A5D63"/>
    <w:rsid w:val="00564038"/>
    <w:rsid w:val="00564D84"/>
    <w:rsid w:val="005A5D4B"/>
    <w:rsid w:val="005D2F61"/>
    <w:rsid w:val="006C5E9D"/>
    <w:rsid w:val="007D13A3"/>
    <w:rsid w:val="007E4490"/>
    <w:rsid w:val="00895637"/>
    <w:rsid w:val="008E0981"/>
    <w:rsid w:val="00921A04"/>
    <w:rsid w:val="009A5767"/>
    <w:rsid w:val="009F0624"/>
    <w:rsid w:val="009F09FC"/>
    <w:rsid w:val="00A112EF"/>
    <w:rsid w:val="00AE19C5"/>
    <w:rsid w:val="00B36F9D"/>
    <w:rsid w:val="00B42FB6"/>
    <w:rsid w:val="00B97D76"/>
    <w:rsid w:val="00D227CE"/>
    <w:rsid w:val="00D91DDC"/>
    <w:rsid w:val="00DB6E16"/>
    <w:rsid w:val="00DD1619"/>
    <w:rsid w:val="00DF5367"/>
    <w:rsid w:val="00E445FE"/>
    <w:rsid w:val="00E8570D"/>
    <w:rsid w:val="00F84C80"/>
    <w:rsid w:val="00FE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98CE2F"/>
  <w15:chartTrackingRefBased/>
  <w15:docId w15:val="{3BD9078C-1CAF-6A41-A37D-92CE24CD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490"/>
    <w:pPr>
      <w:spacing w:after="0"/>
    </w:pPr>
    <w:rPr>
      <w:kern w:val="0"/>
      <w:sz w:val="24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E4490"/>
    <w:pPr>
      <w:keepNext/>
      <w:keepLines/>
      <w:widowControl w:val="0"/>
      <w:wordWrap w:val="0"/>
      <w:autoSpaceDE w:val="0"/>
      <w:autoSpaceDN w:val="0"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E4490"/>
    <w:pPr>
      <w:keepNext/>
      <w:keepLines/>
      <w:widowControl w:val="0"/>
      <w:wordWrap w:val="0"/>
      <w:autoSpaceDE w:val="0"/>
      <w:autoSpaceDN w:val="0"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E449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E449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E449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E449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E4490"/>
    <w:pPr>
      <w:widowControl w:val="0"/>
      <w:wordWrap w:val="0"/>
      <w:autoSpaceDE w:val="0"/>
      <w:autoSpaceDN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7E4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E4490"/>
    <w:pPr>
      <w:widowControl w:val="0"/>
      <w:numPr>
        <w:ilvl w:val="1"/>
      </w:numPr>
      <w:wordWrap w:val="0"/>
      <w:autoSpaceDE w:val="0"/>
      <w:autoSpaceDN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7E44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E4490"/>
    <w:pPr>
      <w:widowControl w:val="0"/>
      <w:wordWrap w:val="0"/>
      <w:autoSpaceDE w:val="0"/>
      <w:autoSpaceDN w:val="0"/>
      <w:spacing w:before="160" w:after="160"/>
      <w:jc w:val="center"/>
    </w:pPr>
    <w:rPr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7E449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E4490"/>
    <w:pPr>
      <w:widowControl w:val="0"/>
      <w:wordWrap w:val="0"/>
      <w:autoSpaceDE w:val="0"/>
      <w:autoSpaceDN w:val="0"/>
      <w:spacing w:after="160"/>
      <w:ind w:left="720"/>
      <w:contextualSpacing/>
    </w:pPr>
    <w:rPr>
      <w:kern w:val="2"/>
      <w:sz w:val="22"/>
      <w14:ligatures w14:val="standardContextual"/>
    </w:rPr>
  </w:style>
  <w:style w:type="character" w:styleId="a7">
    <w:name w:val="Intense Emphasis"/>
    <w:basedOn w:val="a0"/>
    <w:uiPriority w:val="21"/>
    <w:qFormat/>
    <w:rsid w:val="007E449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E4490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7E449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E449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7E449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7E4490"/>
    <w:rPr>
      <w:kern w:val="0"/>
      <w:sz w:val="24"/>
      <w:lang w:eastAsia="ko-KR"/>
      <w14:ligatures w14:val="none"/>
    </w:rPr>
  </w:style>
  <w:style w:type="paragraph" w:styleId="ab">
    <w:name w:val="footer"/>
    <w:basedOn w:val="a"/>
    <w:link w:val="Char4"/>
    <w:uiPriority w:val="99"/>
    <w:unhideWhenUsed/>
    <w:rsid w:val="007E4490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7E4490"/>
    <w:rPr>
      <w:kern w:val="0"/>
      <w:sz w:val="24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조태현</dc:creator>
  <cp:keywords/>
  <dc:description/>
  <cp:lastModifiedBy>조태현</cp:lastModifiedBy>
  <cp:revision>12</cp:revision>
  <dcterms:created xsi:type="dcterms:W3CDTF">2024-05-12T14:03:00Z</dcterms:created>
  <dcterms:modified xsi:type="dcterms:W3CDTF">2024-05-20T00:02:00Z</dcterms:modified>
</cp:coreProperties>
</file>