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B03467D" w14:textId="2A7414BB" w:rsidR="00A81684" w:rsidRPr="00AE13DE" w:rsidRDefault="00CE3AA1" w:rsidP="00252DD7">
      <w:pPr>
        <w:pStyle w:val="Title"/>
        <w:spacing w:before="0" w:after="240" w:line="480" w:lineRule="auto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AE13DE">
        <w:rPr>
          <w:rFonts w:ascii="Times New Roman" w:hAnsi="Times New Roman" w:cs="Times New Roman"/>
          <w:b/>
          <w:sz w:val="28"/>
          <w:szCs w:val="28"/>
          <w:u w:val="single"/>
        </w:rPr>
        <w:t>Supp</w:t>
      </w:r>
      <w:r w:rsidR="003019FE">
        <w:rPr>
          <w:rFonts w:ascii="Times New Roman" w:hAnsi="Times New Roman" w:cs="Times New Roman"/>
          <w:b/>
          <w:sz w:val="28"/>
          <w:szCs w:val="28"/>
          <w:u w:val="single"/>
        </w:rPr>
        <w:t>lementary</w:t>
      </w:r>
      <w:r w:rsidRPr="00AE13DE">
        <w:rPr>
          <w:rFonts w:ascii="Times New Roman" w:hAnsi="Times New Roman" w:cs="Times New Roman"/>
          <w:b/>
          <w:sz w:val="28"/>
          <w:szCs w:val="28"/>
          <w:u w:val="single"/>
        </w:rPr>
        <w:t xml:space="preserve"> Info</w:t>
      </w:r>
      <w:r w:rsidR="00252DD7" w:rsidRPr="00AE13DE">
        <w:rPr>
          <w:rFonts w:ascii="Times New Roman" w:hAnsi="Times New Roman" w:cs="Times New Roman"/>
          <w:b/>
          <w:sz w:val="28"/>
          <w:szCs w:val="28"/>
          <w:u w:val="single"/>
        </w:rPr>
        <w:t>r</w:t>
      </w:r>
      <w:r w:rsidRPr="00AE13DE">
        <w:rPr>
          <w:rFonts w:ascii="Times New Roman" w:hAnsi="Times New Roman" w:cs="Times New Roman"/>
          <w:b/>
          <w:sz w:val="28"/>
          <w:szCs w:val="28"/>
          <w:u w:val="single"/>
        </w:rPr>
        <w:t>mation</w:t>
      </w:r>
    </w:p>
    <w:p w14:paraId="75B739E1" w14:textId="7EFDB16E" w:rsidR="00F83295" w:rsidRDefault="00CE3AA1" w:rsidP="004B572E">
      <w:pPr>
        <w:pStyle w:val="Title"/>
        <w:spacing w:before="0" w:after="0" w:line="360" w:lineRule="auto"/>
        <w:rPr>
          <w:rFonts w:ascii="Times New Roman" w:hAnsi="Times New Roman" w:cs="Times New Roman"/>
          <w:b/>
          <w:sz w:val="28"/>
        </w:rPr>
      </w:pPr>
      <w:r w:rsidRPr="00D94D79">
        <w:rPr>
          <w:rFonts w:ascii="Times New Roman" w:hAnsi="Times New Roman" w:cs="Times New Roman"/>
          <w:b/>
          <w:sz w:val="28"/>
        </w:rPr>
        <w:t xml:space="preserve">Characterizing the </w:t>
      </w:r>
      <w:r w:rsidR="0029190D">
        <w:rPr>
          <w:rFonts w:ascii="Times New Roman" w:hAnsi="Times New Roman" w:cs="Times New Roman"/>
          <w:b/>
          <w:sz w:val="28"/>
        </w:rPr>
        <w:t>p</w:t>
      </w:r>
      <w:r w:rsidRPr="00D94D79">
        <w:rPr>
          <w:rFonts w:ascii="Times New Roman" w:hAnsi="Times New Roman" w:cs="Times New Roman"/>
          <w:b/>
          <w:sz w:val="28"/>
        </w:rPr>
        <w:t xml:space="preserve">hotoluminescence of </w:t>
      </w:r>
      <w:r w:rsidR="0029190D">
        <w:rPr>
          <w:rFonts w:ascii="Times New Roman" w:hAnsi="Times New Roman" w:cs="Times New Roman"/>
          <w:b/>
          <w:sz w:val="28"/>
        </w:rPr>
        <w:t>f</w:t>
      </w:r>
      <w:r w:rsidRPr="00D94D79">
        <w:rPr>
          <w:rFonts w:ascii="Times New Roman" w:hAnsi="Times New Roman" w:cs="Times New Roman"/>
          <w:b/>
          <w:sz w:val="28"/>
        </w:rPr>
        <w:t>luorescein-</w:t>
      </w:r>
      <w:r w:rsidR="0029190D">
        <w:rPr>
          <w:rFonts w:ascii="Times New Roman" w:hAnsi="Times New Roman" w:cs="Times New Roman"/>
          <w:b/>
          <w:sz w:val="28"/>
        </w:rPr>
        <w:t>l</w:t>
      </w:r>
      <w:r w:rsidRPr="00D94D79">
        <w:rPr>
          <w:rFonts w:ascii="Times New Roman" w:hAnsi="Times New Roman" w:cs="Times New Roman"/>
          <w:b/>
          <w:sz w:val="28"/>
        </w:rPr>
        <w:t xml:space="preserve">abeled </w:t>
      </w:r>
      <w:r w:rsidR="0029190D">
        <w:rPr>
          <w:rFonts w:ascii="Times New Roman" w:hAnsi="Times New Roman" w:cs="Times New Roman"/>
          <w:b/>
          <w:sz w:val="28"/>
        </w:rPr>
        <w:t>c</w:t>
      </w:r>
      <w:r w:rsidRPr="00D94D79">
        <w:rPr>
          <w:rFonts w:ascii="Times New Roman" w:hAnsi="Times New Roman" w:cs="Times New Roman"/>
          <w:b/>
          <w:sz w:val="28"/>
        </w:rPr>
        <w:t xml:space="preserve">ellulose </w:t>
      </w:r>
    </w:p>
    <w:p w14:paraId="025F3A65" w14:textId="3A023791" w:rsidR="00AE001A" w:rsidRPr="00AE13DE" w:rsidRDefault="00CE3AA1" w:rsidP="004B572E">
      <w:pPr>
        <w:pStyle w:val="Title"/>
        <w:spacing w:before="0" w:after="0" w:line="360" w:lineRule="auto"/>
        <w:rPr>
          <w:rFonts w:ascii="Times New Roman" w:hAnsi="Times New Roman" w:cs="Times New Roman"/>
          <w:b/>
          <w:sz w:val="28"/>
        </w:rPr>
      </w:pPr>
      <w:r w:rsidRPr="00D94D79">
        <w:rPr>
          <w:rFonts w:ascii="Times New Roman" w:hAnsi="Times New Roman" w:cs="Times New Roman"/>
          <w:b/>
          <w:sz w:val="28"/>
        </w:rPr>
        <w:t xml:space="preserve">in </w:t>
      </w:r>
      <w:r w:rsidR="0029190D">
        <w:rPr>
          <w:rFonts w:ascii="Times New Roman" w:hAnsi="Times New Roman" w:cs="Times New Roman"/>
          <w:b/>
          <w:sz w:val="28"/>
        </w:rPr>
        <w:t>a</w:t>
      </w:r>
      <w:r w:rsidRPr="00D94D79">
        <w:rPr>
          <w:rFonts w:ascii="Times New Roman" w:hAnsi="Times New Roman" w:cs="Times New Roman"/>
          <w:b/>
          <w:sz w:val="28"/>
        </w:rPr>
        <w:t xml:space="preserve">queous and </w:t>
      </w:r>
      <w:r w:rsidR="0029190D">
        <w:rPr>
          <w:rFonts w:ascii="Times New Roman" w:hAnsi="Times New Roman" w:cs="Times New Roman"/>
          <w:b/>
          <w:sz w:val="28"/>
        </w:rPr>
        <w:t>a</w:t>
      </w:r>
      <w:r w:rsidRPr="00D94D79">
        <w:rPr>
          <w:rFonts w:ascii="Times New Roman" w:hAnsi="Times New Roman" w:cs="Times New Roman"/>
          <w:b/>
          <w:sz w:val="28"/>
        </w:rPr>
        <w:t xml:space="preserve">lcohol </w:t>
      </w:r>
      <w:r w:rsidR="0029190D">
        <w:rPr>
          <w:rFonts w:ascii="Times New Roman" w:hAnsi="Times New Roman" w:cs="Times New Roman"/>
          <w:b/>
          <w:sz w:val="28"/>
        </w:rPr>
        <w:t>s</w:t>
      </w:r>
      <w:r w:rsidRPr="00D94D79">
        <w:rPr>
          <w:rFonts w:ascii="Times New Roman" w:hAnsi="Times New Roman" w:cs="Times New Roman"/>
          <w:b/>
          <w:sz w:val="28"/>
        </w:rPr>
        <w:t xml:space="preserve">olutions: </w:t>
      </w:r>
      <w:r w:rsidR="0029190D">
        <w:rPr>
          <w:rFonts w:ascii="Times New Roman" w:hAnsi="Times New Roman" w:cs="Times New Roman"/>
          <w:b/>
          <w:sz w:val="28"/>
        </w:rPr>
        <w:t>i</w:t>
      </w:r>
      <w:r w:rsidRPr="00D94D79">
        <w:rPr>
          <w:rFonts w:ascii="Times New Roman" w:hAnsi="Times New Roman" w:cs="Times New Roman"/>
          <w:b/>
          <w:sz w:val="28"/>
        </w:rPr>
        <w:t xml:space="preserve">nfluence of the </w:t>
      </w:r>
      <w:r w:rsidR="0029190D">
        <w:rPr>
          <w:rFonts w:ascii="Times New Roman" w:hAnsi="Times New Roman" w:cs="Times New Roman"/>
          <w:b/>
          <w:sz w:val="28"/>
        </w:rPr>
        <w:t>c</w:t>
      </w:r>
      <w:r w:rsidRPr="00D94D79">
        <w:rPr>
          <w:rFonts w:ascii="Times New Roman" w:hAnsi="Times New Roman" w:cs="Times New Roman"/>
          <w:b/>
          <w:sz w:val="28"/>
        </w:rPr>
        <w:t xml:space="preserve">ellulose </w:t>
      </w:r>
      <w:r w:rsidR="0029190D">
        <w:rPr>
          <w:rFonts w:ascii="Times New Roman" w:hAnsi="Times New Roman" w:cs="Times New Roman"/>
          <w:b/>
          <w:sz w:val="28"/>
        </w:rPr>
        <w:t>b</w:t>
      </w:r>
      <w:r w:rsidRPr="00D94D79">
        <w:rPr>
          <w:rFonts w:ascii="Times New Roman" w:hAnsi="Times New Roman" w:cs="Times New Roman"/>
          <w:b/>
          <w:sz w:val="28"/>
        </w:rPr>
        <w:t>ackbone</w:t>
      </w:r>
    </w:p>
    <w:p w14:paraId="06C9C874" w14:textId="2664E932" w:rsidR="00CF3515" w:rsidRPr="00AE13DE" w:rsidRDefault="00CE3AA1" w:rsidP="00252DD7">
      <w:pPr>
        <w:pStyle w:val="BBAuthorName"/>
        <w:spacing w:beforeLines="100" w:before="240"/>
        <w:rPr>
          <w:rFonts w:ascii="Times New Roman" w:hAnsi="Times New Roman" w:cs="Times New Roman"/>
          <w:i w:val="0"/>
        </w:rPr>
      </w:pPr>
      <w:r w:rsidRPr="005C7F58">
        <w:rPr>
          <w:rFonts w:ascii="Times New Roman" w:hAnsi="Times New Roman" w:cs="Times New Roman"/>
        </w:rPr>
        <w:t>Chi-Yang Yen</w:t>
      </w:r>
      <w:r w:rsidRPr="005C7F58">
        <w:rPr>
          <w:rFonts w:ascii="Times New Roman" w:hAnsi="Times New Roman" w:cs="Times New Roman"/>
          <w:vertAlign w:val="superscript"/>
        </w:rPr>
        <w:t>1</w:t>
      </w:r>
      <w:r w:rsidRPr="005C7F58">
        <w:rPr>
          <w:rFonts w:ascii="Times New Roman" w:hAnsi="Times New Roman" w:cs="Times New Roman"/>
        </w:rPr>
        <w:t>, Shailesh Rana</w:t>
      </w:r>
      <w:r w:rsidRPr="005C7F58">
        <w:rPr>
          <w:rFonts w:ascii="Times New Roman" w:hAnsi="Times New Roman" w:cs="Times New Roman"/>
          <w:vertAlign w:val="superscript"/>
        </w:rPr>
        <w:t>2</w:t>
      </w:r>
      <w:r w:rsidRPr="005C7F58">
        <w:rPr>
          <w:rFonts w:ascii="Times New Roman" w:hAnsi="Times New Roman" w:cs="Times New Roman"/>
        </w:rPr>
        <w:t>, Kamlesh Awasthi</w:t>
      </w:r>
      <w:r w:rsidRPr="005C7F58">
        <w:rPr>
          <w:rFonts w:ascii="Times New Roman" w:hAnsi="Times New Roman" w:cs="Times New Roman"/>
          <w:vertAlign w:val="superscript"/>
        </w:rPr>
        <w:t>2</w:t>
      </w:r>
      <w:r w:rsidRPr="005C7F58">
        <w:rPr>
          <w:rFonts w:ascii="Times New Roman" w:hAnsi="Times New Roman" w:cs="Times New Roman"/>
        </w:rPr>
        <w:t>, Nobuhiro Ohta</w:t>
      </w:r>
      <w:r w:rsidRPr="005C7F58">
        <w:rPr>
          <w:rFonts w:ascii="Times New Roman" w:hAnsi="Times New Roman" w:cs="Times New Roman"/>
          <w:vertAlign w:val="superscript"/>
        </w:rPr>
        <w:t>2,</w:t>
      </w:r>
      <w:r w:rsidRPr="005C7F58">
        <w:rPr>
          <w:rFonts w:ascii="Times New Roman" w:hAnsi="Times New Roman" w:cs="Times New Roman"/>
        </w:rPr>
        <w:t>*, Masahito Oh-e</w:t>
      </w:r>
      <w:r w:rsidRPr="005C7F58">
        <w:rPr>
          <w:rFonts w:ascii="Times New Roman" w:hAnsi="Times New Roman" w:cs="Times New Roman"/>
          <w:vertAlign w:val="superscript"/>
        </w:rPr>
        <w:t>1,</w:t>
      </w:r>
      <w:r w:rsidRPr="005C7F58">
        <w:rPr>
          <w:rFonts w:ascii="Times New Roman" w:hAnsi="Times New Roman" w:cs="Times New Roman"/>
        </w:rPr>
        <w:t>*</w:t>
      </w:r>
    </w:p>
    <w:p w14:paraId="14E79B09" w14:textId="42C6F4DA" w:rsidR="009130C7" w:rsidRPr="00AE13DE" w:rsidRDefault="00CE3AA1" w:rsidP="00252DD7">
      <w:pPr>
        <w:pStyle w:val="BCAuthorAddress"/>
        <w:spacing w:after="0" w:line="360" w:lineRule="auto"/>
      </w:pPr>
      <w:r>
        <w:rPr>
          <w:rFonts w:ascii="Arial" w:hAnsi="Arial" w:cs="Arial"/>
          <w:vertAlign w:val="superscript"/>
        </w:rPr>
        <w:t xml:space="preserve">1 </w:t>
      </w:r>
      <w:r w:rsidR="00754EF5" w:rsidRPr="00AE13DE">
        <w:t xml:space="preserve">Institute of Photonics Technologies, Department of Electrical Engineering, </w:t>
      </w:r>
    </w:p>
    <w:p w14:paraId="7358A80F" w14:textId="76CC8097" w:rsidR="009130C7" w:rsidRPr="00AE13DE" w:rsidRDefault="00CE3AA1" w:rsidP="00252DD7">
      <w:pPr>
        <w:pStyle w:val="BCAuthorAddress"/>
        <w:spacing w:after="0" w:line="360" w:lineRule="auto"/>
      </w:pPr>
      <w:r w:rsidRPr="00AE13DE">
        <w:t xml:space="preserve">National Tsing Hua University, 101 Sec. 2 Kuang-Fu Road, Hsinchu </w:t>
      </w:r>
      <w:r w:rsidR="001F7F9F" w:rsidRPr="001F7F9F">
        <w:t>300044</w:t>
      </w:r>
      <w:r w:rsidRPr="00AE13DE">
        <w:t>, Taiwan</w:t>
      </w:r>
    </w:p>
    <w:p w14:paraId="7E7BA8FA" w14:textId="6FEF617E" w:rsidR="009130C7" w:rsidRPr="00AE13DE" w:rsidRDefault="00CE3AA1" w:rsidP="00D94D79">
      <w:pPr>
        <w:pStyle w:val="BCAuthorAddress"/>
        <w:spacing w:after="0" w:line="360" w:lineRule="auto"/>
      </w:pPr>
      <w:r>
        <w:rPr>
          <w:rFonts w:ascii="Arial" w:hAnsi="Arial" w:cs="Arial"/>
          <w:vertAlign w:val="superscript"/>
        </w:rPr>
        <w:t>2</w:t>
      </w:r>
      <w:r w:rsidR="00256A70" w:rsidRPr="00AE13DE">
        <w:t xml:space="preserve"> </w:t>
      </w:r>
      <w:r w:rsidR="00754EF5" w:rsidRPr="00D94D79">
        <w:t>Department of Applied Chemistry and Institute of Molecular Science, and Center for Emergent Functional Matter Science, National Yang Ming Chiao Tung University</w:t>
      </w:r>
      <w:r w:rsidR="001F7F9F">
        <w:t>,</w:t>
      </w:r>
      <w:r w:rsidR="001F7F9F" w:rsidRPr="001F7F9F">
        <w:rPr>
          <w:rFonts w:ascii="Arial" w:hAnsi="Arial" w:cs="Arial"/>
          <w:color w:val="707070"/>
        </w:rPr>
        <w:t xml:space="preserve"> </w:t>
      </w:r>
      <w:r w:rsidR="001F7F9F" w:rsidRPr="001F7F9F">
        <w:t>1001 Ta-Hsueh R</w:t>
      </w:r>
      <w:r w:rsidR="001F7F9F">
        <w:t>oa</w:t>
      </w:r>
      <w:r w:rsidR="001F7F9F" w:rsidRPr="001F7F9F">
        <w:t>d, Hsinchu 300093, Taiwan</w:t>
      </w:r>
      <w:r w:rsidR="001F7F9F">
        <w:t xml:space="preserve"> </w:t>
      </w:r>
    </w:p>
    <w:p w14:paraId="7F9096AA" w14:textId="70D14AB3" w:rsidR="004C77FF" w:rsidRPr="00AE13DE" w:rsidRDefault="00CE3AA1" w:rsidP="00252DD7">
      <w:pPr>
        <w:pStyle w:val="BCAuthorAddress"/>
        <w:spacing w:after="0" w:line="360" w:lineRule="auto"/>
      </w:pPr>
      <w:r w:rsidRPr="00AE13DE">
        <w:t>* Corresponding author</w:t>
      </w:r>
      <w:r w:rsidR="004629AA">
        <w:t>s</w:t>
      </w:r>
    </w:p>
    <w:p w14:paraId="3EA47EC3" w14:textId="039A8EDF" w:rsidR="00A84CA0" w:rsidRPr="00AE13DE" w:rsidRDefault="00A84CA0" w:rsidP="00A84CA0">
      <w:pPr>
        <w:pStyle w:val="BIEmailAddress"/>
        <w:rPr>
          <w:highlight w:val="yellow"/>
        </w:rPr>
      </w:pPr>
    </w:p>
    <w:p w14:paraId="5C5059F7" w14:textId="571B0CF7" w:rsidR="007A0012" w:rsidRDefault="00CE3AA1" w:rsidP="0079342D">
      <w:pPr>
        <w:pStyle w:val="TESupportingInformation"/>
        <w:spacing w:line="360" w:lineRule="auto"/>
        <w:jc w:val="both"/>
      </w:pPr>
      <w:r>
        <w:t xml:space="preserve">This </w:t>
      </w:r>
      <w:r w:rsidR="003019FE" w:rsidRPr="003019FE">
        <w:t>Supplementary</w:t>
      </w:r>
      <w:r w:rsidR="0029190D">
        <w:t xml:space="preserve"> </w:t>
      </w:r>
      <w:r w:rsidR="009130C7" w:rsidRPr="00AE13DE">
        <w:t xml:space="preserve">Information includes </w:t>
      </w:r>
      <w:r w:rsidR="0032574C">
        <w:t xml:space="preserve">the </w:t>
      </w:r>
      <w:r w:rsidRPr="00D4065C">
        <w:t>complementary</w:t>
      </w:r>
      <w:r>
        <w:t xml:space="preserve"> </w:t>
      </w:r>
      <w:r w:rsidR="00E21E30">
        <w:t>photoluminescence (</w:t>
      </w:r>
      <w:r>
        <w:t>PL</w:t>
      </w:r>
      <w:r w:rsidR="00E21E30">
        <w:t>)</w:t>
      </w:r>
      <w:r>
        <w:t xml:space="preserve"> properties of </w:t>
      </w:r>
      <w:r w:rsidR="0066288E" w:rsidRPr="0066288E">
        <w:t xml:space="preserve">fluorescein-labeled cellulose </w:t>
      </w:r>
      <w:r w:rsidR="0066288E">
        <w:t>(</w:t>
      </w:r>
      <w:r>
        <w:t>FLC</w:t>
      </w:r>
      <w:r w:rsidR="0066288E">
        <w:t>)</w:t>
      </w:r>
      <w:r>
        <w:t xml:space="preserve"> i</w:t>
      </w:r>
      <w:r w:rsidR="00B40E91">
        <w:t>n water, methanol, and ethanol</w:t>
      </w:r>
      <w:r w:rsidR="00B40E91" w:rsidRPr="00B40E91">
        <w:t>.</w:t>
      </w:r>
    </w:p>
    <w:p w14:paraId="36934B95" w14:textId="180F9B40" w:rsidR="000967B1" w:rsidRDefault="00CE3AA1" w:rsidP="0079342D">
      <w:pPr>
        <w:pStyle w:val="TESupportingInformation"/>
        <w:spacing w:line="360" w:lineRule="auto"/>
        <w:jc w:val="both"/>
        <w:rPr>
          <w:lang w:val="en"/>
        </w:rPr>
      </w:pPr>
      <w:r>
        <w:t xml:space="preserve">Using the </w:t>
      </w:r>
      <w:r w:rsidR="00405B1D" w:rsidRPr="00405B1D">
        <w:t xml:space="preserve">fast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τ</m:t>
            </m:r>
          </m:e>
          <m:sub>
            <m:r>
              <w:rPr>
                <w:rFonts w:ascii="Cambria Math" w:hAnsi="Cambria Math"/>
              </w:rPr>
              <m:t>1</m:t>
            </m:r>
          </m:sub>
        </m:sSub>
      </m:oMath>
      <w:r>
        <w:t xml:space="preserve"> </w:t>
      </w:r>
      <w:r w:rsidR="00405B1D" w:rsidRPr="00405B1D">
        <w:t xml:space="preserve">and slow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τ</m:t>
            </m:r>
          </m:e>
          <m:sub>
            <m:r>
              <w:rPr>
                <w:rFonts w:ascii="Cambria Math" w:hAnsi="Cambria Math"/>
              </w:rPr>
              <m:t>2</m:t>
            </m:r>
          </m:sub>
        </m:sSub>
      </m:oMath>
      <w:r>
        <w:t xml:space="preserve"> components enabled deducing</w:t>
      </w:r>
      <w:r w:rsidR="00405B1D" w:rsidRPr="00405B1D">
        <w:t xml:space="preserve"> their respective qu</w:t>
      </w:r>
      <w:r w:rsidR="00405B1D">
        <w:t>antum yields as well as</w:t>
      </w:r>
      <w:r w:rsidR="00405B1D" w:rsidRPr="00405B1D">
        <w:t xml:space="preserve"> the </w:t>
      </w:r>
      <w:r w:rsidR="00405B1D">
        <w:t xml:space="preserve">rate constants of </w:t>
      </w:r>
      <w:r w:rsidR="00405B1D" w:rsidRPr="00405B1D">
        <w:t xml:space="preserve">radiative </w:t>
      </w:r>
      <w:r w:rsidR="00405B1D">
        <w:t xml:space="preserve">and </w:t>
      </w:r>
      <w:r w:rsidR="00405B1D" w:rsidRPr="00405B1D">
        <w:t>nonradiative decay for each component</w:t>
      </w:r>
      <w:r w:rsidR="00A7373B">
        <w:t>, as summarized in</w:t>
      </w:r>
      <w:r w:rsidR="00405B1D" w:rsidRPr="00405B1D">
        <w:t xml:space="preserve"> </w:t>
      </w:r>
      <w:r w:rsidR="00405B1D">
        <w:t>Tables S1 and S2</w:t>
      </w:r>
      <w:r w:rsidR="00A7373B">
        <w:t>.</w:t>
      </w:r>
      <w:r w:rsidR="00405B1D">
        <w:t xml:space="preserve"> </w:t>
      </w:r>
      <w:r w:rsidR="00380DED">
        <w:t xml:space="preserve">Notably, </w:t>
      </w:r>
      <w:r w:rsidR="00813CBC">
        <w:t xml:space="preserve">the rate constants </w:t>
      </w:r>
      <m:oMath>
        <m:sSubSup>
          <m:sSubSupPr>
            <m:ctrlPr>
              <w:rPr>
                <w:rFonts w:ascii="Cambria Math" w:hAnsi="Cambria Math"/>
                <w:i/>
              </w:rPr>
            </m:ctrlPr>
          </m:sSubSupPr>
          <m:e>
            <m:r>
              <w:rPr>
                <w:rFonts w:ascii="Cambria Math" w:hAnsi="Cambria Math"/>
              </w:rPr>
              <m:t>k</m:t>
            </m:r>
          </m:e>
          <m:sub>
            <m:r>
              <w:rPr>
                <w:rFonts w:ascii="Cambria Math" w:hAnsi="Cambria Math"/>
              </w:rPr>
              <m:t>r</m:t>
            </m:r>
          </m:sub>
          <m:sup>
            <m:r>
              <w:rPr>
                <w:rFonts w:ascii="Cambria Math" w:hAnsi="Cambria Math"/>
              </w:rPr>
              <m:t>fast</m:t>
            </m:r>
          </m:sup>
        </m:sSubSup>
      </m:oMath>
      <w:r w:rsidR="007E462D">
        <w:t xml:space="preserve"> and </w:t>
      </w:r>
      <m:oMath>
        <m:sSubSup>
          <m:sSubSupPr>
            <m:ctrlPr>
              <w:rPr>
                <w:rFonts w:ascii="Cambria Math" w:hAnsi="Cambria Math"/>
                <w:i/>
              </w:rPr>
            </m:ctrlPr>
          </m:sSubSupPr>
          <m:e>
            <m:r>
              <w:rPr>
                <w:rFonts w:ascii="Cambria Math" w:hAnsi="Cambria Math"/>
              </w:rPr>
              <m:t>k</m:t>
            </m:r>
          </m:e>
          <m:sub>
            <m:r>
              <w:rPr>
                <w:rFonts w:ascii="Cambria Math" w:hAnsi="Cambria Math"/>
              </w:rPr>
              <m:t>r</m:t>
            </m:r>
          </m:sub>
          <m:sup>
            <m:r>
              <w:rPr>
                <w:rFonts w:ascii="Cambria Math" w:hAnsi="Cambria Math"/>
              </w:rPr>
              <m:t>slow</m:t>
            </m:r>
          </m:sup>
        </m:sSubSup>
      </m:oMath>
      <w:r w:rsidR="00813CBC">
        <w:t xml:space="preserve"> of radiative decay, which were obtained from the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τ</m:t>
            </m:r>
          </m:e>
          <m:sub>
            <m:r>
              <w:rPr>
                <w:rFonts w:ascii="Cambria Math" w:hAnsi="Cambria Math"/>
              </w:rPr>
              <m:t>1</m:t>
            </m:r>
          </m:sub>
        </m:sSub>
      </m:oMath>
      <w:r w:rsidR="00813CBC">
        <w:t xml:space="preserve"> </w:t>
      </w:r>
      <w:r w:rsidR="007E462D">
        <w:t xml:space="preserve">and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τ</m:t>
            </m:r>
          </m:e>
          <m:sub>
            <m:r>
              <w:rPr>
                <w:rFonts w:ascii="Cambria Math" w:hAnsi="Cambria Math"/>
              </w:rPr>
              <m:t>2</m:t>
            </m:r>
          </m:sub>
        </m:sSub>
      </m:oMath>
      <w:r w:rsidR="007E462D">
        <w:t xml:space="preserve"> </w:t>
      </w:r>
      <w:r w:rsidR="00813CBC">
        <w:t>component</w:t>
      </w:r>
      <w:r w:rsidR="007E462D">
        <w:t>s</w:t>
      </w:r>
      <w:r w:rsidR="00813CBC">
        <w:t xml:space="preserve"> of FLC, are still </w:t>
      </w:r>
      <w:r w:rsidR="00813CBC" w:rsidRPr="00813CBC">
        <w:rPr>
          <w:lang w:val="en"/>
        </w:rPr>
        <w:t>about one order of ma</w:t>
      </w:r>
      <w:r w:rsidR="00AA4C56">
        <w:rPr>
          <w:lang w:val="en"/>
        </w:rPr>
        <w:t xml:space="preserve">gnitude </w:t>
      </w:r>
      <w:r w:rsidR="00C439DB" w:rsidRPr="000615D3">
        <w:rPr>
          <w:lang w:val="en"/>
        </w:rPr>
        <w:t xml:space="preserve">lower </w:t>
      </w:r>
      <w:r w:rsidR="0066288E" w:rsidRPr="000615D3">
        <w:rPr>
          <w:lang w:val="en"/>
        </w:rPr>
        <w:t xml:space="preserve">and </w:t>
      </w:r>
      <w:r w:rsidR="00C63034" w:rsidRPr="000615D3">
        <w:rPr>
          <w:lang w:val="en"/>
        </w:rPr>
        <w:t xml:space="preserve">even </w:t>
      </w:r>
      <w:r w:rsidR="00C439DB" w:rsidRPr="000615D3">
        <w:rPr>
          <w:lang w:val="en"/>
        </w:rPr>
        <w:t xml:space="preserve">lower </w:t>
      </w:r>
      <w:r w:rsidR="00AA4C56" w:rsidRPr="000615D3">
        <w:rPr>
          <w:lang w:val="en"/>
        </w:rPr>
        <w:t>than th</w:t>
      </w:r>
      <w:r w:rsidR="0074127B" w:rsidRPr="000615D3">
        <w:rPr>
          <w:lang w:val="en"/>
        </w:rPr>
        <w:t>ose of the</w:t>
      </w:r>
      <w:r w:rsidR="00AA4C56" w:rsidRPr="000615D3">
        <w:rPr>
          <w:lang w:val="en"/>
        </w:rPr>
        <w:t xml:space="preserve"> </w:t>
      </w:r>
      <w:r w:rsidR="0074127B" w:rsidRPr="000615D3">
        <w:rPr>
          <w:lang w:val="en"/>
        </w:rPr>
        <w:t xml:space="preserve">single decay component in the </w:t>
      </w:r>
      <w:r w:rsidR="004818EA" w:rsidRPr="000615D3">
        <w:t>fluorescein isothiocyanate (</w:t>
      </w:r>
      <w:r w:rsidR="0074127B" w:rsidRPr="000615D3">
        <w:rPr>
          <w:lang w:val="en"/>
        </w:rPr>
        <w:t>FITC</w:t>
      </w:r>
      <w:r w:rsidR="004818EA" w:rsidRPr="000615D3">
        <w:rPr>
          <w:lang w:val="en"/>
        </w:rPr>
        <w:t>)</w:t>
      </w:r>
      <w:r w:rsidR="0074127B" w:rsidRPr="000615D3">
        <w:rPr>
          <w:lang w:val="en"/>
        </w:rPr>
        <w:t xml:space="preserve"> counterpart solutions</w:t>
      </w:r>
      <w:r w:rsidRPr="000615D3">
        <w:rPr>
          <w:lang w:val="en"/>
        </w:rPr>
        <w:t>.</w:t>
      </w:r>
      <w:r w:rsidR="00813CBC" w:rsidRPr="00813CBC">
        <w:rPr>
          <w:lang w:val="en"/>
        </w:rPr>
        <w:t xml:space="preserve"> </w:t>
      </w:r>
      <w:r>
        <w:rPr>
          <w:lang w:val="en"/>
        </w:rPr>
        <w:t>T</w:t>
      </w:r>
      <w:r w:rsidRPr="000967B1">
        <w:rPr>
          <w:lang w:val="en"/>
        </w:rPr>
        <w:t xml:space="preserve">his </w:t>
      </w:r>
      <w:r>
        <w:rPr>
          <w:lang w:val="en"/>
        </w:rPr>
        <w:t>suggests</w:t>
      </w:r>
      <w:r w:rsidRPr="000967B1">
        <w:rPr>
          <w:lang w:val="en"/>
        </w:rPr>
        <w:t xml:space="preserve"> that the lifetime of the </w:t>
      </w:r>
      <w:r>
        <w:rPr>
          <w:lang w:val="en"/>
        </w:rPr>
        <w:t>PL</w:t>
      </w:r>
      <w:r w:rsidRPr="000967B1">
        <w:rPr>
          <w:lang w:val="en"/>
        </w:rPr>
        <w:t xml:space="preserve"> component that exhibits static quenching is </w:t>
      </w:r>
      <w:r>
        <w:rPr>
          <w:lang w:val="en"/>
        </w:rPr>
        <w:t xml:space="preserve">still </w:t>
      </w:r>
      <w:r w:rsidRPr="000967B1">
        <w:rPr>
          <w:lang w:val="en"/>
        </w:rPr>
        <w:t xml:space="preserve">much shorter </w:t>
      </w:r>
      <w:r w:rsidR="00F61970">
        <w:rPr>
          <w:lang w:val="en"/>
        </w:rPr>
        <w:t xml:space="preserve">(and hence undetectable) </w:t>
      </w:r>
      <w:r w:rsidRPr="000967B1">
        <w:rPr>
          <w:lang w:val="en"/>
        </w:rPr>
        <w:t xml:space="preserve">than </w:t>
      </w:r>
      <w:r>
        <w:rPr>
          <w:lang w:val="en"/>
        </w:rPr>
        <w:t>that</w:t>
      </w:r>
      <w:r w:rsidRPr="000967B1">
        <w:rPr>
          <w:lang w:val="en"/>
        </w:rPr>
        <w:t xml:space="preserve"> of the </w:t>
      </w:r>
      <w:r>
        <w:rPr>
          <w:lang w:val="en"/>
        </w:rPr>
        <w:t>fast</w:t>
      </w:r>
      <w:r w:rsidR="007C6482">
        <w:rPr>
          <w:lang w:val="en"/>
        </w:rPr>
        <w:t>-</w:t>
      </w:r>
      <w:r>
        <w:rPr>
          <w:lang w:val="en"/>
        </w:rPr>
        <w:t xml:space="preserve">decaying </w:t>
      </w:r>
      <w:r w:rsidRPr="000967B1">
        <w:rPr>
          <w:lang w:val="en"/>
        </w:rPr>
        <w:t xml:space="preserve">component </w:t>
      </w:r>
      <w:r>
        <w:rPr>
          <w:lang w:val="en"/>
        </w:rPr>
        <w:t>observed in</w:t>
      </w:r>
      <w:r w:rsidRPr="000967B1">
        <w:rPr>
          <w:lang w:val="en"/>
        </w:rPr>
        <w:t xml:space="preserve"> </w:t>
      </w:r>
      <w:r>
        <w:rPr>
          <w:lang w:val="en"/>
        </w:rPr>
        <w:t xml:space="preserve">the PL </w:t>
      </w:r>
      <w:r w:rsidRPr="000967B1">
        <w:rPr>
          <w:lang w:val="en"/>
        </w:rPr>
        <w:t xml:space="preserve">decay </w:t>
      </w:r>
      <w:r>
        <w:rPr>
          <w:lang w:val="en"/>
        </w:rPr>
        <w:t>profiles</w:t>
      </w:r>
      <w:r w:rsidRPr="000967B1">
        <w:rPr>
          <w:lang w:val="en"/>
        </w:rPr>
        <w:t xml:space="preserve">. </w:t>
      </w:r>
      <w:r w:rsidR="00E620A7">
        <w:rPr>
          <w:lang w:val="en"/>
        </w:rPr>
        <w:t>Th</w:t>
      </w:r>
      <w:r w:rsidR="00F61970">
        <w:rPr>
          <w:lang w:val="en"/>
        </w:rPr>
        <w:t xml:space="preserve">e data </w:t>
      </w:r>
      <w:r w:rsidR="00380DED">
        <w:rPr>
          <w:lang w:val="en"/>
        </w:rPr>
        <w:t xml:space="preserve">from </w:t>
      </w:r>
      <w:r w:rsidR="00E54A0C">
        <w:rPr>
          <w:lang w:val="en"/>
        </w:rPr>
        <w:t xml:space="preserve">the </w:t>
      </w:r>
      <w:r w:rsidR="00E620A7">
        <w:rPr>
          <w:lang w:val="en"/>
        </w:rPr>
        <w:t xml:space="preserve">decomposition </w:t>
      </w:r>
      <w:r w:rsidR="007C6482">
        <w:rPr>
          <w:lang w:val="en"/>
        </w:rPr>
        <w:t>are</w:t>
      </w:r>
      <w:r w:rsidR="007C6482" w:rsidRPr="000967B1">
        <w:rPr>
          <w:lang w:val="en"/>
        </w:rPr>
        <w:t xml:space="preserve"> </w:t>
      </w:r>
      <w:r w:rsidRPr="000967B1">
        <w:rPr>
          <w:lang w:val="en"/>
        </w:rPr>
        <w:t>consistent with t</w:t>
      </w:r>
      <w:r w:rsidR="00E54A0C">
        <w:rPr>
          <w:lang w:val="en"/>
        </w:rPr>
        <w:t xml:space="preserve">he conclusion obtained by comparing </w:t>
      </w:r>
      <w:r w:rsidRPr="000967B1">
        <w:rPr>
          <w:lang w:val="en"/>
        </w:rPr>
        <w:t>the radiative decay rate constant</w:t>
      </w:r>
      <w:r w:rsidR="00E54A0C">
        <w:rPr>
          <w:lang w:val="en"/>
        </w:rPr>
        <w:t>s</w:t>
      </w:r>
      <w:r w:rsidRPr="000967B1">
        <w:rPr>
          <w:lang w:val="en"/>
        </w:rPr>
        <w:t xml:space="preserve"> </w:t>
      </w:r>
      <w:r w:rsidR="00380DED">
        <w:rPr>
          <w:lang w:val="en"/>
        </w:rPr>
        <w:t>determined</w:t>
      </w:r>
      <w:r w:rsidR="00380DED" w:rsidRPr="000967B1">
        <w:rPr>
          <w:lang w:val="en"/>
        </w:rPr>
        <w:t xml:space="preserve"> </w:t>
      </w:r>
      <w:r w:rsidRPr="000967B1">
        <w:rPr>
          <w:lang w:val="en"/>
        </w:rPr>
        <w:t xml:space="preserve">using the total fluorescence quantum yield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ϕ</m:t>
            </m:r>
          </m:e>
          <m:sub>
            <m:r>
              <w:rPr>
                <w:rFonts w:ascii="Cambria Math" w:hAnsi="Cambria Math"/>
              </w:rPr>
              <m:t>PL</m:t>
            </m:r>
          </m:sub>
        </m:sSub>
      </m:oMath>
      <w:r w:rsidR="00E54A0C">
        <w:t xml:space="preserve"> </w:t>
      </w:r>
      <w:r w:rsidRPr="000967B1">
        <w:rPr>
          <w:lang w:val="en"/>
        </w:rPr>
        <w:t>and the average lifetime</w:t>
      </w:r>
      <w:r w:rsidR="00E54A0C">
        <w:rPr>
          <w:lang w:val="en"/>
        </w:rPr>
        <w:t xml:space="preserve">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τ</m:t>
            </m:r>
          </m:e>
          <m:sub>
            <m:r>
              <w:rPr>
                <w:rFonts w:ascii="Cambria Math" w:hAnsi="Cambria Math"/>
              </w:rPr>
              <m:t>avg</m:t>
            </m:r>
          </m:sub>
        </m:sSub>
      </m:oMath>
      <w:r w:rsidR="00E54A0C">
        <w:t xml:space="preserve"> in the main text</w:t>
      </w:r>
      <w:r w:rsidRPr="000967B1">
        <w:rPr>
          <w:lang w:val="en"/>
        </w:rPr>
        <w:t>.</w:t>
      </w:r>
    </w:p>
    <w:p w14:paraId="53A53F2F" w14:textId="7F54CA9E" w:rsidR="000967B1" w:rsidRDefault="000967B1" w:rsidP="0079342D">
      <w:pPr>
        <w:pStyle w:val="TESupportingInformation"/>
        <w:spacing w:line="360" w:lineRule="auto"/>
        <w:ind w:firstLine="0"/>
        <w:jc w:val="both"/>
        <w:rPr>
          <w:lang w:val="en"/>
        </w:rPr>
      </w:pPr>
    </w:p>
    <w:p w14:paraId="72EE1E5C" w14:textId="7EAAA810" w:rsidR="00B40E91" w:rsidRDefault="00B40E91" w:rsidP="0079342D">
      <w:pPr>
        <w:jc w:val="both"/>
        <w:rPr>
          <w:lang w:val="en"/>
        </w:rPr>
      </w:pPr>
    </w:p>
    <w:p w14:paraId="73FE6A91" w14:textId="55B4002A" w:rsidR="00B40E91" w:rsidRDefault="00B40E91" w:rsidP="00B40E91">
      <w:pPr>
        <w:rPr>
          <w:lang w:val="en"/>
        </w:rPr>
      </w:pPr>
    </w:p>
    <w:p w14:paraId="75773AF9" w14:textId="6119721E" w:rsidR="00B40E91" w:rsidRDefault="00B40E91" w:rsidP="00B40E91">
      <w:pPr>
        <w:rPr>
          <w:lang w:val="en"/>
        </w:rPr>
      </w:pPr>
    </w:p>
    <w:p w14:paraId="283BC7FC" w14:textId="1CFC1CE7" w:rsidR="00B40E91" w:rsidRDefault="00CE3AA1" w:rsidP="008D75CE">
      <w:pPr>
        <w:tabs>
          <w:tab w:val="left" w:pos="2712"/>
        </w:tabs>
        <w:rPr>
          <w:lang w:val="en"/>
        </w:rPr>
      </w:pPr>
      <w:r>
        <w:rPr>
          <w:lang w:val="en"/>
        </w:rPr>
        <w:tab/>
      </w:r>
    </w:p>
    <w:p w14:paraId="0EED80B2" w14:textId="481D159E" w:rsidR="008D75CE" w:rsidRDefault="008D75CE" w:rsidP="008D75CE">
      <w:pPr>
        <w:tabs>
          <w:tab w:val="left" w:pos="2712"/>
        </w:tabs>
        <w:rPr>
          <w:lang w:val="en"/>
        </w:rPr>
      </w:pPr>
    </w:p>
    <w:p w14:paraId="1ED339EC" w14:textId="77777777" w:rsidR="008D75CE" w:rsidRDefault="008D75CE" w:rsidP="008D75CE">
      <w:pPr>
        <w:tabs>
          <w:tab w:val="left" w:pos="2712"/>
        </w:tabs>
        <w:rPr>
          <w:lang w:val="en"/>
        </w:rPr>
      </w:pPr>
    </w:p>
    <w:p w14:paraId="5ACE71D7" w14:textId="77777777" w:rsidR="00B40E91" w:rsidRDefault="00B40E91" w:rsidP="00B40E91">
      <w:pPr>
        <w:rPr>
          <w:lang w:val="en"/>
        </w:rPr>
      </w:pPr>
    </w:p>
    <w:p w14:paraId="5C15F163" w14:textId="670DD545" w:rsidR="00B40E91" w:rsidRDefault="00B40E91" w:rsidP="00B40E91">
      <w:pPr>
        <w:rPr>
          <w:lang w:val="en"/>
        </w:rPr>
      </w:pPr>
    </w:p>
    <w:p w14:paraId="52DB4445" w14:textId="774F3630" w:rsidR="008D02FB" w:rsidRPr="00187A30" w:rsidRDefault="00CE3AA1" w:rsidP="00C80709">
      <w:pPr>
        <w:pStyle w:val="TESupportingInformation"/>
        <w:spacing w:after="0" w:line="360" w:lineRule="auto"/>
        <w:ind w:firstLine="0"/>
        <w:jc w:val="center"/>
        <w:rPr>
          <w:b/>
        </w:rPr>
      </w:pPr>
      <w:r w:rsidRPr="0029190D">
        <w:rPr>
          <w:b/>
          <w:color w:val="000000" w:themeColor="text1"/>
        </w:rPr>
        <w:t xml:space="preserve">Supplementary </w:t>
      </w:r>
      <w:r w:rsidR="00D4065C" w:rsidRPr="00852F12">
        <w:rPr>
          <w:rFonts w:hint="eastAsia"/>
          <w:b/>
          <w:color w:val="000000" w:themeColor="text1"/>
        </w:rPr>
        <w:t>Table S</w:t>
      </w:r>
      <w:r w:rsidR="004935F2" w:rsidRPr="00852F12">
        <w:rPr>
          <w:b/>
          <w:color w:val="000000" w:themeColor="text1"/>
        </w:rPr>
        <w:t>1</w:t>
      </w:r>
      <w:r w:rsidR="00D4065C" w:rsidRPr="00852F12">
        <w:rPr>
          <w:b/>
          <w:color w:val="000000" w:themeColor="text1"/>
        </w:rPr>
        <w:t>.</w:t>
      </w:r>
      <w:r w:rsidR="00D4065C" w:rsidRPr="00852F12">
        <w:rPr>
          <w:color w:val="000000" w:themeColor="text1"/>
        </w:rPr>
        <w:t xml:space="preserve"> </w:t>
      </w:r>
      <w:r w:rsidR="00443466">
        <w:t xml:space="preserve">Quantum yields </w:t>
      </w:r>
      <m:oMath>
        <m:sSubSup>
          <m:sSubSupPr>
            <m:ctrlPr>
              <w:rPr>
                <w:rFonts w:ascii="Cambria Math" w:hAnsi="Cambria Math"/>
                <w:i/>
              </w:rPr>
            </m:ctrlPr>
          </m:sSubSupPr>
          <m:e>
            <m:r>
              <w:rPr>
                <w:rFonts w:ascii="Cambria Math" w:hAnsi="Cambria Math"/>
              </w:rPr>
              <m:t>ϕ</m:t>
            </m:r>
          </m:e>
          <m:sub>
            <m:r>
              <w:rPr>
                <w:rFonts w:ascii="Cambria Math" w:hAnsi="Cambria Math"/>
              </w:rPr>
              <m:t>PL</m:t>
            </m:r>
          </m:sub>
          <m:sup>
            <m:r>
              <w:rPr>
                <w:rFonts w:ascii="Cambria Math" w:hAnsi="Cambria Math"/>
              </w:rPr>
              <m:t>fast</m:t>
            </m:r>
          </m:sup>
        </m:sSubSup>
      </m:oMath>
      <w:r w:rsidR="00443466">
        <w:t xml:space="preserve"> and </w:t>
      </w:r>
      <m:oMath>
        <m:sSubSup>
          <m:sSubSupPr>
            <m:ctrlPr>
              <w:rPr>
                <w:rFonts w:ascii="Cambria Math" w:hAnsi="Cambria Math"/>
                <w:i/>
              </w:rPr>
            </m:ctrlPr>
          </m:sSubSupPr>
          <m:e>
            <m:r>
              <w:rPr>
                <w:rFonts w:ascii="Cambria Math" w:hAnsi="Cambria Math"/>
              </w:rPr>
              <m:t>ϕ</m:t>
            </m:r>
          </m:e>
          <m:sub>
            <m:r>
              <w:rPr>
                <w:rFonts w:ascii="Cambria Math" w:hAnsi="Cambria Math"/>
              </w:rPr>
              <m:t>PL</m:t>
            </m:r>
          </m:sub>
          <m:sup>
            <m:r>
              <w:rPr>
                <w:rFonts w:ascii="Cambria Math" w:hAnsi="Cambria Math"/>
              </w:rPr>
              <m:t>slow</m:t>
            </m:r>
          </m:sup>
        </m:sSubSup>
      </m:oMath>
      <w:r w:rsidR="00443466">
        <w:t xml:space="preserve"> of the </w:t>
      </w:r>
      <w:r w:rsidR="00443466" w:rsidRPr="00405B1D">
        <w:t xml:space="preserve">fast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τ</m:t>
            </m:r>
          </m:e>
          <m:sub>
            <m:r>
              <w:rPr>
                <w:rFonts w:ascii="Cambria Math" w:hAnsi="Cambria Math"/>
              </w:rPr>
              <m:t>1</m:t>
            </m:r>
          </m:sub>
        </m:sSub>
      </m:oMath>
      <w:r w:rsidR="00443466">
        <w:t xml:space="preserve"> </w:t>
      </w:r>
      <w:r w:rsidR="00443466" w:rsidRPr="00405B1D">
        <w:t xml:space="preserve">and slow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τ</m:t>
            </m:r>
          </m:e>
          <m:sub>
            <m:r>
              <w:rPr>
                <w:rFonts w:ascii="Cambria Math" w:hAnsi="Cambria Math"/>
              </w:rPr>
              <m:t>2</m:t>
            </m:r>
          </m:sub>
        </m:sSub>
      </m:oMath>
      <w:r w:rsidR="00443466">
        <w:t xml:space="preserve"> components.</w:t>
      </w:r>
    </w:p>
    <w:tbl>
      <w:tblPr>
        <w:tblStyle w:val="TableGrid"/>
        <w:tblpPr w:leftFromText="180" w:rightFromText="180" w:vertAnchor="text" w:horzAnchor="margin" w:tblpXSpec="center" w:tblpY="176"/>
        <w:tblW w:w="0" w:type="auto"/>
        <w:tblLook w:val="04A0" w:firstRow="1" w:lastRow="0" w:firstColumn="1" w:lastColumn="0" w:noHBand="0" w:noVBand="1"/>
      </w:tblPr>
      <w:tblGrid>
        <w:gridCol w:w="805"/>
        <w:gridCol w:w="1110"/>
        <w:gridCol w:w="1415"/>
        <w:gridCol w:w="1656"/>
        <w:gridCol w:w="1655"/>
        <w:gridCol w:w="1655"/>
        <w:gridCol w:w="1655"/>
      </w:tblGrid>
      <w:tr w:rsidR="00FF6F17" w14:paraId="019C907F" w14:textId="77777777" w:rsidTr="0066288E">
        <w:trPr>
          <w:trHeight w:val="432"/>
        </w:trPr>
        <w:tc>
          <w:tcPr>
            <w:tcW w:w="805" w:type="dxa"/>
            <w:tcBorders>
              <w:top w:val="single" w:sz="18" w:space="0" w:color="auto"/>
              <w:left w:val="nil"/>
              <w:bottom w:val="double" w:sz="4" w:space="0" w:color="auto"/>
            </w:tcBorders>
            <w:vAlign w:val="center"/>
          </w:tcPr>
          <w:p w14:paraId="795C8869" w14:textId="77777777" w:rsidR="007855AD" w:rsidRDefault="00CE3AA1" w:rsidP="00F16B71">
            <w:pPr>
              <w:pStyle w:val="TCTableBody"/>
              <w:spacing w:after="0"/>
              <w:jc w:val="center"/>
            </w:pPr>
            <w:r>
              <w:t>Solute</w:t>
            </w:r>
          </w:p>
        </w:tc>
        <w:tc>
          <w:tcPr>
            <w:tcW w:w="1110" w:type="dxa"/>
            <w:tcBorders>
              <w:top w:val="single" w:sz="18" w:space="0" w:color="auto"/>
              <w:bottom w:val="double" w:sz="4" w:space="0" w:color="auto"/>
              <w:right w:val="nil"/>
            </w:tcBorders>
            <w:vAlign w:val="center"/>
          </w:tcPr>
          <w:p w14:paraId="6DEA0D0B" w14:textId="457F2480" w:rsidR="007855AD" w:rsidRDefault="00CE3AA1" w:rsidP="00F16B71">
            <w:pPr>
              <w:pStyle w:val="TCTableBody"/>
              <w:spacing w:after="0"/>
              <w:jc w:val="center"/>
            </w:pPr>
            <w:r>
              <w:t>Solvent</w:t>
            </w:r>
          </w:p>
        </w:tc>
        <w:tc>
          <w:tcPr>
            <w:tcW w:w="1415" w:type="dxa"/>
            <w:tcBorders>
              <w:top w:val="single" w:sz="18" w:space="0" w:color="auto"/>
              <w:left w:val="nil"/>
              <w:bottom w:val="double" w:sz="4" w:space="0" w:color="auto"/>
              <w:right w:val="nil"/>
            </w:tcBorders>
            <w:vAlign w:val="center"/>
          </w:tcPr>
          <w:p w14:paraId="47034439" w14:textId="39A82AA7" w:rsidR="007855AD" w:rsidRDefault="00473081" w:rsidP="00F16B71">
            <w:pPr>
              <w:pStyle w:val="TCTableBody"/>
              <w:spacing w:after="0"/>
              <w:jc w:val="center"/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ϕ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PL</m:t>
                    </m:r>
                  </m:sub>
                </m:sSub>
              </m:oMath>
            </m:oMathPara>
          </w:p>
        </w:tc>
        <w:tc>
          <w:tcPr>
            <w:tcW w:w="1656" w:type="dxa"/>
            <w:tcBorders>
              <w:top w:val="single" w:sz="18" w:space="0" w:color="auto"/>
              <w:left w:val="nil"/>
              <w:bottom w:val="double" w:sz="4" w:space="0" w:color="auto"/>
              <w:right w:val="nil"/>
            </w:tcBorders>
            <w:vAlign w:val="center"/>
          </w:tcPr>
          <w:p w14:paraId="1BA28B01" w14:textId="03790E95" w:rsidR="007855AD" w:rsidRDefault="00473081" w:rsidP="00F16B71">
            <w:pPr>
              <w:pStyle w:val="TCTableBody"/>
              <w:spacing w:after="0"/>
              <w:jc w:val="center"/>
            </w:pPr>
            <m:oMathPara>
              <m:oMath>
                <m:f>
                  <m:fPr>
                    <m:ctrlPr>
                      <w:rPr>
                        <w:rFonts w:ascii="Cambria Math" w:hAnsi="Cambria Math" w:cs="New York"/>
                        <w:i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 w:cs="New York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New York"/>
                          </w:rPr>
                          <m:t>A</m:t>
                        </m:r>
                      </m:e>
                      <m:sub>
                        <m:r>
                          <w:rPr>
                            <w:rFonts w:ascii="Cambria Math" w:hAnsi="Cambria Math" w:cs="New York"/>
                          </w:rPr>
                          <m:t>1</m:t>
                        </m:r>
                      </m:sub>
                    </m:sSub>
                    <m:sSub>
                      <m:sSubPr>
                        <m:ctrlPr>
                          <w:rPr>
                            <w:rFonts w:ascii="Cambria Math" w:hAnsi="Cambria Math" w:cs="New York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New York"/>
                          </w:rPr>
                          <m:t>τ</m:t>
                        </m:r>
                      </m:e>
                      <m:sub>
                        <m:r>
                          <w:rPr>
                            <w:rFonts w:ascii="Cambria Math" w:hAnsi="Cambria Math" w:cs="New York"/>
                          </w:rPr>
                          <m:t>1</m:t>
                        </m:r>
                      </m:sub>
                    </m:sSub>
                  </m:num>
                  <m:den>
                    <m:sSub>
                      <m:sSubPr>
                        <m:ctrlPr>
                          <w:rPr>
                            <w:rFonts w:ascii="Cambria Math" w:hAnsi="Cambria Math" w:cs="New York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New York"/>
                          </w:rPr>
                          <m:t>A</m:t>
                        </m:r>
                      </m:e>
                      <m:sub>
                        <m:r>
                          <w:rPr>
                            <w:rFonts w:ascii="Cambria Math" w:hAnsi="Cambria Math" w:cs="New York"/>
                          </w:rPr>
                          <m:t>1</m:t>
                        </m:r>
                      </m:sub>
                    </m:sSub>
                    <m:sSub>
                      <m:sSubPr>
                        <m:ctrlPr>
                          <w:rPr>
                            <w:rFonts w:ascii="Cambria Math" w:hAnsi="Cambria Math" w:cs="New York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New York"/>
                          </w:rPr>
                          <m:t>τ</m:t>
                        </m:r>
                      </m:e>
                      <m:sub>
                        <m:r>
                          <w:rPr>
                            <w:rFonts w:ascii="Cambria Math" w:hAnsi="Cambria Math" w:cs="New York"/>
                          </w:rPr>
                          <m:t>1</m:t>
                        </m:r>
                      </m:sub>
                    </m:sSub>
                    <m:r>
                      <w:rPr>
                        <w:rFonts w:ascii="Cambria Math" w:hAnsi="Cambria Math" w:cs="New York"/>
                      </w:rPr>
                      <m:t>+</m:t>
                    </m:r>
                    <m:sSub>
                      <m:sSubPr>
                        <m:ctrlPr>
                          <w:rPr>
                            <w:rFonts w:ascii="Cambria Math" w:hAnsi="Cambria Math" w:cs="New York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New York"/>
                          </w:rPr>
                          <m:t>A</m:t>
                        </m:r>
                      </m:e>
                      <m:sub>
                        <m:r>
                          <w:rPr>
                            <w:rFonts w:ascii="Cambria Math" w:hAnsi="Cambria Math" w:cs="New York"/>
                          </w:rPr>
                          <m:t>2</m:t>
                        </m:r>
                      </m:sub>
                    </m:sSub>
                    <m:sSub>
                      <m:sSubPr>
                        <m:ctrlPr>
                          <w:rPr>
                            <w:rFonts w:ascii="Cambria Math" w:hAnsi="Cambria Math" w:cs="New York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New York"/>
                          </w:rPr>
                          <m:t>τ</m:t>
                        </m:r>
                      </m:e>
                      <m:sub>
                        <m:r>
                          <w:rPr>
                            <w:rFonts w:ascii="Cambria Math" w:hAnsi="Cambria Math" w:cs="New York"/>
                          </w:rPr>
                          <m:t>2</m:t>
                        </m:r>
                      </m:sub>
                    </m:sSub>
                  </m:den>
                </m:f>
              </m:oMath>
            </m:oMathPara>
          </w:p>
        </w:tc>
        <w:tc>
          <w:tcPr>
            <w:tcW w:w="1655" w:type="dxa"/>
            <w:tcBorders>
              <w:top w:val="single" w:sz="18" w:space="0" w:color="auto"/>
              <w:left w:val="nil"/>
              <w:bottom w:val="double" w:sz="4" w:space="0" w:color="auto"/>
              <w:right w:val="nil"/>
            </w:tcBorders>
            <w:vAlign w:val="center"/>
          </w:tcPr>
          <w:p w14:paraId="45BB553E" w14:textId="5631094C" w:rsidR="007855AD" w:rsidRDefault="00473081" w:rsidP="00F16B71">
            <w:pPr>
              <w:pStyle w:val="TCTableBody"/>
              <w:spacing w:after="0"/>
              <w:jc w:val="center"/>
            </w:pPr>
            <m:oMathPara>
              <m:oMath>
                <m:f>
                  <m:fPr>
                    <m:ctrlPr>
                      <w:rPr>
                        <w:rFonts w:ascii="Cambria Math" w:hAnsi="Cambria Math" w:cs="New York"/>
                        <w:i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 w:cs="New York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New York"/>
                          </w:rPr>
                          <m:t>A</m:t>
                        </m:r>
                      </m:e>
                      <m:sub>
                        <m:r>
                          <w:rPr>
                            <w:rFonts w:ascii="Cambria Math" w:hAnsi="Cambria Math" w:cs="New York"/>
                          </w:rPr>
                          <m:t>2</m:t>
                        </m:r>
                      </m:sub>
                    </m:sSub>
                    <m:sSub>
                      <m:sSubPr>
                        <m:ctrlPr>
                          <w:rPr>
                            <w:rFonts w:ascii="Cambria Math" w:hAnsi="Cambria Math" w:cs="New York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New York"/>
                          </w:rPr>
                          <m:t>τ</m:t>
                        </m:r>
                      </m:e>
                      <m:sub>
                        <m:r>
                          <w:rPr>
                            <w:rFonts w:ascii="Cambria Math" w:hAnsi="Cambria Math" w:cs="New York"/>
                          </w:rPr>
                          <m:t>2</m:t>
                        </m:r>
                      </m:sub>
                    </m:sSub>
                  </m:num>
                  <m:den>
                    <m:sSub>
                      <m:sSubPr>
                        <m:ctrlPr>
                          <w:rPr>
                            <w:rFonts w:ascii="Cambria Math" w:hAnsi="Cambria Math" w:cs="New York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New York"/>
                          </w:rPr>
                          <m:t>A</m:t>
                        </m:r>
                      </m:e>
                      <m:sub>
                        <m:r>
                          <w:rPr>
                            <w:rFonts w:ascii="Cambria Math" w:hAnsi="Cambria Math" w:cs="New York"/>
                          </w:rPr>
                          <m:t>1</m:t>
                        </m:r>
                      </m:sub>
                    </m:sSub>
                    <m:sSub>
                      <m:sSubPr>
                        <m:ctrlPr>
                          <w:rPr>
                            <w:rFonts w:ascii="Cambria Math" w:hAnsi="Cambria Math" w:cs="New York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New York"/>
                          </w:rPr>
                          <m:t>τ</m:t>
                        </m:r>
                      </m:e>
                      <m:sub>
                        <m:r>
                          <w:rPr>
                            <w:rFonts w:ascii="Cambria Math" w:hAnsi="Cambria Math" w:cs="New York"/>
                          </w:rPr>
                          <m:t>1</m:t>
                        </m:r>
                      </m:sub>
                    </m:sSub>
                    <m:r>
                      <w:rPr>
                        <w:rFonts w:ascii="Cambria Math" w:hAnsi="Cambria Math" w:cs="New York"/>
                      </w:rPr>
                      <m:t>+</m:t>
                    </m:r>
                    <m:sSub>
                      <m:sSubPr>
                        <m:ctrlPr>
                          <w:rPr>
                            <w:rFonts w:ascii="Cambria Math" w:hAnsi="Cambria Math" w:cs="New York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New York"/>
                          </w:rPr>
                          <m:t>A</m:t>
                        </m:r>
                      </m:e>
                      <m:sub>
                        <m:r>
                          <w:rPr>
                            <w:rFonts w:ascii="Cambria Math" w:hAnsi="Cambria Math" w:cs="New York"/>
                          </w:rPr>
                          <m:t>2</m:t>
                        </m:r>
                      </m:sub>
                    </m:sSub>
                    <m:sSub>
                      <m:sSubPr>
                        <m:ctrlPr>
                          <w:rPr>
                            <w:rFonts w:ascii="Cambria Math" w:hAnsi="Cambria Math" w:cs="New York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New York"/>
                          </w:rPr>
                          <m:t>τ</m:t>
                        </m:r>
                      </m:e>
                      <m:sub>
                        <m:r>
                          <w:rPr>
                            <w:rFonts w:ascii="Cambria Math" w:hAnsi="Cambria Math" w:cs="New York"/>
                          </w:rPr>
                          <m:t>2</m:t>
                        </m:r>
                      </m:sub>
                    </m:sSub>
                  </m:den>
                </m:f>
              </m:oMath>
            </m:oMathPara>
          </w:p>
        </w:tc>
        <w:tc>
          <w:tcPr>
            <w:tcW w:w="1655" w:type="dxa"/>
            <w:tcBorders>
              <w:top w:val="single" w:sz="18" w:space="0" w:color="auto"/>
              <w:left w:val="nil"/>
              <w:bottom w:val="double" w:sz="4" w:space="0" w:color="auto"/>
              <w:right w:val="nil"/>
            </w:tcBorders>
            <w:vAlign w:val="center"/>
          </w:tcPr>
          <w:p w14:paraId="323E9807" w14:textId="77777777" w:rsidR="007855AD" w:rsidRPr="000733DD" w:rsidRDefault="00473081" w:rsidP="00F16B71">
            <w:pPr>
              <w:pStyle w:val="TCTableBody"/>
              <w:spacing w:after="0"/>
              <w:jc w:val="center"/>
              <w:rPr>
                <w:rFonts w:ascii="New York" w:hAnsi="New York" w:cs="New York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Cambria Math"/>
                        <w:i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</w:rPr>
                      <m:t>ϕ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PL</m:t>
                    </m:r>
                  </m:sub>
                  <m:sup>
                    <m:r>
                      <w:rPr>
                        <w:rFonts w:ascii="Cambria Math" w:hAnsi="Cambria Math"/>
                      </w:rPr>
                      <m:t>fast</m:t>
                    </m:r>
                  </m:sup>
                </m:sSubSup>
              </m:oMath>
            </m:oMathPara>
          </w:p>
          <w:p w14:paraId="635D27D4" w14:textId="265B2235" w:rsidR="007855AD" w:rsidRDefault="00CE3AA1" w:rsidP="00F16B71">
            <w:pPr>
              <w:pStyle w:val="TCTableBody"/>
              <w:spacing w:after="0"/>
              <w:jc w:val="center"/>
            </w:pPr>
            <w:r>
              <w:rPr>
                <w:rFonts w:ascii="New York" w:hAnsi="New York" w:cs="New York" w:hint="eastAsia"/>
              </w:rPr>
              <w:t>(</w:t>
            </w:r>
            <m:oMath>
              <m:sSub>
                <m:sSubPr>
                  <m:ctrlPr>
                    <w:rPr>
                      <w:rFonts w:ascii="Cambria Math" w:hAnsi="Cambria Math" w:cs="New York"/>
                      <w:i/>
                    </w:rPr>
                  </m:ctrlPr>
                </m:sSubPr>
                <m:e>
                  <m:r>
                    <w:rPr>
                      <w:rFonts w:ascii="Cambria Math" w:hAnsi="Cambria Math" w:cs="New York"/>
                    </w:rPr>
                    <m:t>τ</m:t>
                  </m:r>
                </m:e>
                <m:sub>
                  <m:r>
                    <w:rPr>
                      <w:rFonts w:ascii="Cambria Math" w:hAnsi="Cambria Math" w:cs="New York"/>
                    </w:rPr>
                    <m:t>1</m:t>
                  </m:r>
                </m:sub>
              </m:sSub>
              <m:r>
                <w:rPr>
                  <w:rFonts w:ascii="Cambria Math" w:hAnsi="Cambria Math" w:cs="New York"/>
                </w:rPr>
                <m:t>, ns</m:t>
              </m:r>
            </m:oMath>
            <w:r>
              <w:rPr>
                <w:rFonts w:ascii="New York" w:hAnsi="New York" w:cs="New York"/>
              </w:rPr>
              <w:t>)</w:t>
            </w:r>
          </w:p>
        </w:tc>
        <w:tc>
          <w:tcPr>
            <w:tcW w:w="1655" w:type="dxa"/>
            <w:tcBorders>
              <w:top w:val="single" w:sz="18" w:space="0" w:color="auto"/>
              <w:left w:val="nil"/>
              <w:bottom w:val="double" w:sz="4" w:space="0" w:color="auto"/>
              <w:right w:val="nil"/>
            </w:tcBorders>
            <w:vAlign w:val="center"/>
          </w:tcPr>
          <w:p w14:paraId="113C00AE" w14:textId="77777777" w:rsidR="007855AD" w:rsidRPr="000733DD" w:rsidRDefault="00473081" w:rsidP="00F16B71">
            <w:pPr>
              <w:pStyle w:val="TCTableBody"/>
              <w:spacing w:after="0"/>
              <w:jc w:val="center"/>
              <w:rPr>
                <w:rFonts w:ascii="New York" w:hAnsi="New York" w:cs="New York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Cambria Math"/>
                        <w:i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</w:rPr>
                      <m:t>ϕ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PL</m:t>
                    </m:r>
                  </m:sub>
                  <m:sup>
                    <m:r>
                      <w:rPr>
                        <w:rFonts w:ascii="Cambria Math" w:hAnsi="Cambria Math"/>
                      </w:rPr>
                      <m:t>slow</m:t>
                    </m:r>
                  </m:sup>
                </m:sSubSup>
              </m:oMath>
            </m:oMathPara>
          </w:p>
          <w:p w14:paraId="07CDEA27" w14:textId="45F2DA3E" w:rsidR="007855AD" w:rsidRDefault="00CE3AA1" w:rsidP="00F16B71">
            <w:pPr>
              <w:pStyle w:val="TCTableBody"/>
              <w:spacing w:after="0"/>
              <w:jc w:val="center"/>
            </w:pPr>
            <w:r>
              <w:rPr>
                <w:rFonts w:ascii="New York" w:hAnsi="New York" w:cs="New York" w:hint="eastAsia"/>
              </w:rPr>
              <w:t>(</w:t>
            </w:r>
            <m:oMath>
              <m:sSub>
                <m:sSubPr>
                  <m:ctrlPr>
                    <w:rPr>
                      <w:rFonts w:ascii="Cambria Math" w:hAnsi="Cambria Math" w:cs="New York"/>
                      <w:i/>
                    </w:rPr>
                  </m:ctrlPr>
                </m:sSubPr>
                <m:e>
                  <m:r>
                    <w:rPr>
                      <w:rFonts w:ascii="Cambria Math" w:hAnsi="Cambria Math" w:cs="New York"/>
                    </w:rPr>
                    <m:t>τ</m:t>
                  </m:r>
                </m:e>
                <m:sub>
                  <m:r>
                    <w:rPr>
                      <w:rFonts w:ascii="Cambria Math" w:hAnsi="Cambria Math" w:cs="New York"/>
                    </w:rPr>
                    <m:t>2</m:t>
                  </m:r>
                </m:sub>
              </m:sSub>
              <m:r>
                <w:rPr>
                  <w:rFonts w:ascii="Cambria Math" w:hAnsi="Cambria Math" w:cs="New York"/>
                </w:rPr>
                <m:t>, ns</m:t>
              </m:r>
            </m:oMath>
            <w:r>
              <w:rPr>
                <w:rFonts w:ascii="New York" w:hAnsi="New York" w:cs="New York"/>
              </w:rPr>
              <w:t>)</w:t>
            </w:r>
          </w:p>
        </w:tc>
      </w:tr>
      <w:tr w:rsidR="00FF6F17" w14:paraId="4C7B6C8C" w14:textId="77777777" w:rsidTr="0066288E">
        <w:trPr>
          <w:trHeight w:val="432"/>
        </w:trPr>
        <w:tc>
          <w:tcPr>
            <w:tcW w:w="805" w:type="dxa"/>
            <w:vMerge w:val="restart"/>
            <w:tcBorders>
              <w:top w:val="double" w:sz="4" w:space="0" w:color="auto"/>
              <w:left w:val="nil"/>
              <w:bottom w:val="single" w:sz="12" w:space="0" w:color="auto"/>
            </w:tcBorders>
            <w:vAlign w:val="center"/>
          </w:tcPr>
          <w:p w14:paraId="6E5FFFB2" w14:textId="77777777" w:rsidR="007855AD" w:rsidRDefault="00CE3AA1" w:rsidP="00F16B71">
            <w:pPr>
              <w:pStyle w:val="TCTableBody"/>
              <w:spacing w:after="0"/>
              <w:jc w:val="center"/>
            </w:pPr>
            <w:r>
              <w:t>FLC</w:t>
            </w:r>
          </w:p>
        </w:tc>
        <w:tc>
          <w:tcPr>
            <w:tcW w:w="1110" w:type="dxa"/>
            <w:tcBorders>
              <w:top w:val="double" w:sz="4" w:space="0" w:color="auto"/>
              <w:bottom w:val="nil"/>
              <w:right w:val="nil"/>
            </w:tcBorders>
            <w:vAlign w:val="center"/>
          </w:tcPr>
          <w:p w14:paraId="73E14C45" w14:textId="0CC4FCD5" w:rsidR="007855AD" w:rsidRDefault="00CE3AA1" w:rsidP="00F16B71">
            <w:pPr>
              <w:pStyle w:val="TCTableBody"/>
              <w:spacing w:after="0"/>
            </w:pPr>
            <w:r>
              <w:t>Water</w:t>
            </w:r>
          </w:p>
        </w:tc>
        <w:tc>
          <w:tcPr>
            <w:tcW w:w="1415" w:type="dxa"/>
            <w:tcBorders>
              <w:top w:val="double" w:sz="4" w:space="0" w:color="auto"/>
              <w:left w:val="nil"/>
              <w:bottom w:val="nil"/>
              <w:right w:val="nil"/>
            </w:tcBorders>
            <w:vAlign w:val="center"/>
          </w:tcPr>
          <w:p w14:paraId="2537DB25" w14:textId="52CA4A32" w:rsidR="007855AD" w:rsidRPr="00D4065C" w:rsidRDefault="00CE3AA1" w:rsidP="00F16B71">
            <w:pPr>
              <w:pStyle w:val="TCTableBody"/>
              <w:spacing w:after="0"/>
              <w:jc w:val="center"/>
              <w:rPr>
                <w:color w:val="000000" w:themeColor="text1"/>
              </w:rPr>
            </w:pPr>
            <w:r w:rsidRPr="00D4065C">
              <w:rPr>
                <w:color w:val="000000" w:themeColor="text1"/>
              </w:rPr>
              <w:t>0.014</w:t>
            </w:r>
          </w:p>
        </w:tc>
        <w:tc>
          <w:tcPr>
            <w:tcW w:w="1656" w:type="dxa"/>
            <w:tcBorders>
              <w:top w:val="double" w:sz="4" w:space="0" w:color="auto"/>
              <w:left w:val="nil"/>
              <w:bottom w:val="nil"/>
              <w:right w:val="nil"/>
            </w:tcBorders>
            <w:vAlign w:val="center"/>
          </w:tcPr>
          <w:p w14:paraId="34B92DEE" w14:textId="3E442284" w:rsidR="007855AD" w:rsidRPr="00D4065C" w:rsidRDefault="00CE3AA1" w:rsidP="00F16B71">
            <w:pPr>
              <w:pStyle w:val="TCTableBody"/>
              <w:spacing w:after="0"/>
              <w:jc w:val="center"/>
              <w:rPr>
                <w:color w:val="000000" w:themeColor="text1"/>
              </w:rPr>
            </w:pPr>
            <w:r w:rsidRPr="00D4065C">
              <w:rPr>
                <w:color w:val="000000" w:themeColor="text1"/>
              </w:rPr>
              <w:t>0.0</w:t>
            </w:r>
            <w:r w:rsidR="00785721" w:rsidRPr="00D4065C">
              <w:rPr>
                <w:color w:val="000000" w:themeColor="text1"/>
              </w:rPr>
              <w:t>97</w:t>
            </w:r>
          </w:p>
        </w:tc>
        <w:tc>
          <w:tcPr>
            <w:tcW w:w="1655" w:type="dxa"/>
            <w:tcBorders>
              <w:top w:val="double" w:sz="4" w:space="0" w:color="auto"/>
              <w:left w:val="nil"/>
              <w:bottom w:val="nil"/>
              <w:right w:val="nil"/>
            </w:tcBorders>
            <w:vAlign w:val="center"/>
          </w:tcPr>
          <w:p w14:paraId="3F23E611" w14:textId="1CA40262" w:rsidR="007855AD" w:rsidRPr="00D4065C" w:rsidRDefault="00CE3AA1" w:rsidP="00F16B71">
            <w:pPr>
              <w:pStyle w:val="TCTableBody"/>
              <w:spacing w:after="0"/>
              <w:jc w:val="center"/>
              <w:rPr>
                <w:color w:val="000000" w:themeColor="text1"/>
              </w:rPr>
            </w:pPr>
            <w:r w:rsidRPr="00D4065C">
              <w:rPr>
                <w:color w:val="000000" w:themeColor="text1"/>
              </w:rPr>
              <w:t>0.9</w:t>
            </w:r>
            <w:r w:rsidR="00785721" w:rsidRPr="00D4065C">
              <w:rPr>
                <w:color w:val="000000" w:themeColor="text1"/>
              </w:rPr>
              <w:t>03</w:t>
            </w:r>
          </w:p>
        </w:tc>
        <w:tc>
          <w:tcPr>
            <w:tcW w:w="1655" w:type="dxa"/>
            <w:tcBorders>
              <w:top w:val="double" w:sz="4" w:space="0" w:color="auto"/>
              <w:left w:val="nil"/>
              <w:bottom w:val="nil"/>
              <w:right w:val="nil"/>
            </w:tcBorders>
            <w:vAlign w:val="center"/>
          </w:tcPr>
          <w:p w14:paraId="773BBB10" w14:textId="2A918B11" w:rsidR="007855AD" w:rsidRPr="00D4065C" w:rsidRDefault="00CE3AA1" w:rsidP="00F16B71">
            <w:pPr>
              <w:pStyle w:val="TCTableBody"/>
              <w:spacing w:after="0"/>
              <w:jc w:val="center"/>
              <w:rPr>
                <w:color w:val="000000" w:themeColor="text1"/>
              </w:rPr>
            </w:pPr>
            <w:r w:rsidRPr="00D4065C">
              <w:rPr>
                <w:color w:val="000000" w:themeColor="text1"/>
              </w:rPr>
              <w:t>0.001</w:t>
            </w:r>
            <w:r w:rsidR="00785721" w:rsidRPr="00D4065C">
              <w:rPr>
                <w:color w:val="000000" w:themeColor="text1"/>
              </w:rPr>
              <w:t>4</w:t>
            </w:r>
          </w:p>
          <w:p w14:paraId="6ADED974" w14:textId="4D52A043" w:rsidR="007855AD" w:rsidRPr="00D4065C" w:rsidRDefault="00CE3AA1" w:rsidP="008D02FB">
            <w:pPr>
              <w:pStyle w:val="TCTableBody"/>
              <w:spacing w:after="120"/>
              <w:jc w:val="center"/>
              <w:rPr>
                <w:color w:val="000000" w:themeColor="text1"/>
              </w:rPr>
            </w:pPr>
            <w:r w:rsidRPr="00D4065C">
              <w:rPr>
                <w:color w:val="000000" w:themeColor="text1"/>
              </w:rPr>
              <w:t>(0.08</w:t>
            </w:r>
            <w:r w:rsidR="00785721" w:rsidRPr="00D4065C">
              <w:rPr>
                <w:color w:val="000000" w:themeColor="text1"/>
              </w:rPr>
              <w:t>7</w:t>
            </w:r>
            <w:r w:rsidRPr="00D4065C">
              <w:rPr>
                <w:color w:val="000000" w:themeColor="text1"/>
              </w:rPr>
              <w:t>)</w:t>
            </w:r>
          </w:p>
        </w:tc>
        <w:tc>
          <w:tcPr>
            <w:tcW w:w="1655" w:type="dxa"/>
            <w:tcBorders>
              <w:top w:val="double" w:sz="4" w:space="0" w:color="auto"/>
              <w:left w:val="nil"/>
              <w:bottom w:val="nil"/>
              <w:right w:val="nil"/>
            </w:tcBorders>
            <w:vAlign w:val="center"/>
          </w:tcPr>
          <w:p w14:paraId="71C48E8B" w14:textId="70AECE30" w:rsidR="007855AD" w:rsidRPr="00D4065C" w:rsidRDefault="00CE3AA1" w:rsidP="00F16B71">
            <w:pPr>
              <w:pStyle w:val="TCTableBody"/>
              <w:spacing w:after="0"/>
              <w:jc w:val="center"/>
              <w:rPr>
                <w:color w:val="000000" w:themeColor="text1"/>
              </w:rPr>
            </w:pPr>
            <w:r w:rsidRPr="00D4065C">
              <w:rPr>
                <w:rFonts w:hint="eastAsia"/>
                <w:color w:val="000000" w:themeColor="text1"/>
              </w:rPr>
              <w:t>0</w:t>
            </w:r>
            <w:r w:rsidRPr="00D4065C">
              <w:rPr>
                <w:color w:val="000000" w:themeColor="text1"/>
              </w:rPr>
              <w:t>.012</w:t>
            </w:r>
            <w:r w:rsidR="00785721" w:rsidRPr="00D4065C">
              <w:rPr>
                <w:color w:val="000000" w:themeColor="text1"/>
              </w:rPr>
              <w:t>6</w:t>
            </w:r>
          </w:p>
          <w:p w14:paraId="02492E21" w14:textId="279E8CC7" w:rsidR="007855AD" w:rsidRPr="00D4065C" w:rsidRDefault="00CE3AA1" w:rsidP="008D02FB">
            <w:pPr>
              <w:pStyle w:val="TCTableBody"/>
              <w:spacing w:after="120"/>
              <w:jc w:val="center"/>
              <w:rPr>
                <w:color w:val="000000" w:themeColor="text1"/>
              </w:rPr>
            </w:pPr>
            <w:r w:rsidRPr="00D4065C">
              <w:rPr>
                <w:rFonts w:hint="eastAsia"/>
                <w:color w:val="000000" w:themeColor="text1"/>
              </w:rPr>
              <w:t>(</w:t>
            </w:r>
            <w:r w:rsidR="008D02FB" w:rsidRPr="00D4065C">
              <w:rPr>
                <w:color w:val="000000" w:themeColor="text1"/>
              </w:rPr>
              <w:t>2.</w:t>
            </w:r>
            <w:r w:rsidR="00785721" w:rsidRPr="00D4065C">
              <w:rPr>
                <w:color w:val="000000" w:themeColor="text1"/>
              </w:rPr>
              <w:t>7</w:t>
            </w:r>
            <w:r w:rsidR="008D02FB" w:rsidRPr="00D4065C">
              <w:rPr>
                <w:color w:val="000000" w:themeColor="text1"/>
              </w:rPr>
              <w:t>9)</w:t>
            </w:r>
          </w:p>
        </w:tc>
      </w:tr>
      <w:tr w:rsidR="00FF6F17" w14:paraId="4860105D" w14:textId="77777777" w:rsidTr="0066288E">
        <w:trPr>
          <w:trHeight w:val="432"/>
        </w:trPr>
        <w:tc>
          <w:tcPr>
            <w:tcW w:w="805" w:type="dxa"/>
            <w:vMerge/>
            <w:tcBorders>
              <w:left w:val="nil"/>
              <w:bottom w:val="single" w:sz="12" w:space="0" w:color="auto"/>
            </w:tcBorders>
            <w:vAlign w:val="center"/>
          </w:tcPr>
          <w:p w14:paraId="3600186B" w14:textId="77777777" w:rsidR="007855AD" w:rsidRDefault="007855AD" w:rsidP="007855AD">
            <w:pPr>
              <w:pStyle w:val="TCTableBody"/>
              <w:jc w:val="center"/>
            </w:pPr>
          </w:p>
        </w:tc>
        <w:tc>
          <w:tcPr>
            <w:tcW w:w="1110" w:type="dxa"/>
            <w:tcBorders>
              <w:top w:val="nil"/>
              <w:bottom w:val="nil"/>
              <w:right w:val="nil"/>
            </w:tcBorders>
            <w:vAlign w:val="center"/>
          </w:tcPr>
          <w:p w14:paraId="3CB59E62" w14:textId="429653F3" w:rsidR="007855AD" w:rsidRDefault="00CE3AA1" w:rsidP="00F16B71">
            <w:pPr>
              <w:pStyle w:val="TCTableBody"/>
              <w:spacing w:after="0"/>
            </w:pPr>
            <w:r>
              <w:t>Methanol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89E374" w14:textId="1031C254" w:rsidR="007855AD" w:rsidRPr="00D4065C" w:rsidRDefault="00CE3AA1" w:rsidP="00F16B71">
            <w:pPr>
              <w:pStyle w:val="TCTableBody"/>
              <w:spacing w:after="0"/>
              <w:jc w:val="center"/>
              <w:rPr>
                <w:color w:val="000000" w:themeColor="text1"/>
              </w:rPr>
            </w:pPr>
            <w:r w:rsidRPr="00D4065C">
              <w:rPr>
                <w:color w:val="000000" w:themeColor="text1"/>
              </w:rPr>
              <w:t>0.014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008C89" w14:textId="1461C089" w:rsidR="007855AD" w:rsidRPr="00D4065C" w:rsidRDefault="00CE3AA1" w:rsidP="00F16B71">
            <w:pPr>
              <w:pStyle w:val="TCTableBody"/>
              <w:spacing w:after="0"/>
              <w:jc w:val="center"/>
              <w:rPr>
                <w:color w:val="000000" w:themeColor="text1"/>
              </w:rPr>
            </w:pPr>
            <w:r w:rsidRPr="00D4065C">
              <w:rPr>
                <w:color w:val="000000" w:themeColor="text1"/>
              </w:rPr>
              <w:t>0.16</w:t>
            </w:r>
            <w:r w:rsidR="00785721" w:rsidRPr="00D4065C">
              <w:rPr>
                <w:color w:val="000000" w:themeColor="text1"/>
              </w:rPr>
              <w:t>9</w:t>
            </w:r>
          </w:p>
        </w:tc>
        <w:tc>
          <w:tcPr>
            <w:tcW w:w="16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1C5DD5" w14:textId="531972A6" w:rsidR="007855AD" w:rsidRPr="00D4065C" w:rsidRDefault="00CE3AA1" w:rsidP="00F16B71">
            <w:pPr>
              <w:pStyle w:val="TCTableBody"/>
              <w:spacing w:after="0"/>
              <w:jc w:val="center"/>
              <w:rPr>
                <w:color w:val="000000" w:themeColor="text1"/>
              </w:rPr>
            </w:pPr>
            <w:r w:rsidRPr="00D4065C">
              <w:rPr>
                <w:color w:val="000000" w:themeColor="text1"/>
              </w:rPr>
              <w:t>0.83</w:t>
            </w:r>
            <w:r w:rsidR="00785721" w:rsidRPr="00D4065C">
              <w:rPr>
                <w:color w:val="000000" w:themeColor="text1"/>
              </w:rPr>
              <w:t>1</w:t>
            </w:r>
          </w:p>
        </w:tc>
        <w:tc>
          <w:tcPr>
            <w:tcW w:w="16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389129" w14:textId="0B69914F" w:rsidR="007855AD" w:rsidRPr="00D4065C" w:rsidRDefault="00CE3AA1" w:rsidP="00F16B71">
            <w:pPr>
              <w:pStyle w:val="TCTableBody"/>
              <w:spacing w:after="0"/>
              <w:jc w:val="center"/>
              <w:rPr>
                <w:color w:val="000000" w:themeColor="text1"/>
              </w:rPr>
            </w:pPr>
            <w:r w:rsidRPr="00D4065C">
              <w:rPr>
                <w:color w:val="000000" w:themeColor="text1"/>
              </w:rPr>
              <w:t>0.002</w:t>
            </w:r>
            <w:r w:rsidR="00785721" w:rsidRPr="00D4065C">
              <w:rPr>
                <w:color w:val="000000" w:themeColor="text1"/>
              </w:rPr>
              <w:t>4</w:t>
            </w:r>
          </w:p>
          <w:p w14:paraId="2AE7A86B" w14:textId="4B259B2D" w:rsidR="007855AD" w:rsidRPr="00D4065C" w:rsidRDefault="00CE3AA1" w:rsidP="008D02FB">
            <w:pPr>
              <w:pStyle w:val="TCTableBody"/>
              <w:spacing w:after="120"/>
              <w:jc w:val="center"/>
              <w:rPr>
                <w:color w:val="000000" w:themeColor="text1"/>
              </w:rPr>
            </w:pPr>
            <w:r w:rsidRPr="00D4065C">
              <w:rPr>
                <w:rFonts w:hint="eastAsia"/>
                <w:color w:val="000000" w:themeColor="text1"/>
              </w:rPr>
              <w:t>(</w:t>
            </w:r>
            <w:r w:rsidRPr="00D4065C">
              <w:rPr>
                <w:color w:val="000000" w:themeColor="text1"/>
              </w:rPr>
              <w:t>0.115)</w:t>
            </w:r>
          </w:p>
        </w:tc>
        <w:tc>
          <w:tcPr>
            <w:tcW w:w="16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BED98C" w14:textId="77777777" w:rsidR="007855AD" w:rsidRPr="00D4065C" w:rsidRDefault="00CE3AA1" w:rsidP="00F16B71">
            <w:pPr>
              <w:pStyle w:val="TCTableBody"/>
              <w:spacing w:after="0"/>
              <w:jc w:val="center"/>
              <w:rPr>
                <w:color w:val="000000" w:themeColor="text1"/>
              </w:rPr>
            </w:pPr>
            <w:r w:rsidRPr="00D4065C">
              <w:rPr>
                <w:rFonts w:hint="eastAsia"/>
                <w:color w:val="000000" w:themeColor="text1"/>
              </w:rPr>
              <w:t>0</w:t>
            </w:r>
            <w:r w:rsidRPr="00D4065C">
              <w:rPr>
                <w:color w:val="000000" w:themeColor="text1"/>
              </w:rPr>
              <w:t>.0113</w:t>
            </w:r>
          </w:p>
          <w:p w14:paraId="1434CB18" w14:textId="40ACC5A6" w:rsidR="007855AD" w:rsidRPr="00D4065C" w:rsidRDefault="00CE3AA1" w:rsidP="008D02FB">
            <w:pPr>
              <w:pStyle w:val="TCTableBody"/>
              <w:spacing w:after="120"/>
              <w:jc w:val="center"/>
              <w:rPr>
                <w:color w:val="000000" w:themeColor="text1"/>
              </w:rPr>
            </w:pPr>
            <w:r w:rsidRPr="00D4065C">
              <w:rPr>
                <w:rFonts w:hint="eastAsia"/>
                <w:color w:val="000000" w:themeColor="text1"/>
              </w:rPr>
              <w:t>(</w:t>
            </w:r>
            <w:r w:rsidRPr="00D4065C">
              <w:rPr>
                <w:color w:val="000000" w:themeColor="text1"/>
              </w:rPr>
              <w:t>2.69)</w:t>
            </w:r>
          </w:p>
        </w:tc>
      </w:tr>
      <w:tr w:rsidR="00FF6F17" w14:paraId="1BDE8ACA" w14:textId="77777777" w:rsidTr="0066288E">
        <w:trPr>
          <w:trHeight w:val="432"/>
        </w:trPr>
        <w:tc>
          <w:tcPr>
            <w:tcW w:w="805" w:type="dxa"/>
            <w:vMerge/>
            <w:tcBorders>
              <w:left w:val="nil"/>
              <w:bottom w:val="single" w:sz="18" w:space="0" w:color="auto"/>
            </w:tcBorders>
          </w:tcPr>
          <w:p w14:paraId="2860A5EA" w14:textId="77777777" w:rsidR="007855AD" w:rsidRDefault="007855AD" w:rsidP="007855AD">
            <w:pPr>
              <w:pStyle w:val="TCTableBody"/>
              <w:jc w:val="center"/>
            </w:pPr>
          </w:p>
        </w:tc>
        <w:tc>
          <w:tcPr>
            <w:tcW w:w="1110" w:type="dxa"/>
            <w:tcBorders>
              <w:top w:val="nil"/>
              <w:bottom w:val="single" w:sz="18" w:space="0" w:color="auto"/>
              <w:right w:val="nil"/>
            </w:tcBorders>
            <w:vAlign w:val="center"/>
          </w:tcPr>
          <w:p w14:paraId="1EC9CB97" w14:textId="6659F779" w:rsidR="007855AD" w:rsidRDefault="00CE3AA1" w:rsidP="00F16B71">
            <w:pPr>
              <w:pStyle w:val="TCTableBody"/>
              <w:spacing w:after="0"/>
            </w:pPr>
            <w:r>
              <w:t>Ethanol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18" w:space="0" w:color="auto"/>
              <w:right w:val="nil"/>
            </w:tcBorders>
            <w:vAlign w:val="center"/>
          </w:tcPr>
          <w:p w14:paraId="3E942191" w14:textId="5ED43AA2" w:rsidR="007855AD" w:rsidRPr="00D4065C" w:rsidRDefault="00CE3AA1" w:rsidP="00F16B71">
            <w:pPr>
              <w:pStyle w:val="TCTableBody"/>
              <w:spacing w:after="0"/>
              <w:jc w:val="center"/>
              <w:rPr>
                <w:color w:val="000000" w:themeColor="text1"/>
              </w:rPr>
            </w:pPr>
            <w:r w:rsidRPr="00D4065C">
              <w:rPr>
                <w:color w:val="000000" w:themeColor="text1"/>
              </w:rPr>
              <w:t>0.018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18" w:space="0" w:color="auto"/>
              <w:right w:val="nil"/>
            </w:tcBorders>
            <w:vAlign w:val="center"/>
          </w:tcPr>
          <w:p w14:paraId="3626F558" w14:textId="29563C4B" w:rsidR="007855AD" w:rsidRPr="00D4065C" w:rsidRDefault="00CE3AA1" w:rsidP="00F16B71">
            <w:pPr>
              <w:pStyle w:val="TCTableBody"/>
              <w:spacing w:after="0"/>
              <w:jc w:val="center"/>
              <w:rPr>
                <w:color w:val="000000" w:themeColor="text1"/>
              </w:rPr>
            </w:pPr>
            <w:r w:rsidRPr="00D4065C">
              <w:rPr>
                <w:color w:val="000000" w:themeColor="text1"/>
              </w:rPr>
              <w:t>0.2</w:t>
            </w:r>
            <w:r w:rsidR="00785721" w:rsidRPr="00D4065C">
              <w:rPr>
                <w:color w:val="000000" w:themeColor="text1"/>
              </w:rPr>
              <w:t>4</w:t>
            </w:r>
            <w:r w:rsidRPr="00D4065C">
              <w:rPr>
                <w:color w:val="000000" w:themeColor="text1"/>
              </w:rPr>
              <w:t>5</w:t>
            </w:r>
          </w:p>
        </w:tc>
        <w:tc>
          <w:tcPr>
            <w:tcW w:w="1655" w:type="dxa"/>
            <w:tcBorders>
              <w:top w:val="nil"/>
              <w:left w:val="nil"/>
              <w:bottom w:val="single" w:sz="18" w:space="0" w:color="auto"/>
              <w:right w:val="nil"/>
            </w:tcBorders>
            <w:vAlign w:val="center"/>
          </w:tcPr>
          <w:p w14:paraId="0F9F06D7" w14:textId="677848F7" w:rsidR="007855AD" w:rsidRPr="00D4065C" w:rsidRDefault="00CE3AA1" w:rsidP="00F16B71">
            <w:pPr>
              <w:pStyle w:val="TCTableBody"/>
              <w:spacing w:after="0"/>
              <w:jc w:val="center"/>
              <w:rPr>
                <w:color w:val="000000" w:themeColor="text1"/>
              </w:rPr>
            </w:pPr>
            <w:r w:rsidRPr="00D4065C">
              <w:rPr>
                <w:color w:val="000000" w:themeColor="text1"/>
              </w:rPr>
              <w:t>0.7</w:t>
            </w:r>
            <w:r w:rsidR="00785721" w:rsidRPr="00D4065C">
              <w:rPr>
                <w:color w:val="000000" w:themeColor="text1"/>
              </w:rPr>
              <w:t>5</w:t>
            </w:r>
            <w:r w:rsidRPr="00D4065C">
              <w:rPr>
                <w:color w:val="000000" w:themeColor="text1"/>
              </w:rPr>
              <w:t>5</w:t>
            </w:r>
          </w:p>
        </w:tc>
        <w:tc>
          <w:tcPr>
            <w:tcW w:w="1655" w:type="dxa"/>
            <w:tcBorders>
              <w:top w:val="nil"/>
              <w:left w:val="nil"/>
              <w:bottom w:val="single" w:sz="18" w:space="0" w:color="auto"/>
              <w:right w:val="nil"/>
            </w:tcBorders>
            <w:vAlign w:val="center"/>
          </w:tcPr>
          <w:p w14:paraId="517DFFD2" w14:textId="7B9803DC" w:rsidR="007855AD" w:rsidRPr="00D4065C" w:rsidRDefault="00CE3AA1" w:rsidP="00F16B71">
            <w:pPr>
              <w:pStyle w:val="TCTableBody"/>
              <w:spacing w:after="0"/>
              <w:jc w:val="center"/>
              <w:rPr>
                <w:color w:val="000000" w:themeColor="text1"/>
              </w:rPr>
            </w:pPr>
            <w:r w:rsidRPr="00D4065C">
              <w:rPr>
                <w:color w:val="000000" w:themeColor="text1"/>
              </w:rPr>
              <w:t>0.00</w:t>
            </w:r>
            <w:r w:rsidR="00785721" w:rsidRPr="00D4065C">
              <w:rPr>
                <w:color w:val="000000" w:themeColor="text1"/>
              </w:rPr>
              <w:t>44</w:t>
            </w:r>
          </w:p>
          <w:p w14:paraId="53D89CFA" w14:textId="4ED873CA" w:rsidR="007855AD" w:rsidRPr="00D4065C" w:rsidRDefault="00CE3AA1" w:rsidP="008D02FB">
            <w:pPr>
              <w:pStyle w:val="TCTableBody"/>
              <w:spacing w:after="120"/>
              <w:jc w:val="center"/>
              <w:rPr>
                <w:color w:val="000000" w:themeColor="text1"/>
              </w:rPr>
            </w:pPr>
            <w:r w:rsidRPr="00D4065C">
              <w:rPr>
                <w:rFonts w:hint="eastAsia"/>
                <w:color w:val="000000" w:themeColor="text1"/>
              </w:rPr>
              <w:t>(</w:t>
            </w:r>
            <w:r w:rsidRPr="00D4065C">
              <w:rPr>
                <w:color w:val="000000" w:themeColor="text1"/>
              </w:rPr>
              <w:t>0.12</w:t>
            </w:r>
            <w:r w:rsidR="00785721" w:rsidRPr="00D4065C">
              <w:rPr>
                <w:color w:val="000000" w:themeColor="text1"/>
              </w:rPr>
              <w:t>7</w:t>
            </w:r>
            <w:r w:rsidRPr="00D4065C">
              <w:rPr>
                <w:color w:val="000000" w:themeColor="text1"/>
              </w:rPr>
              <w:t>)</w:t>
            </w:r>
          </w:p>
        </w:tc>
        <w:tc>
          <w:tcPr>
            <w:tcW w:w="1655" w:type="dxa"/>
            <w:tcBorders>
              <w:top w:val="nil"/>
              <w:left w:val="nil"/>
              <w:bottom w:val="single" w:sz="18" w:space="0" w:color="auto"/>
              <w:right w:val="nil"/>
            </w:tcBorders>
            <w:vAlign w:val="center"/>
          </w:tcPr>
          <w:p w14:paraId="52CF4A68" w14:textId="77777777" w:rsidR="007855AD" w:rsidRPr="00D4065C" w:rsidRDefault="00CE3AA1" w:rsidP="00F16B71">
            <w:pPr>
              <w:pStyle w:val="TCTableBody"/>
              <w:spacing w:after="0"/>
              <w:jc w:val="center"/>
              <w:rPr>
                <w:color w:val="000000" w:themeColor="text1"/>
              </w:rPr>
            </w:pPr>
            <w:r w:rsidRPr="00D4065C">
              <w:rPr>
                <w:rFonts w:hint="eastAsia"/>
                <w:color w:val="000000" w:themeColor="text1"/>
              </w:rPr>
              <w:t>0</w:t>
            </w:r>
            <w:r w:rsidRPr="00D4065C">
              <w:rPr>
                <w:color w:val="000000" w:themeColor="text1"/>
              </w:rPr>
              <w:t>.0136</w:t>
            </w:r>
          </w:p>
          <w:p w14:paraId="380B12D7" w14:textId="75665896" w:rsidR="007855AD" w:rsidRPr="00D4065C" w:rsidRDefault="00CE3AA1" w:rsidP="008D02FB">
            <w:pPr>
              <w:pStyle w:val="TCTableBody"/>
              <w:spacing w:after="120"/>
              <w:jc w:val="center"/>
              <w:rPr>
                <w:color w:val="000000" w:themeColor="text1"/>
              </w:rPr>
            </w:pPr>
            <w:r w:rsidRPr="00D4065C">
              <w:rPr>
                <w:rFonts w:hint="eastAsia"/>
                <w:color w:val="000000" w:themeColor="text1"/>
              </w:rPr>
              <w:t>(</w:t>
            </w:r>
            <w:r w:rsidRPr="00D4065C">
              <w:rPr>
                <w:color w:val="000000" w:themeColor="text1"/>
              </w:rPr>
              <w:t>2.45)</w:t>
            </w:r>
          </w:p>
        </w:tc>
      </w:tr>
    </w:tbl>
    <w:p w14:paraId="7EF9A6BB" w14:textId="63F86C8C" w:rsidR="00247547" w:rsidRDefault="00CE3AA1" w:rsidP="00E21E30">
      <w:pPr>
        <w:spacing w:before="120"/>
      </w:pPr>
      <w:r>
        <w:t xml:space="preserve">Note: The fluorescence was monitored at </w:t>
      </w:r>
      <w:r>
        <w:rPr>
          <w:rFonts w:ascii="Calibri" w:hAnsi="Calibri" w:cs="Calibri"/>
        </w:rPr>
        <w:t>λ</w:t>
      </w:r>
      <w:r>
        <w:t xml:space="preserve"> = 520 nm. </w:t>
      </w:r>
      <m:oMath>
        <m:f>
          <m:fPr>
            <m:type m:val="lin"/>
            <m:ctrlPr>
              <w:rPr>
                <w:rFonts w:ascii="Cambria Math" w:hAnsi="Cambria Math"/>
                <w:i/>
              </w:rPr>
            </m:ctrlPr>
          </m:fPr>
          <m:num>
            <m:sSub>
              <m:sSubPr>
                <m:ctrlPr>
                  <w:rPr>
                    <w:rFonts w:ascii="Cambria Math" w:hAnsi="Cambria Math" w:cs="New York"/>
                    <w:i/>
                  </w:rPr>
                </m:ctrlPr>
              </m:sSubPr>
              <m:e>
                <m:r>
                  <w:rPr>
                    <w:rFonts w:ascii="Cambria Math" w:hAnsi="Cambria Math" w:cs="New York"/>
                  </w:rPr>
                  <m:t>A</m:t>
                </m:r>
              </m:e>
              <m:sub>
                <m:r>
                  <w:rPr>
                    <w:rFonts w:ascii="Cambria Math" w:hAnsi="Cambria Math" w:cs="New York"/>
                  </w:rPr>
                  <m:t>1</m:t>
                </m:r>
              </m:sub>
            </m:sSub>
            <m:sSub>
              <m:sSubPr>
                <m:ctrlPr>
                  <w:rPr>
                    <w:rFonts w:ascii="Cambria Math" w:hAnsi="Cambria Math" w:cs="New York"/>
                    <w:i/>
                  </w:rPr>
                </m:ctrlPr>
              </m:sSubPr>
              <m:e>
                <m:r>
                  <w:rPr>
                    <w:rFonts w:ascii="Cambria Math" w:hAnsi="Cambria Math" w:cs="New York"/>
                  </w:rPr>
                  <m:t>τ</m:t>
                </m:r>
              </m:e>
              <m:sub>
                <m:r>
                  <w:rPr>
                    <w:rFonts w:ascii="Cambria Math" w:hAnsi="Cambria Math" w:cs="New York"/>
                  </w:rPr>
                  <m:t>1</m:t>
                </m:r>
              </m:sub>
            </m:sSub>
          </m:num>
          <m:den>
            <m:r>
              <w:rPr>
                <w:rFonts w:ascii="Cambria Math" w:hAnsi="Cambria Math"/>
              </w:rPr>
              <m:t>(</m:t>
            </m:r>
            <m:sSub>
              <m:sSubPr>
                <m:ctrlPr>
                  <w:rPr>
                    <w:rFonts w:ascii="Cambria Math" w:hAnsi="Cambria Math" w:cs="New York"/>
                    <w:i/>
                  </w:rPr>
                </m:ctrlPr>
              </m:sSubPr>
              <m:e>
                <m:r>
                  <w:rPr>
                    <w:rFonts w:ascii="Cambria Math" w:hAnsi="Cambria Math" w:cs="New York"/>
                  </w:rPr>
                  <m:t>A</m:t>
                </m:r>
              </m:e>
              <m:sub>
                <m:r>
                  <w:rPr>
                    <w:rFonts w:ascii="Cambria Math" w:hAnsi="Cambria Math" w:cs="New York"/>
                  </w:rPr>
                  <m:t>1</m:t>
                </m:r>
              </m:sub>
            </m:sSub>
            <m:sSub>
              <m:sSubPr>
                <m:ctrlPr>
                  <w:rPr>
                    <w:rFonts w:ascii="Cambria Math" w:hAnsi="Cambria Math" w:cs="New York"/>
                    <w:i/>
                  </w:rPr>
                </m:ctrlPr>
              </m:sSubPr>
              <m:e>
                <m:r>
                  <w:rPr>
                    <w:rFonts w:ascii="Cambria Math" w:hAnsi="Cambria Math" w:cs="New York"/>
                  </w:rPr>
                  <m:t>τ</m:t>
                </m:r>
              </m:e>
              <m:sub>
                <m:r>
                  <w:rPr>
                    <w:rFonts w:ascii="Cambria Math" w:hAnsi="Cambria Math" w:cs="New York"/>
                  </w:rPr>
                  <m:t>1</m:t>
                </m:r>
              </m:sub>
            </m:sSub>
            <m:r>
              <w:rPr>
                <w:rFonts w:ascii="Cambria Math" w:hAnsi="Cambria Math" w:cs="New York"/>
              </w:rPr>
              <m:t>+</m:t>
            </m:r>
            <m:sSub>
              <m:sSubPr>
                <m:ctrlPr>
                  <w:rPr>
                    <w:rFonts w:ascii="Cambria Math" w:hAnsi="Cambria Math" w:cs="New York"/>
                    <w:i/>
                  </w:rPr>
                </m:ctrlPr>
              </m:sSubPr>
              <m:e>
                <m:r>
                  <w:rPr>
                    <w:rFonts w:ascii="Cambria Math" w:hAnsi="Cambria Math" w:cs="New York"/>
                  </w:rPr>
                  <m:t>A</m:t>
                </m:r>
              </m:e>
              <m:sub>
                <m:r>
                  <w:rPr>
                    <w:rFonts w:ascii="Cambria Math" w:hAnsi="Cambria Math" w:cs="New York"/>
                  </w:rPr>
                  <m:t>2</m:t>
                </m:r>
              </m:sub>
            </m:sSub>
            <m:sSub>
              <m:sSubPr>
                <m:ctrlPr>
                  <w:rPr>
                    <w:rFonts w:ascii="Cambria Math" w:hAnsi="Cambria Math" w:cs="New York"/>
                    <w:i/>
                  </w:rPr>
                </m:ctrlPr>
              </m:sSubPr>
              <m:e>
                <m:r>
                  <w:rPr>
                    <w:rFonts w:ascii="Cambria Math" w:hAnsi="Cambria Math" w:cs="New York"/>
                  </w:rPr>
                  <m:t>τ</m:t>
                </m:r>
              </m:e>
              <m:sub>
                <m:r>
                  <w:rPr>
                    <w:rFonts w:ascii="Cambria Math" w:hAnsi="Cambria Math" w:cs="New York"/>
                  </w:rPr>
                  <m:t>2</m:t>
                </m:r>
              </m:sub>
            </m:sSub>
            <m:r>
              <w:rPr>
                <w:rFonts w:ascii="Cambria Math" w:hAnsi="Cambria Math" w:cs="New York"/>
              </w:rPr>
              <m:t>)</m:t>
            </m:r>
          </m:den>
        </m:f>
      </m:oMath>
      <w:r>
        <w:t xml:space="preserve"> and </w:t>
      </w:r>
      <m:oMath>
        <m:f>
          <m:fPr>
            <m:type m:val="lin"/>
            <m:ctrlPr>
              <w:rPr>
                <w:rFonts w:ascii="Cambria Math" w:hAnsi="Cambria Math"/>
                <w:i/>
              </w:rPr>
            </m:ctrlPr>
          </m:fPr>
          <m:num>
            <m:sSub>
              <m:sSubPr>
                <m:ctrlPr>
                  <w:rPr>
                    <w:rFonts w:ascii="Cambria Math" w:hAnsi="Cambria Math" w:cs="New York"/>
                    <w:i/>
                  </w:rPr>
                </m:ctrlPr>
              </m:sSubPr>
              <m:e>
                <m:r>
                  <w:rPr>
                    <w:rFonts w:ascii="Cambria Math" w:hAnsi="Cambria Math" w:cs="New York"/>
                  </w:rPr>
                  <m:t>A</m:t>
                </m:r>
              </m:e>
              <m:sub>
                <m:r>
                  <w:rPr>
                    <w:rFonts w:ascii="Cambria Math" w:hAnsi="Cambria Math" w:cs="New York"/>
                  </w:rPr>
                  <m:t>2</m:t>
                </m:r>
              </m:sub>
            </m:sSub>
            <m:sSub>
              <m:sSubPr>
                <m:ctrlPr>
                  <w:rPr>
                    <w:rFonts w:ascii="Cambria Math" w:hAnsi="Cambria Math" w:cs="New York"/>
                    <w:i/>
                  </w:rPr>
                </m:ctrlPr>
              </m:sSubPr>
              <m:e>
                <m:r>
                  <w:rPr>
                    <w:rFonts w:ascii="Cambria Math" w:hAnsi="Cambria Math" w:cs="New York"/>
                  </w:rPr>
                  <m:t>τ</m:t>
                </m:r>
              </m:e>
              <m:sub>
                <m:r>
                  <w:rPr>
                    <w:rFonts w:ascii="Cambria Math" w:hAnsi="Cambria Math" w:cs="New York"/>
                  </w:rPr>
                  <m:t>2</m:t>
                </m:r>
              </m:sub>
            </m:sSub>
          </m:num>
          <m:den>
            <m:r>
              <w:rPr>
                <w:rFonts w:ascii="Cambria Math" w:hAnsi="Cambria Math"/>
              </w:rPr>
              <m:t>(</m:t>
            </m:r>
            <m:sSub>
              <m:sSubPr>
                <m:ctrlPr>
                  <w:rPr>
                    <w:rFonts w:ascii="Cambria Math" w:hAnsi="Cambria Math" w:cs="New York"/>
                    <w:i/>
                  </w:rPr>
                </m:ctrlPr>
              </m:sSubPr>
              <m:e>
                <m:r>
                  <w:rPr>
                    <w:rFonts w:ascii="Cambria Math" w:hAnsi="Cambria Math" w:cs="New York"/>
                  </w:rPr>
                  <m:t>A</m:t>
                </m:r>
              </m:e>
              <m:sub>
                <m:r>
                  <w:rPr>
                    <w:rFonts w:ascii="Cambria Math" w:hAnsi="Cambria Math" w:cs="New York"/>
                  </w:rPr>
                  <m:t>1</m:t>
                </m:r>
              </m:sub>
            </m:sSub>
            <m:sSub>
              <m:sSubPr>
                <m:ctrlPr>
                  <w:rPr>
                    <w:rFonts w:ascii="Cambria Math" w:hAnsi="Cambria Math" w:cs="New York"/>
                    <w:i/>
                  </w:rPr>
                </m:ctrlPr>
              </m:sSubPr>
              <m:e>
                <m:r>
                  <w:rPr>
                    <w:rFonts w:ascii="Cambria Math" w:hAnsi="Cambria Math" w:cs="New York"/>
                  </w:rPr>
                  <m:t>τ</m:t>
                </m:r>
              </m:e>
              <m:sub>
                <m:r>
                  <w:rPr>
                    <w:rFonts w:ascii="Cambria Math" w:hAnsi="Cambria Math" w:cs="New York"/>
                  </w:rPr>
                  <m:t>1</m:t>
                </m:r>
              </m:sub>
            </m:sSub>
            <m:r>
              <w:rPr>
                <w:rFonts w:ascii="Cambria Math" w:hAnsi="Cambria Math" w:cs="New York"/>
              </w:rPr>
              <m:t>+</m:t>
            </m:r>
            <m:sSub>
              <m:sSubPr>
                <m:ctrlPr>
                  <w:rPr>
                    <w:rFonts w:ascii="Cambria Math" w:hAnsi="Cambria Math" w:cs="New York"/>
                    <w:i/>
                  </w:rPr>
                </m:ctrlPr>
              </m:sSubPr>
              <m:e>
                <m:r>
                  <w:rPr>
                    <w:rFonts w:ascii="Cambria Math" w:hAnsi="Cambria Math" w:cs="New York"/>
                  </w:rPr>
                  <m:t>A</m:t>
                </m:r>
              </m:e>
              <m:sub>
                <m:r>
                  <w:rPr>
                    <w:rFonts w:ascii="Cambria Math" w:hAnsi="Cambria Math" w:cs="New York"/>
                  </w:rPr>
                  <m:t>2</m:t>
                </m:r>
              </m:sub>
            </m:sSub>
            <m:sSub>
              <m:sSubPr>
                <m:ctrlPr>
                  <w:rPr>
                    <w:rFonts w:ascii="Cambria Math" w:hAnsi="Cambria Math" w:cs="New York"/>
                    <w:i/>
                  </w:rPr>
                </m:ctrlPr>
              </m:sSubPr>
              <m:e>
                <m:r>
                  <w:rPr>
                    <w:rFonts w:ascii="Cambria Math" w:hAnsi="Cambria Math" w:cs="New York"/>
                  </w:rPr>
                  <m:t>τ</m:t>
                </m:r>
              </m:e>
              <m:sub>
                <m:r>
                  <w:rPr>
                    <w:rFonts w:ascii="Cambria Math" w:hAnsi="Cambria Math" w:cs="New York"/>
                  </w:rPr>
                  <m:t>2</m:t>
                </m:r>
              </m:sub>
            </m:sSub>
            <m:r>
              <w:rPr>
                <w:rFonts w:ascii="Cambria Math" w:hAnsi="Cambria Math" w:cs="New York"/>
              </w:rPr>
              <m:t>)</m:t>
            </m:r>
          </m:den>
        </m:f>
      </m:oMath>
      <w:r>
        <w:t xml:space="preserve"> are the intensity ratios of the rapidly and slowly decaying components, respectively.</w:t>
      </w:r>
      <w:r w:rsidR="00E21E30">
        <w:t xml:space="preserve"> As the PL of the FITC solutions exhibits </w:t>
      </w:r>
      <w:r w:rsidR="00033F56">
        <w:t xml:space="preserve">a </w:t>
      </w:r>
      <w:r w:rsidR="00E21E30">
        <w:t xml:space="preserve">mono-exponential decay profile, </w:t>
      </w:r>
      <w:r w:rsidR="00CA607D">
        <w:t xml:space="preserve">decomposing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ϕ</m:t>
            </m:r>
          </m:e>
          <m:sub>
            <m:r>
              <w:rPr>
                <w:rFonts w:ascii="Cambria Math" w:hAnsi="Cambria Math"/>
              </w:rPr>
              <m:t>PL</m:t>
            </m:r>
          </m:sub>
        </m:sSub>
      </m:oMath>
      <w:r w:rsidR="000F04EF">
        <w:t xml:space="preserve"> is not required</w:t>
      </w:r>
      <w:r w:rsidR="00556BF2">
        <w:t>.</w:t>
      </w:r>
    </w:p>
    <w:p w14:paraId="4DC86DC3" w14:textId="77777777" w:rsidR="00B40E91" w:rsidRPr="008D02FB" w:rsidRDefault="00B40E91" w:rsidP="00CF74B9">
      <w:pPr>
        <w:spacing w:before="120"/>
      </w:pPr>
    </w:p>
    <w:p w14:paraId="57935732" w14:textId="5AE8334D" w:rsidR="00E421FA" w:rsidRDefault="00CE3AA1" w:rsidP="00C80709">
      <w:pPr>
        <w:pStyle w:val="TESupportingInformation"/>
        <w:spacing w:after="0" w:line="360" w:lineRule="auto"/>
        <w:ind w:firstLine="0"/>
      </w:pPr>
      <w:r w:rsidRPr="0029190D">
        <w:rPr>
          <w:b/>
          <w:color w:val="000000" w:themeColor="text1"/>
        </w:rPr>
        <w:t xml:space="preserve">Supplementary </w:t>
      </w:r>
      <w:r w:rsidR="00D4065C" w:rsidRPr="004629AA">
        <w:rPr>
          <w:rFonts w:hint="eastAsia"/>
          <w:b/>
          <w:color w:val="000000" w:themeColor="text1"/>
        </w:rPr>
        <w:t>Table S</w:t>
      </w:r>
      <w:r w:rsidR="004935F2" w:rsidRPr="004629AA">
        <w:rPr>
          <w:b/>
          <w:color w:val="000000" w:themeColor="text1"/>
        </w:rPr>
        <w:t>2</w:t>
      </w:r>
      <w:r w:rsidR="00D4065C" w:rsidRPr="004629AA">
        <w:rPr>
          <w:b/>
          <w:color w:val="000000" w:themeColor="text1"/>
        </w:rPr>
        <w:t>.</w:t>
      </w:r>
      <w:r w:rsidR="00D4065C" w:rsidRPr="004629AA">
        <w:rPr>
          <w:color w:val="000000" w:themeColor="text1"/>
        </w:rPr>
        <w:t xml:space="preserve"> </w:t>
      </w:r>
      <w:r w:rsidR="00187A30">
        <w:t>Rate constants of radiative (</w:t>
      </w:r>
      <m:oMath>
        <m:sSubSup>
          <m:sSubSupPr>
            <m:ctrlPr>
              <w:rPr>
                <w:rFonts w:ascii="Cambria Math" w:hAnsi="Cambria Math"/>
                <w:i/>
              </w:rPr>
            </m:ctrlPr>
          </m:sSubSupPr>
          <m:e>
            <m:r>
              <w:rPr>
                <w:rFonts w:ascii="Cambria Math" w:hAnsi="Cambria Math"/>
              </w:rPr>
              <m:t>k</m:t>
            </m:r>
          </m:e>
          <m:sub>
            <m:r>
              <w:rPr>
                <w:rFonts w:ascii="Cambria Math" w:hAnsi="Cambria Math"/>
              </w:rPr>
              <m:t>r</m:t>
            </m:r>
          </m:sub>
          <m:sup>
            <m:r>
              <w:rPr>
                <w:rFonts w:ascii="Cambria Math" w:hAnsi="Cambria Math"/>
              </w:rPr>
              <m:t>fast</m:t>
            </m:r>
          </m:sup>
        </m:sSubSup>
      </m:oMath>
      <w:r w:rsidR="00187A30">
        <w:t xml:space="preserve"> and </w:t>
      </w:r>
      <m:oMath>
        <m:sSubSup>
          <m:sSubSupPr>
            <m:ctrlPr>
              <w:rPr>
                <w:rFonts w:ascii="Cambria Math" w:hAnsi="Cambria Math"/>
                <w:i/>
              </w:rPr>
            </m:ctrlPr>
          </m:sSubSupPr>
          <m:e>
            <m:r>
              <w:rPr>
                <w:rFonts w:ascii="Cambria Math" w:hAnsi="Cambria Math"/>
              </w:rPr>
              <m:t>k</m:t>
            </m:r>
          </m:e>
          <m:sub>
            <m:r>
              <w:rPr>
                <w:rFonts w:ascii="Cambria Math" w:hAnsi="Cambria Math"/>
              </w:rPr>
              <m:t>r</m:t>
            </m:r>
          </m:sub>
          <m:sup>
            <m:r>
              <w:rPr>
                <w:rFonts w:ascii="Cambria Math" w:hAnsi="Cambria Math"/>
              </w:rPr>
              <m:t>slow</m:t>
            </m:r>
          </m:sup>
        </m:sSubSup>
      </m:oMath>
      <w:r w:rsidR="00187A30">
        <w:t>) and nonradiative (</w:t>
      </w:r>
      <m:oMath>
        <m:sSubSup>
          <m:sSubSupPr>
            <m:ctrlPr>
              <w:rPr>
                <w:rFonts w:ascii="Cambria Math" w:hAnsi="Cambria Math"/>
                <w:i/>
              </w:rPr>
            </m:ctrlPr>
          </m:sSubSupPr>
          <m:e>
            <m:r>
              <w:rPr>
                <w:rFonts w:ascii="Cambria Math" w:hAnsi="Cambria Math"/>
              </w:rPr>
              <m:t>k</m:t>
            </m:r>
          </m:e>
          <m:sub>
            <m:r>
              <w:rPr>
                <w:rFonts w:ascii="Cambria Math" w:hAnsi="Cambria Math"/>
              </w:rPr>
              <m:t>nr</m:t>
            </m:r>
          </m:sub>
          <m:sup>
            <m:r>
              <w:rPr>
                <w:rFonts w:ascii="Cambria Math" w:hAnsi="Cambria Math"/>
              </w:rPr>
              <m:t>fast</m:t>
            </m:r>
          </m:sup>
        </m:sSubSup>
      </m:oMath>
      <w:r w:rsidR="00187A30">
        <w:t xml:space="preserve"> and </w:t>
      </w:r>
      <m:oMath>
        <m:sSubSup>
          <m:sSubSupPr>
            <m:ctrlPr>
              <w:rPr>
                <w:rFonts w:ascii="Cambria Math" w:hAnsi="Cambria Math"/>
                <w:i/>
              </w:rPr>
            </m:ctrlPr>
          </m:sSubSupPr>
          <m:e>
            <m:r>
              <w:rPr>
                <w:rFonts w:ascii="Cambria Math" w:hAnsi="Cambria Math"/>
              </w:rPr>
              <m:t>k</m:t>
            </m:r>
          </m:e>
          <m:sub>
            <m:r>
              <w:rPr>
                <w:rFonts w:ascii="Cambria Math" w:hAnsi="Cambria Math"/>
              </w:rPr>
              <m:t>nr</m:t>
            </m:r>
          </m:sub>
          <m:sup>
            <m:r>
              <w:rPr>
                <w:rFonts w:ascii="Cambria Math" w:hAnsi="Cambria Math"/>
              </w:rPr>
              <m:t>slow</m:t>
            </m:r>
          </m:sup>
        </m:sSubSup>
      </m:oMath>
      <w:r w:rsidR="00187A30">
        <w:t xml:space="preserve">) decay of the </w:t>
      </w:r>
      <w:r w:rsidR="00187A30" w:rsidRPr="00405B1D">
        <w:t xml:space="preserve">fast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τ</m:t>
            </m:r>
          </m:e>
          <m:sub>
            <m:r>
              <w:rPr>
                <w:rFonts w:ascii="Cambria Math" w:hAnsi="Cambria Math"/>
              </w:rPr>
              <m:t>1</m:t>
            </m:r>
          </m:sub>
        </m:sSub>
      </m:oMath>
      <w:r w:rsidR="00187A30">
        <w:t xml:space="preserve"> </w:t>
      </w:r>
      <w:r w:rsidR="00187A30" w:rsidRPr="00405B1D">
        <w:t xml:space="preserve">and slow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τ</m:t>
            </m:r>
          </m:e>
          <m:sub>
            <m:r>
              <w:rPr>
                <w:rFonts w:ascii="Cambria Math" w:hAnsi="Cambria Math"/>
              </w:rPr>
              <m:t>2</m:t>
            </m:r>
          </m:sub>
        </m:sSub>
      </m:oMath>
      <w:r w:rsidR="00187A30">
        <w:t xml:space="preserve"> </w:t>
      </w:r>
      <w:r w:rsidR="009247CB">
        <w:rPr>
          <w:rFonts w:hint="eastAsia"/>
        </w:rPr>
        <w:t>components</w:t>
      </w:r>
      <w:r w:rsidR="00187A30">
        <w:t>.</w:t>
      </w:r>
    </w:p>
    <w:tbl>
      <w:tblPr>
        <w:tblStyle w:val="TableGrid"/>
        <w:tblpPr w:leftFromText="180" w:rightFromText="180" w:vertAnchor="text" w:horzAnchor="margin" w:tblpXSpec="center" w:tblpY="176"/>
        <w:tblW w:w="0" w:type="auto"/>
        <w:tblLook w:val="04A0" w:firstRow="1" w:lastRow="0" w:firstColumn="1" w:lastColumn="0" w:noHBand="0" w:noVBand="1"/>
      </w:tblPr>
      <w:tblGrid>
        <w:gridCol w:w="805"/>
        <w:gridCol w:w="1110"/>
        <w:gridCol w:w="1728"/>
        <w:gridCol w:w="1728"/>
        <w:gridCol w:w="1728"/>
        <w:gridCol w:w="1728"/>
      </w:tblGrid>
      <w:tr w:rsidR="00FF6F17" w14:paraId="0C86D34D" w14:textId="77777777" w:rsidTr="007D6465">
        <w:trPr>
          <w:trHeight w:val="432"/>
        </w:trPr>
        <w:tc>
          <w:tcPr>
            <w:tcW w:w="805" w:type="dxa"/>
            <w:tcBorders>
              <w:top w:val="single" w:sz="18" w:space="0" w:color="auto"/>
              <w:left w:val="nil"/>
              <w:bottom w:val="double" w:sz="4" w:space="0" w:color="auto"/>
            </w:tcBorders>
            <w:vAlign w:val="center"/>
          </w:tcPr>
          <w:p w14:paraId="4928FF38" w14:textId="77777777" w:rsidR="00113A55" w:rsidRDefault="00CE3AA1" w:rsidP="00C80709">
            <w:pPr>
              <w:pStyle w:val="TCTableBody"/>
              <w:spacing w:after="0"/>
              <w:jc w:val="center"/>
            </w:pPr>
            <w:r>
              <w:t>Solute</w:t>
            </w:r>
          </w:p>
        </w:tc>
        <w:tc>
          <w:tcPr>
            <w:tcW w:w="1110" w:type="dxa"/>
            <w:tcBorders>
              <w:top w:val="single" w:sz="18" w:space="0" w:color="auto"/>
              <w:bottom w:val="double" w:sz="4" w:space="0" w:color="auto"/>
              <w:right w:val="nil"/>
            </w:tcBorders>
            <w:vAlign w:val="center"/>
          </w:tcPr>
          <w:p w14:paraId="44D3E707" w14:textId="77777777" w:rsidR="00113A55" w:rsidRDefault="00CE3AA1" w:rsidP="00C80709">
            <w:pPr>
              <w:pStyle w:val="TCTableBody"/>
              <w:spacing w:after="0"/>
              <w:jc w:val="center"/>
            </w:pPr>
            <w:r>
              <w:t>Solvent</w:t>
            </w:r>
          </w:p>
        </w:tc>
        <w:tc>
          <w:tcPr>
            <w:tcW w:w="1728" w:type="dxa"/>
            <w:tcBorders>
              <w:top w:val="single" w:sz="18" w:space="0" w:color="auto"/>
              <w:left w:val="nil"/>
              <w:bottom w:val="double" w:sz="4" w:space="0" w:color="auto"/>
              <w:right w:val="nil"/>
            </w:tcBorders>
            <w:vAlign w:val="center"/>
          </w:tcPr>
          <w:p w14:paraId="1052CFA9" w14:textId="77777777" w:rsidR="00113A55" w:rsidRDefault="00473081" w:rsidP="00C80709">
            <w:pPr>
              <w:pStyle w:val="TCTableBody"/>
              <w:spacing w:after="0"/>
              <w:jc w:val="center"/>
              <w:rPr>
                <w:rFonts w:ascii="New York" w:hAnsi="New York" w:cs="New York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Cambria Math"/>
                        <w:i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</w:rPr>
                      <m:t>ϕ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PL</m:t>
                    </m:r>
                  </m:sub>
                  <m:sup>
                    <m:r>
                      <w:rPr>
                        <w:rFonts w:ascii="Cambria Math" w:hAnsi="Cambria Math"/>
                      </w:rPr>
                      <m:t>fast</m:t>
                    </m:r>
                  </m:sup>
                </m:sSubSup>
              </m:oMath>
            </m:oMathPara>
          </w:p>
          <w:p w14:paraId="53F5513F" w14:textId="77777777" w:rsidR="00113A55" w:rsidRDefault="00CE3AA1" w:rsidP="00C80709">
            <w:pPr>
              <w:pStyle w:val="TCTableBody"/>
              <w:spacing w:after="0"/>
              <w:jc w:val="center"/>
            </w:pPr>
            <w:r>
              <w:rPr>
                <w:rFonts w:ascii="New York" w:hAnsi="New York" w:cs="New York" w:hint="eastAsia"/>
              </w:rPr>
              <w:t>(</w:t>
            </w:r>
            <m:oMath>
              <m:sSubSup>
                <m:sSubSupPr>
                  <m:ctrlPr>
                    <w:rPr>
                      <w:rFonts w:ascii="Cambria Math" w:hAnsi="Cambria Math"/>
                      <w:i/>
                    </w:rPr>
                  </m:ctrlPr>
                </m:sSubSupPr>
                <m:e>
                  <m:r>
                    <w:rPr>
                      <w:rFonts w:ascii="Cambria Math" w:hAnsi="Cambria Math"/>
                    </w:rPr>
                    <m:t>ϕ</m:t>
                  </m:r>
                </m:e>
                <m:sub>
                  <m:r>
                    <w:rPr>
                      <w:rFonts w:ascii="Cambria Math" w:hAnsi="Cambria Math"/>
                    </w:rPr>
                    <m:t>PL</m:t>
                  </m:r>
                </m:sub>
                <m:sup>
                  <m:r>
                    <w:rPr>
                      <w:rFonts w:ascii="Cambria Math" w:hAnsi="Cambria Math"/>
                    </w:rPr>
                    <m:t>slow</m:t>
                  </m:r>
                </m:sup>
              </m:sSubSup>
            </m:oMath>
            <w:r>
              <w:rPr>
                <w:rFonts w:ascii="New York" w:hAnsi="New York" w:cs="New York"/>
              </w:rPr>
              <w:t>)</w:t>
            </w:r>
          </w:p>
        </w:tc>
        <w:tc>
          <w:tcPr>
            <w:tcW w:w="1728" w:type="dxa"/>
            <w:tcBorders>
              <w:top w:val="single" w:sz="18" w:space="0" w:color="auto"/>
              <w:left w:val="nil"/>
              <w:bottom w:val="double" w:sz="4" w:space="0" w:color="auto"/>
              <w:right w:val="nil"/>
            </w:tcBorders>
            <w:vAlign w:val="center"/>
          </w:tcPr>
          <w:p w14:paraId="053AC956" w14:textId="3CADC36E" w:rsidR="00113A55" w:rsidRPr="00517D40" w:rsidRDefault="00473081" w:rsidP="00C80709">
            <w:pPr>
              <w:pStyle w:val="TCTableBody"/>
              <w:spacing w:after="0"/>
              <w:jc w:val="center"/>
              <w:rPr>
                <w:rFonts w:ascii="New York" w:hAnsi="New York" w:cs="New York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Cambria Math"/>
                        <w:i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</w:rPr>
                      <m:t>k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r</m:t>
                    </m:r>
                  </m:sub>
                  <m:sup>
                    <m:r>
                      <w:rPr>
                        <w:rFonts w:ascii="Cambria Math" w:hAnsi="Cambria Math"/>
                      </w:rPr>
                      <m:t>fast</m:t>
                    </m:r>
                  </m:sup>
                </m:sSubSup>
              </m:oMath>
            </m:oMathPara>
          </w:p>
          <w:p w14:paraId="3B4AADDA" w14:textId="2688770E" w:rsidR="00113A55" w:rsidRDefault="00CE3AA1" w:rsidP="00C80709">
            <w:pPr>
              <w:pStyle w:val="TCTableBody"/>
              <w:spacing w:after="0"/>
              <w:jc w:val="center"/>
              <w:rPr>
                <w:rFonts w:ascii="New York" w:hAnsi="New York" w:cs="New York"/>
              </w:rPr>
            </w:pPr>
            <w:r>
              <w:rPr>
                <w:rFonts w:ascii="New York" w:hAnsi="New York" w:cs="New York" w:hint="eastAsia"/>
              </w:rPr>
              <w:t>(</w:t>
            </w:r>
            <m:oMath>
              <m:sSubSup>
                <m:sSubSupPr>
                  <m:ctrlPr>
                    <w:rPr>
                      <w:rFonts w:ascii="Cambria Math" w:hAnsi="Cambria Math"/>
                      <w:i/>
                    </w:rPr>
                  </m:ctrlPr>
                </m:sSubSupPr>
                <m:e>
                  <m:r>
                    <w:rPr>
                      <w:rFonts w:ascii="Cambria Math" w:hAnsi="Cambria Math"/>
                    </w:rPr>
                    <m:t>k</m:t>
                  </m:r>
                </m:e>
                <m:sub>
                  <m:r>
                    <w:rPr>
                      <w:rFonts w:ascii="Cambria Math" w:hAnsi="Cambria Math"/>
                    </w:rPr>
                    <m:t>r</m:t>
                  </m:r>
                </m:sub>
                <m:sup>
                  <m:r>
                    <w:rPr>
                      <w:rFonts w:ascii="Cambria Math" w:hAnsi="Cambria Math"/>
                    </w:rPr>
                    <m:t>slow</m:t>
                  </m:r>
                </m:sup>
              </m:sSubSup>
            </m:oMath>
            <w:r>
              <w:rPr>
                <w:rFonts w:ascii="New York" w:hAnsi="New York" w:cs="New York"/>
              </w:rPr>
              <w:t>)</w:t>
            </w:r>
          </w:p>
          <w:p w14:paraId="3AFC5438" w14:textId="77777777" w:rsidR="00113A55" w:rsidRDefault="00CE3AA1" w:rsidP="00C80709">
            <w:pPr>
              <w:pStyle w:val="TCTableBody"/>
              <w:spacing w:after="0"/>
              <w:jc w:val="center"/>
            </w:pPr>
            <m:oMathPara>
              <m:oMath>
                <m:r>
                  <w:rPr>
                    <w:rFonts w:ascii="Cambria Math" w:hAnsi="Cambria Math"/>
                  </w:rPr>
                  <m:t>×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8</m:t>
                    </m:r>
                  </m:sup>
                </m:sSup>
                <m:r>
                  <m:rPr>
                    <m:sty m:val="p"/>
                  </m:rPr>
                  <w:rPr>
                    <w:rFonts w:ascii="Cambria Math" w:hAnsi="Cambria Math"/>
                  </w:rPr>
                  <m:t xml:space="preserve"> / </m:t>
                </m:r>
                <m:sSup>
                  <m:sSupPr>
                    <m:ctrlPr>
                      <w:rPr>
                        <w:rFonts w:ascii="Cambria Math" w:hAnsi="Cambria Math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s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-1</m:t>
                    </m:r>
                  </m:sup>
                </m:sSup>
              </m:oMath>
            </m:oMathPara>
          </w:p>
        </w:tc>
        <w:tc>
          <w:tcPr>
            <w:tcW w:w="1728" w:type="dxa"/>
            <w:tcBorders>
              <w:top w:val="single" w:sz="18" w:space="0" w:color="auto"/>
              <w:left w:val="nil"/>
              <w:bottom w:val="double" w:sz="4" w:space="0" w:color="auto"/>
              <w:right w:val="nil"/>
            </w:tcBorders>
            <w:vAlign w:val="center"/>
          </w:tcPr>
          <w:p w14:paraId="7D37C1E1" w14:textId="597334EC" w:rsidR="00113A55" w:rsidRPr="00517D40" w:rsidRDefault="00473081" w:rsidP="00C80709">
            <w:pPr>
              <w:pStyle w:val="TCTableBody"/>
              <w:spacing w:after="0"/>
              <w:jc w:val="center"/>
            </w:pPr>
            <m:oMathPara>
              <m:oMath>
                <m:sSubSup>
                  <m:sSubSupPr>
                    <m:ctrlPr>
                      <w:rPr>
                        <w:rFonts w:ascii="Cambria Math" w:hAnsi="Cambria Math"/>
                        <w:i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</w:rPr>
                      <m:t>k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nr</m:t>
                    </m:r>
                  </m:sub>
                  <m:sup>
                    <m:r>
                      <w:rPr>
                        <w:rFonts w:ascii="Cambria Math" w:hAnsi="Cambria Math"/>
                      </w:rPr>
                      <m:t>fast</m:t>
                    </m:r>
                  </m:sup>
                </m:sSubSup>
              </m:oMath>
            </m:oMathPara>
          </w:p>
          <w:p w14:paraId="5F15D743" w14:textId="2A8B1A52" w:rsidR="00113A55" w:rsidRDefault="00CE3AA1" w:rsidP="00C80709">
            <w:pPr>
              <w:pStyle w:val="TCTableBody"/>
              <w:spacing w:after="0"/>
              <w:jc w:val="center"/>
            </w:pPr>
            <w:r>
              <w:rPr>
                <w:rFonts w:hint="eastAsia"/>
              </w:rPr>
              <w:t>(</w:t>
            </w:r>
            <m:oMath>
              <m:sSubSup>
                <m:sSubSupPr>
                  <m:ctrlPr>
                    <w:rPr>
                      <w:rFonts w:ascii="Cambria Math" w:hAnsi="Cambria Math"/>
                      <w:i/>
                    </w:rPr>
                  </m:ctrlPr>
                </m:sSubSupPr>
                <m:e>
                  <m:r>
                    <w:rPr>
                      <w:rFonts w:ascii="Cambria Math" w:hAnsi="Cambria Math"/>
                    </w:rPr>
                    <m:t>k</m:t>
                  </m:r>
                </m:e>
                <m:sub>
                  <m:r>
                    <w:rPr>
                      <w:rFonts w:ascii="Cambria Math" w:hAnsi="Cambria Math"/>
                    </w:rPr>
                    <m:t>nr</m:t>
                  </m:r>
                </m:sub>
                <m:sup>
                  <m:r>
                    <w:rPr>
                      <w:rFonts w:ascii="Cambria Math" w:hAnsi="Cambria Math"/>
                    </w:rPr>
                    <m:t>slow</m:t>
                  </m:r>
                </m:sup>
              </m:sSubSup>
            </m:oMath>
            <w:r>
              <w:t>)</w:t>
            </w:r>
          </w:p>
          <w:p w14:paraId="63F00F5D" w14:textId="77777777" w:rsidR="00113A55" w:rsidRDefault="00CE3AA1" w:rsidP="00C80709">
            <w:pPr>
              <w:pStyle w:val="TCTableBody"/>
              <w:spacing w:after="0"/>
              <w:jc w:val="center"/>
            </w:pPr>
            <m:oMathPara>
              <m:oMath>
                <m:r>
                  <w:rPr>
                    <w:rFonts w:ascii="Cambria Math" w:hAnsi="Cambria Math"/>
                  </w:rPr>
                  <m:t>×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9</m:t>
                    </m:r>
                  </m:sup>
                </m:sSup>
                <m:r>
                  <m:rPr>
                    <m:sty m:val="p"/>
                  </m:rPr>
                  <w:rPr>
                    <w:rFonts w:ascii="Cambria Math" w:hAnsi="Cambria Math"/>
                  </w:rPr>
                  <m:t xml:space="preserve"> / </m:t>
                </m:r>
                <m:sSup>
                  <m:sSupPr>
                    <m:ctrlPr>
                      <w:rPr>
                        <w:rFonts w:ascii="Cambria Math" w:hAnsi="Cambria Math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s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-1</m:t>
                    </m:r>
                  </m:sup>
                </m:sSup>
              </m:oMath>
            </m:oMathPara>
          </w:p>
        </w:tc>
        <w:tc>
          <w:tcPr>
            <w:tcW w:w="1728" w:type="dxa"/>
            <w:tcBorders>
              <w:top w:val="single" w:sz="18" w:space="0" w:color="auto"/>
              <w:left w:val="nil"/>
              <w:bottom w:val="double" w:sz="4" w:space="0" w:color="auto"/>
              <w:right w:val="nil"/>
            </w:tcBorders>
            <w:vAlign w:val="center"/>
          </w:tcPr>
          <w:p w14:paraId="0B8A3D74" w14:textId="77777777" w:rsidR="00113A55" w:rsidRDefault="00473081" w:rsidP="00C80709">
            <w:pPr>
              <w:pStyle w:val="TCTableBody"/>
              <w:spacing w:after="0"/>
              <w:jc w:val="center"/>
              <w:rPr>
                <w:rFonts w:ascii="New York" w:hAnsi="New York" w:cs="New York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Cambria Math"/>
                        <w:i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</w:rPr>
                      <m:t>k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r</m:t>
                    </m:r>
                  </m:sub>
                  <m:sup>
                    <m:r>
                      <w:rPr>
                        <w:rFonts w:ascii="Cambria Math" w:hAnsi="Cambria Math"/>
                      </w:rPr>
                      <m:t>S.B.</m:t>
                    </m:r>
                  </m:sup>
                </m:sSubSup>
              </m:oMath>
            </m:oMathPara>
          </w:p>
          <w:p w14:paraId="51643660" w14:textId="77777777" w:rsidR="00113A55" w:rsidRDefault="00CE3AA1" w:rsidP="00C80709">
            <w:pPr>
              <w:pStyle w:val="TCTableBody"/>
              <w:spacing w:after="0"/>
              <w:jc w:val="center"/>
            </w:pPr>
            <m:oMathPara>
              <m:oMath>
                <m:r>
                  <w:rPr>
                    <w:rFonts w:ascii="Cambria Math" w:hAnsi="Cambria Math"/>
                  </w:rPr>
                  <m:t>×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8</m:t>
                    </m:r>
                  </m:sup>
                </m:sSup>
                <m:r>
                  <m:rPr>
                    <m:sty m:val="p"/>
                  </m:rPr>
                  <w:rPr>
                    <w:rFonts w:ascii="Cambria Math" w:hAnsi="Cambria Math"/>
                  </w:rPr>
                  <m:t xml:space="preserve"> / </m:t>
                </m:r>
                <m:sSup>
                  <m:sSupPr>
                    <m:ctrlPr>
                      <w:rPr>
                        <w:rFonts w:ascii="Cambria Math" w:hAnsi="Cambria Math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s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-1</m:t>
                    </m:r>
                  </m:sup>
                </m:sSup>
              </m:oMath>
            </m:oMathPara>
          </w:p>
        </w:tc>
      </w:tr>
      <w:tr w:rsidR="00FF6F17" w14:paraId="793D8F91" w14:textId="77777777" w:rsidTr="00AE612E">
        <w:trPr>
          <w:trHeight w:val="432"/>
        </w:trPr>
        <w:tc>
          <w:tcPr>
            <w:tcW w:w="805" w:type="dxa"/>
            <w:vMerge w:val="restart"/>
            <w:tcBorders>
              <w:top w:val="double" w:sz="4" w:space="0" w:color="auto"/>
              <w:left w:val="nil"/>
            </w:tcBorders>
            <w:vAlign w:val="center"/>
          </w:tcPr>
          <w:p w14:paraId="2B64DCF5" w14:textId="77777777" w:rsidR="00196241" w:rsidRDefault="00CE3AA1" w:rsidP="00C80709">
            <w:pPr>
              <w:pStyle w:val="TCTableBody"/>
              <w:spacing w:after="0"/>
              <w:jc w:val="center"/>
            </w:pPr>
            <w:r>
              <w:t>FLC</w:t>
            </w:r>
          </w:p>
        </w:tc>
        <w:tc>
          <w:tcPr>
            <w:tcW w:w="1110" w:type="dxa"/>
            <w:tcBorders>
              <w:top w:val="double" w:sz="4" w:space="0" w:color="auto"/>
              <w:bottom w:val="nil"/>
              <w:right w:val="nil"/>
            </w:tcBorders>
            <w:vAlign w:val="center"/>
          </w:tcPr>
          <w:p w14:paraId="577D6E61" w14:textId="77777777" w:rsidR="00196241" w:rsidRDefault="00CE3AA1" w:rsidP="00C80709">
            <w:pPr>
              <w:pStyle w:val="TCTableBody"/>
              <w:spacing w:after="0"/>
            </w:pPr>
            <w:r>
              <w:t>Water</w:t>
            </w:r>
          </w:p>
        </w:tc>
        <w:tc>
          <w:tcPr>
            <w:tcW w:w="1728" w:type="dxa"/>
            <w:tcBorders>
              <w:top w:val="double" w:sz="4" w:space="0" w:color="auto"/>
              <w:left w:val="nil"/>
              <w:bottom w:val="nil"/>
              <w:right w:val="nil"/>
            </w:tcBorders>
            <w:vAlign w:val="center"/>
          </w:tcPr>
          <w:p w14:paraId="0200751B" w14:textId="3D3B30BC" w:rsidR="00196241" w:rsidRPr="00D4065C" w:rsidRDefault="00CE3AA1" w:rsidP="008F076E">
            <w:pPr>
              <w:pStyle w:val="TCTableBody"/>
              <w:spacing w:after="0"/>
              <w:jc w:val="center"/>
              <w:rPr>
                <w:color w:val="000000" w:themeColor="text1"/>
              </w:rPr>
            </w:pPr>
            <w:r w:rsidRPr="00D4065C">
              <w:rPr>
                <w:color w:val="000000" w:themeColor="text1"/>
              </w:rPr>
              <w:t>0.001</w:t>
            </w:r>
            <w:r w:rsidR="00AC6377" w:rsidRPr="00D4065C">
              <w:rPr>
                <w:color w:val="000000" w:themeColor="text1"/>
              </w:rPr>
              <w:t>4</w:t>
            </w:r>
          </w:p>
          <w:p w14:paraId="66993591" w14:textId="2378A8E7" w:rsidR="00196241" w:rsidRPr="00D4065C" w:rsidRDefault="00CE3AA1" w:rsidP="00196241">
            <w:pPr>
              <w:pStyle w:val="TCTableBody"/>
              <w:spacing w:after="120"/>
              <w:jc w:val="center"/>
              <w:rPr>
                <w:color w:val="000000" w:themeColor="text1"/>
              </w:rPr>
            </w:pPr>
            <w:r w:rsidRPr="00D4065C">
              <w:rPr>
                <w:rFonts w:hint="eastAsia"/>
                <w:color w:val="000000" w:themeColor="text1"/>
              </w:rPr>
              <w:t>(</w:t>
            </w:r>
            <w:r w:rsidRPr="00D4065C">
              <w:rPr>
                <w:color w:val="000000" w:themeColor="text1"/>
              </w:rPr>
              <w:t>0.012</w:t>
            </w:r>
            <w:r w:rsidR="00AC6377" w:rsidRPr="00D4065C">
              <w:rPr>
                <w:color w:val="000000" w:themeColor="text1"/>
              </w:rPr>
              <w:t>6</w:t>
            </w:r>
            <w:r w:rsidRPr="00D4065C">
              <w:rPr>
                <w:color w:val="000000" w:themeColor="text1"/>
              </w:rPr>
              <w:t>)</w:t>
            </w:r>
          </w:p>
        </w:tc>
        <w:tc>
          <w:tcPr>
            <w:tcW w:w="1728" w:type="dxa"/>
            <w:tcBorders>
              <w:top w:val="double" w:sz="4" w:space="0" w:color="auto"/>
              <w:left w:val="nil"/>
              <w:bottom w:val="nil"/>
              <w:right w:val="nil"/>
            </w:tcBorders>
            <w:vAlign w:val="center"/>
          </w:tcPr>
          <w:p w14:paraId="1EA8F4B1" w14:textId="436CDECF" w:rsidR="00196241" w:rsidRPr="00D4065C" w:rsidRDefault="00CE3AA1" w:rsidP="008F076E">
            <w:pPr>
              <w:pStyle w:val="TCTableBody"/>
              <w:spacing w:after="0"/>
              <w:jc w:val="center"/>
              <w:rPr>
                <w:color w:val="000000" w:themeColor="text1"/>
              </w:rPr>
            </w:pPr>
            <w:r w:rsidRPr="00D4065C">
              <w:rPr>
                <w:color w:val="000000" w:themeColor="text1"/>
              </w:rPr>
              <w:t>0.1</w:t>
            </w:r>
            <w:r w:rsidR="00AC6377" w:rsidRPr="00D4065C">
              <w:rPr>
                <w:color w:val="000000" w:themeColor="text1"/>
              </w:rPr>
              <w:t>57</w:t>
            </w:r>
          </w:p>
          <w:p w14:paraId="52BFDBD4" w14:textId="105AFBB3" w:rsidR="00196241" w:rsidRPr="00D4065C" w:rsidRDefault="00CE3AA1" w:rsidP="00196241">
            <w:pPr>
              <w:pStyle w:val="TCTableBody"/>
              <w:spacing w:after="120"/>
              <w:jc w:val="center"/>
              <w:rPr>
                <w:color w:val="000000" w:themeColor="text1"/>
              </w:rPr>
            </w:pPr>
            <w:r w:rsidRPr="00D4065C">
              <w:rPr>
                <w:rFonts w:hint="eastAsia"/>
                <w:color w:val="000000" w:themeColor="text1"/>
              </w:rPr>
              <w:t>(</w:t>
            </w:r>
            <w:r w:rsidRPr="00D4065C">
              <w:rPr>
                <w:color w:val="000000" w:themeColor="text1"/>
              </w:rPr>
              <w:t>0.04</w:t>
            </w:r>
            <w:r w:rsidR="00AC6377" w:rsidRPr="00D4065C">
              <w:rPr>
                <w:color w:val="000000" w:themeColor="text1"/>
              </w:rPr>
              <w:t>5</w:t>
            </w:r>
            <w:r w:rsidRPr="00D4065C">
              <w:rPr>
                <w:color w:val="000000" w:themeColor="text1"/>
              </w:rPr>
              <w:t>)</w:t>
            </w:r>
          </w:p>
        </w:tc>
        <w:tc>
          <w:tcPr>
            <w:tcW w:w="1728" w:type="dxa"/>
            <w:tcBorders>
              <w:top w:val="double" w:sz="4" w:space="0" w:color="auto"/>
              <w:left w:val="nil"/>
              <w:bottom w:val="nil"/>
              <w:right w:val="nil"/>
            </w:tcBorders>
            <w:vAlign w:val="center"/>
          </w:tcPr>
          <w:p w14:paraId="25613054" w14:textId="0CF4AABD" w:rsidR="00196241" w:rsidRPr="00D4065C" w:rsidRDefault="00CE3AA1" w:rsidP="008F076E">
            <w:pPr>
              <w:pStyle w:val="TCTableBody"/>
              <w:spacing w:after="0"/>
              <w:jc w:val="center"/>
              <w:rPr>
                <w:color w:val="000000" w:themeColor="text1"/>
              </w:rPr>
            </w:pPr>
            <w:r w:rsidRPr="00D4065C">
              <w:rPr>
                <w:color w:val="000000" w:themeColor="text1"/>
              </w:rPr>
              <w:t>1</w:t>
            </w:r>
            <w:r w:rsidR="00AC6377" w:rsidRPr="00D4065C">
              <w:rPr>
                <w:color w:val="000000" w:themeColor="text1"/>
              </w:rPr>
              <w:t>1.48</w:t>
            </w:r>
          </w:p>
          <w:p w14:paraId="1C87D7F7" w14:textId="6AA5818D" w:rsidR="00196241" w:rsidRPr="00D4065C" w:rsidRDefault="00CE3AA1" w:rsidP="00196241">
            <w:pPr>
              <w:pStyle w:val="TCTableBody"/>
              <w:spacing w:after="120"/>
              <w:jc w:val="center"/>
              <w:rPr>
                <w:color w:val="000000" w:themeColor="text1"/>
              </w:rPr>
            </w:pPr>
            <w:r w:rsidRPr="00D4065C">
              <w:rPr>
                <w:rFonts w:hint="eastAsia"/>
                <w:color w:val="000000" w:themeColor="text1"/>
              </w:rPr>
              <w:t>(</w:t>
            </w:r>
            <w:r w:rsidRPr="00D4065C">
              <w:rPr>
                <w:color w:val="000000" w:themeColor="text1"/>
              </w:rPr>
              <w:t>0.3</w:t>
            </w:r>
            <w:r w:rsidR="00AC6377" w:rsidRPr="00D4065C">
              <w:rPr>
                <w:color w:val="000000" w:themeColor="text1"/>
              </w:rPr>
              <w:t>54</w:t>
            </w:r>
            <w:r w:rsidRPr="00D4065C">
              <w:rPr>
                <w:color w:val="000000" w:themeColor="text1"/>
              </w:rPr>
              <w:t>)</w:t>
            </w:r>
          </w:p>
        </w:tc>
        <w:tc>
          <w:tcPr>
            <w:tcW w:w="1728" w:type="dxa"/>
            <w:tcBorders>
              <w:top w:val="double" w:sz="4" w:space="0" w:color="auto"/>
              <w:left w:val="nil"/>
              <w:bottom w:val="nil"/>
              <w:right w:val="nil"/>
            </w:tcBorders>
            <w:vAlign w:val="center"/>
          </w:tcPr>
          <w:p w14:paraId="2274E338" w14:textId="6E3E0528" w:rsidR="00196241" w:rsidRPr="00D4065C" w:rsidRDefault="00CE3AA1" w:rsidP="00C80709">
            <w:pPr>
              <w:pStyle w:val="TCTableBody"/>
              <w:spacing w:after="0"/>
              <w:jc w:val="center"/>
              <w:rPr>
                <w:color w:val="000000" w:themeColor="text1"/>
              </w:rPr>
            </w:pPr>
            <w:r w:rsidRPr="00D4065C">
              <w:rPr>
                <w:color w:val="000000" w:themeColor="text1"/>
              </w:rPr>
              <w:t>1.40</w:t>
            </w:r>
            <w:r w:rsidRPr="00D4065C">
              <w:rPr>
                <w:rFonts w:ascii="Arial" w:hAnsi="Arial" w:cs="Arial"/>
                <w:color w:val="000000" w:themeColor="text1"/>
              </w:rPr>
              <w:t>‒</w:t>
            </w:r>
            <w:r w:rsidRPr="00D4065C">
              <w:rPr>
                <w:color w:val="000000" w:themeColor="text1"/>
              </w:rPr>
              <w:t>2.53</w:t>
            </w:r>
            <w:r w:rsidR="00DF05DC" w:rsidRPr="006A42E6">
              <w:rPr>
                <w:rFonts w:ascii="Times New Roman" w:hAnsi="Times New Roman" w:cs="Times New Roman"/>
                <w:color w:val="000000" w:themeColor="text1"/>
                <w:vertAlign w:val="superscript"/>
              </w:rPr>
              <w:t>*</w:t>
            </w:r>
          </w:p>
        </w:tc>
      </w:tr>
      <w:tr w:rsidR="00FF6F17" w14:paraId="36B5723F" w14:textId="77777777" w:rsidTr="00AE612E">
        <w:trPr>
          <w:trHeight w:val="432"/>
        </w:trPr>
        <w:tc>
          <w:tcPr>
            <w:tcW w:w="805" w:type="dxa"/>
            <w:vMerge/>
            <w:tcBorders>
              <w:left w:val="nil"/>
            </w:tcBorders>
            <w:vAlign w:val="center"/>
          </w:tcPr>
          <w:p w14:paraId="49B99EAB" w14:textId="77777777" w:rsidR="00196241" w:rsidRDefault="00196241" w:rsidP="00196241">
            <w:pPr>
              <w:pStyle w:val="TCTableBody"/>
              <w:jc w:val="center"/>
            </w:pPr>
          </w:p>
        </w:tc>
        <w:tc>
          <w:tcPr>
            <w:tcW w:w="1110" w:type="dxa"/>
            <w:tcBorders>
              <w:top w:val="nil"/>
              <w:bottom w:val="nil"/>
              <w:right w:val="nil"/>
            </w:tcBorders>
            <w:vAlign w:val="center"/>
          </w:tcPr>
          <w:p w14:paraId="7108DCA9" w14:textId="77777777" w:rsidR="00196241" w:rsidRDefault="00CE3AA1" w:rsidP="00C80709">
            <w:pPr>
              <w:pStyle w:val="TCTableBody"/>
              <w:spacing w:after="0"/>
            </w:pPr>
            <w:r>
              <w:t>Methanol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0637BA" w14:textId="4724A8B7" w:rsidR="00196241" w:rsidRPr="00D4065C" w:rsidRDefault="00CE3AA1" w:rsidP="008F076E">
            <w:pPr>
              <w:pStyle w:val="TCTableBody"/>
              <w:spacing w:after="0"/>
              <w:jc w:val="center"/>
              <w:rPr>
                <w:color w:val="000000" w:themeColor="text1"/>
              </w:rPr>
            </w:pPr>
            <w:r w:rsidRPr="00D4065C">
              <w:rPr>
                <w:color w:val="000000" w:themeColor="text1"/>
              </w:rPr>
              <w:t>0.002</w:t>
            </w:r>
            <w:r w:rsidR="00AC6377" w:rsidRPr="00D4065C">
              <w:rPr>
                <w:color w:val="000000" w:themeColor="text1"/>
              </w:rPr>
              <w:t>4</w:t>
            </w:r>
          </w:p>
          <w:p w14:paraId="1594CFFC" w14:textId="39867396" w:rsidR="00196241" w:rsidRPr="00D4065C" w:rsidRDefault="00CE3AA1" w:rsidP="00196241">
            <w:pPr>
              <w:pStyle w:val="TCTableBody"/>
              <w:spacing w:after="120"/>
              <w:jc w:val="center"/>
              <w:rPr>
                <w:color w:val="000000" w:themeColor="text1"/>
              </w:rPr>
            </w:pPr>
            <w:r w:rsidRPr="00D4065C">
              <w:rPr>
                <w:rFonts w:hint="eastAsia"/>
                <w:color w:val="000000" w:themeColor="text1"/>
              </w:rPr>
              <w:t>(</w:t>
            </w:r>
            <w:r w:rsidRPr="00D4065C">
              <w:rPr>
                <w:color w:val="000000" w:themeColor="text1"/>
              </w:rPr>
              <w:t>0.011</w:t>
            </w:r>
            <w:r w:rsidR="00AC6377" w:rsidRPr="00D4065C">
              <w:rPr>
                <w:color w:val="000000" w:themeColor="text1"/>
              </w:rPr>
              <w:t>6</w:t>
            </w:r>
            <w:r w:rsidRPr="00D4065C">
              <w:rPr>
                <w:color w:val="000000" w:themeColor="text1"/>
              </w:rPr>
              <w:t>)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FBC24E" w14:textId="1B0BFD26" w:rsidR="00196241" w:rsidRPr="00D4065C" w:rsidRDefault="00CE3AA1" w:rsidP="008F076E">
            <w:pPr>
              <w:pStyle w:val="TCTableBody"/>
              <w:spacing w:after="0"/>
              <w:jc w:val="center"/>
              <w:rPr>
                <w:color w:val="000000" w:themeColor="text1"/>
              </w:rPr>
            </w:pPr>
            <w:r w:rsidRPr="00D4065C">
              <w:rPr>
                <w:color w:val="000000" w:themeColor="text1"/>
              </w:rPr>
              <w:t>0.</w:t>
            </w:r>
            <w:r w:rsidR="00AC6377" w:rsidRPr="00D4065C">
              <w:rPr>
                <w:color w:val="000000" w:themeColor="text1"/>
              </w:rPr>
              <w:t>206</w:t>
            </w:r>
          </w:p>
          <w:p w14:paraId="3D59CFF3" w14:textId="071079A6" w:rsidR="00196241" w:rsidRPr="00D4065C" w:rsidRDefault="00CE3AA1" w:rsidP="00196241">
            <w:pPr>
              <w:pStyle w:val="TCTableBody"/>
              <w:spacing w:after="120"/>
              <w:jc w:val="center"/>
              <w:rPr>
                <w:color w:val="000000" w:themeColor="text1"/>
              </w:rPr>
            </w:pPr>
            <w:r w:rsidRPr="00D4065C">
              <w:rPr>
                <w:rFonts w:hint="eastAsia"/>
                <w:color w:val="000000" w:themeColor="text1"/>
              </w:rPr>
              <w:t>(</w:t>
            </w:r>
            <w:r w:rsidRPr="00D4065C">
              <w:rPr>
                <w:color w:val="000000" w:themeColor="text1"/>
              </w:rPr>
              <w:t>0.04</w:t>
            </w:r>
            <w:r w:rsidR="00AC6377" w:rsidRPr="00D4065C">
              <w:rPr>
                <w:color w:val="000000" w:themeColor="text1"/>
              </w:rPr>
              <w:t>5</w:t>
            </w:r>
            <w:r w:rsidRPr="00D4065C">
              <w:rPr>
                <w:color w:val="000000" w:themeColor="text1"/>
              </w:rPr>
              <w:t>)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8B7E29" w14:textId="77777777" w:rsidR="00196241" w:rsidRPr="00D4065C" w:rsidRDefault="00CE3AA1" w:rsidP="008F076E">
            <w:pPr>
              <w:pStyle w:val="TCTableBody"/>
              <w:spacing w:after="0"/>
              <w:jc w:val="center"/>
              <w:rPr>
                <w:color w:val="000000" w:themeColor="text1"/>
              </w:rPr>
            </w:pPr>
            <w:r w:rsidRPr="00D4065C">
              <w:rPr>
                <w:color w:val="000000" w:themeColor="text1"/>
              </w:rPr>
              <w:t>8.68</w:t>
            </w:r>
          </w:p>
          <w:p w14:paraId="3773BF6A" w14:textId="3264AF99" w:rsidR="00196241" w:rsidRPr="00D4065C" w:rsidRDefault="00CE3AA1" w:rsidP="00196241">
            <w:pPr>
              <w:pStyle w:val="TCTableBody"/>
              <w:spacing w:after="120"/>
              <w:jc w:val="center"/>
              <w:rPr>
                <w:color w:val="000000" w:themeColor="text1"/>
              </w:rPr>
            </w:pPr>
            <w:r w:rsidRPr="00D4065C">
              <w:rPr>
                <w:rFonts w:hint="eastAsia"/>
                <w:color w:val="000000" w:themeColor="text1"/>
              </w:rPr>
              <w:t>(</w:t>
            </w:r>
            <w:r w:rsidRPr="00D4065C">
              <w:rPr>
                <w:color w:val="000000" w:themeColor="text1"/>
              </w:rPr>
              <w:t>0.36</w:t>
            </w:r>
            <w:r w:rsidR="00AC6377" w:rsidRPr="00D4065C">
              <w:rPr>
                <w:color w:val="000000" w:themeColor="text1"/>
              </w:rPr>
              <w:t>7</w:t>
            </w:r>
            <w:r w:rsidRPr="00D4065C">
              <w:rPr>
                <w:color w:val="000000" w:themeColor="text1"/>
              </w:rPr>
              <w:t>)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831B26" w14:textId="3505F14A" w:rsidR="00196241" w:rsidRPr="00D4065C" w:rsidRDefault="00CE3AA1" w:rsidP="00C80709">
            <w:pPr>
              <w:pStyle w:val="TCTableBody"/>
              <w:spacing w:after="0"/>
              <w:jc w:val="center"/>
              <w:rPr>
                <w:color w:val="000000" w:themeColor="text1"/>
              </w:rPr>
            </w:pPr>
            <w:r w:rsidRPr="00D4065C">
              <w:rPr>
                <w:color w:val="000000" w:themeColor="text1"/>
              </w:rPr>
              <w:t>1.36</w:t>
            </w:r>
            <w:r w:rsidRPr="00D4065C">
              <w:rPr>
                <w:rFonts w:ascii="Arial" w:hAnsi="Arial" w:cs="Arial"/>
                <w:color w:val="000000" w:themeColor="text1"/>
              </w:rPr>
              <w:t>‒</w:t>
            </w:r>
            <w:r w:rsidRPr="00D4065C">
              <w:rPr>
                <w:color w:val="000000" w:themeColor="text1"/>
              </w:rPr>
              <w:t>2.45</w:t>
            </w:r>
            <w:r w:rsidR="00DF05DC" w:rsidRPr="006A42E6">
              <w:rPr>
                <w:rFonts w:ascii="Times New Roman" w:hAnsi="Times New Roman" w:cs="Times New Roman"/>
                <w:color w:val="000000" w:themeColor="text1"/>
                <w:vertAlign w:val="superscript"/>
              </w:rPr>
              <w:t>*</w:t>
            </w:r>
          </w:p>
        </w:tc>
      </w:tr>
      <w:tr w:rsidR="00FF6F17" w14:paraId="29349F4A" w14:textId="77777777" w:rsidTr="007D6465">
        <w:trPr>
          <w:trHeight w:val="432"/>
        </w:trPr>
        <w:tc>
          <w:tcPr>
            <w:tcW w:w="805" w:type="dxa"/>
            <w:vMerge/>
            <w:tcBorders>
              <w:left w:val="nil"/>
              <w:bottom w:val="single" w:sz="18" w:space="0" w:color="auto"/>
            </w:tcBorders>
          </w:tcPr>
          <w:p w14:paraId="69ECB506" w14:textId="77777777" w:rsidR="00196241" w:rsidRDefault="00196241" w:rsidP="00196241">
            <w:pPr>
              <w:pStyle w:val="TCTableBody"/>
              <w:jc w:val="center"/>
            </w:pPr>
          </w:p>
        </w:tc>
        <w:tc>
          <w:tcPr>
            <w:tcW w:w="1110" w:type="dxa"/>
            <w:tcBorders>
              <w:top w:val="nil"/>
              <w:bottom w:val="single" w:sz="18" w:space="0" w:color="auto"/>
              <w:right w:val="nil"/>
            </w:tcBorders>
            <w:vAlign w:val="center"/>
          </w:tcPr>
          <w:p w14:paraId="38E994BA" w14:textId="77777777" w:rsidR="00196241" w:rsidRDefault="00CE3AA1" w:rsidP="00C80709">
            <w:pPr>
              <w:pStyle w:val="TCTableBody"/>
              <w:spacing w:after="0"/>
            </w:pPr>
            <w:r>
              <w:t>Ethanol</w:t>
            </w:r>
          </w:p>
        </w:tc>
        <w:tc>
          <w:tcPr>
            <w:tcW w:w="1728" w:type="dxa"/>
            <w:tcBorders>
              <w:top w:val="nil"/>
              <w:left w:val="nil"/>
              <w:bottom w:val="single" w:sz="18" w:space="0" w:color="auto"/>
              <w:right w:val="nil"/>
            </w:tcBorders>
            <w:vAlign w:val="center"/>
          </w:tcPr>
          <w:p w14:paraId="73FB6C79" w14:textId="173293F5" w:rsidR="00196241" w:rsidRPr="00D4065C" w:rsidRDefault="00CE3AA1" w:rsidP="008F076E">
            <w:pPr>
              <w:pStyle w:val="TCTableBody"/>
              <w:spacing w:after="0"/>
              <w:jc w:val="center"/>
              <w:rPr>
                <w:color w:val="000000" w:themeColor="text1"/>
              </w:rPr>
            </w:pPr>
            <w:r w:rsidRPr="00D4065C">
              <w:rPr>
                <w:color w:val="000000" w:themeColor="text1"/>
              </w:rPr>
              <w:t>0.00</w:t>
            </w:r>
            <w:r w:rsidR="00AC6377" w:rsidRPr="00D4065C">
              <w:rPr>
                <w:color w:val="000000" w:themeColor="text1"/>
              </w:rPr>
              <w:t>44</w:t>
            </w:r>
          </w:p>
          <w:p w14:paraId="0F7D540C" w14:textId="77777777" w:rsidR="00196241" w:rsidRPr="00D4065C" w:rsidRDefault="00CE3AA1" w:rsidP="00196241">
            <w:pPr>
              <w:pStyle w:val="TCTableBody"/>
              <w:spacing w:after="120"/>
              <w:jc w:val="center"/>
              <w:rPr>
                <w:color w:val="000000" w:themeColor="text1"/>
              </w:rPr>
            </w:pPr>
            <w:r w:rsidRPr="00D4065C">
              <w:rPr>
                <w:rFonts w:hint="eastAsia"/>
                <w:color w:val="000000" w:themeColor="text1"/>
              </w:rPr>
              <w:t>(</w:t>
            </w:r>
            <w:r w:rsidRPr="00D4065C">
              <w:rPr>
                <w:color w:val="000000" w:themeColor="text1"/>
              </w:rPr>
              <w:t>0.0136)</w:t>
            </w:r>
          </w:p>
        </w:tc>
        <w:tc>
          <w:tcPr>
            <w:tcW w:w="1728" w:type="dxa"/>
            <w:tcBorders>
              <w:top w:val="nil"/>
              <w:left w:val="nil"/>
              <w:bottom w:val="single" w:sz="18" w:space="0" w:color="auto"/>
              <w:right w:val="nil"/>
            </w:tcBorders>
            <w:vAlign w:val="center"/>
          </w:tcPr>
          <w:p w14:paraId="560E0E06" w14:textId="537B817B" w:rsidR="00196241" w:rsidRPr="00D4065C" w:rsidRDefault="00CE3AA1" w:rsidP="008F076E">
            <w:pPr>
              <w:pStyle w:val="TCTableBody"/>
              <w:spacing w:after="0"/>
              <w:jc w:val="center"/>
              <w:rPr>
                <w:color w:val="000000" w:themeColor="text1"/>
              </w:rPr>
            </w:pPr>
            <w:r w:rsidRPr="00D4065C">
              <w:rPr>
                <w:color w:val="000000" w:themeColor="text1"/>
              </w:rPr>
              <w:t>0.3</w:t>
            </w:r>
            <w:r w:rsidR="00AC6377" w:rsidRPr="00D4065C">
              <w:rPr>
                <w:color w:val="000000" w:themeColor="text1"/>
              </w:rPr>
              <w:t>47</w:t>
            </w:r>
          </w:p>
          <w:p w14:paraId="743CE8D3" w14:textId="77777777" w:rsidR="00196241" w:rsidRPr="00D4065C" w:rsidRDefault="00CE3AA1" w:rsidP="00196241">
            <w:pPr>
              <w:pStyle w:val="TCTableBody"/>
              <w:spacing w:after="120"/>
              <w:jc w:val="center"/>
              <w:rPr>
                <w:color w:val="000000" w:themeColor="text1"/>
              </w:rPr>
            </w:pPr>
            <w:r w:rsidRPr="00D4065C">
              <w:rPr>
                <w:rFonts w:hint="eastAsia"/>
                <w:color w:val="000000" w:themeColor="text1"/>
              </w:rPr>
              <w:t>(</w:t>
            </w:r>
            <w:r w:rsidRPr="00D4065C">
              <w:rPr>
                <w:color w:val="000000" w:themeColor="text1"/>
              </w:rPr>
              <w:t>0.055)</w:t>
            </w:r>
          </w:p>
        </w:tc>
        <w:tc>
          <w:tcPr>
            <w:tcW w:w="1728" w:type="dxa"/>
            <w:tcBorders>
              <w:top w:val="nil"/>
              <w:left w:val="nil"/>
              <w:bottom w:val="single" w:sz="18" w:space="0" w:color="auto"/>
              <w:right w:val="nil"/>
            </w:tcBorders>
            <w:vAlign w:val="center"/>
          </w:tcPr>
          <w:p w14:paraId="5FBCCF07" w14:textId="1B69BC0C" w:rsidR="00196241" w:rsidRPr="00D4065C" w:rsidRDefault="00CE3AA1" w:rsidP="008F076E">
            <w:pPr>
              <w:pStyle w:val="TCTableBody"/>
              <w:spacing w:after="0"/>
              <w:jc w:val="center"/>
              <w:rPr>
                <w:color w:val="000000" w:themeColor="text1"/>
              </w:rPr>
            </w:pPr>
            <w:r w:rsidRPr="00D4065C">
              <w:rPr>
                <w:color w:val="000000" w:themeColor="text1"/>
              </w:rPr>
              <w:t>7.</w:t>
            </w:r>
            <w:r w:rsidR="00AC6377" w:rsidRPr="00D4065C">
              <w:rPr>
                <w:color w:val="000000" w:themeColor="text1"/>
              </w:rPr>
              <w:t>84</w:t>
            </w:r>
          </w:p>
          <w:p w14:paraId="695F1A6E" w14:textId="77777777" w:rsidR="00196241" w:rsidRPr="00D4065C" w:rsidRDefault="00CE3AA1" w:rsidP="00196241">
            <w:pPr>
              <w:pStyle w:val="TCTableBody"/>
              <w:spacing w:after="120"/>
              <w:jc w:val="center"/>
              <w:rPr>
                <w:color w:val="000000" w:themeColor="text1"/>
              </w:rPr>
            </w:pPr>
            <w:r w:rsidRPr="00D4065C">
              <w:rPr>
                <w:rFonts w:hint="eastAsia"/>
                <w:color w:val="000000" w:themeColor="text1"/>
              </w:rPr>
              <w:t>(</w:t>
            </w:r>
            <w:r w:rsidRPr="00D4065C">
              <w:rPr>
                <w:color w:val="000000" w:themeColor="text1"/>
              </w:rPr>
              <w:t>0.402)</w:t>
            </w:r>
          </w:p>
        </w:tc>
        <w:tc>
          <w:tcPr>
            <w:tcW w:w="1728" w:type="dxa"/>
            <w:tcBorders>
              <w:top w:val="nil"/>
              <w:left w:val="nil"/>
              <w:bottom w:val="single" w:sz="18" w:space="0" w:color="auto"/>
              <w:right w:val="nil"/>
            </w:tcBorders>
            <w:vAlign w:val="center"/>
          </w:tcPr>
          <w:p w14:paraId="0085D478" w14:textId="1CA7FB30" w:rsidR="00196241" w:rsidRPr="00D4065C" w:rsidRDefault="00CE3AA1" w:rsidP="00C80709">
            <w:pPr>
              <w:pStyle w:val="TCTableBody"/>
              <w:spacing w:after="0"/>
              <w:jc w:val="center"/>
              <w:rPr>
                <w:color w:val="000000" w:themeColor="text1"/>
              </w:rPr>
            </w:pPr>
            <w:r w:rsidRPr="00D4065C">
              <w:rPr>
                <w:color w:val="000000" w:themeColor="text1"/>
              </w:rPr>
              <w:t>1.41</w:t>
            </w:r>
            <w:r w:rsidRPr="00D4065C">
              <w:rPr>
                <w:rFonts w:ascii="Arial" w:hAnsi="Arial" w:cs="Arial"/>
                <w:color w:val="000000" w:themeColor="text1"/>
              </w:rPr>
              <w:t>‒</w:t>
            </w:r>
            <w:r w:rsidRPr="00D4065C">
              <w:rPr>
                <w:color w:val="000000" w:themeColor="text1"/>
              </w:rPr>
              <w:t>2.54</w:t>
            </w:r>
            <w:r w:rsidR="00DF05DC" w:rsidRPr="006A42E6">
              <w:rPr>
                <w:rFonts w:ascii="Times New Roman" w:hAnsi="Times New Roman" w:cs="Times New Roman"/>
                <w:color w:val="000000" w:themeColor="text1"/>
                <w:vertAlign w:val="superscript"/>
              </w:rPr>
              <w:t>*</w:t>
            </w:r>
          </w:p>
        </w:tc>
      </w:tr>
    </w:tbl>
    <w:p w14:paraId="4D48CFC5" w14:textId="00A753A4" w:rsidR="00113A55" w:rsidRDefault="00113A55" w:rsidP="00CF74B9"/>
    <w:p w14:paraId="2E407805" w14:textId="77777777" w:rsidR="00113A55" w:rsidRPr="00113A55" w:rsidRDefault="00113A55" w:rsidP="00CF74B9"/>
    <w:p w14:paraId="4E2CDF9F" w14:textId="6CE07C00" w:rsidR="00187A30" w:rsidRDefault="00187A30" w:rsidP="00CF74B9"/>
    <w:p w14:paraId="7B020E86" w14:textId="025614AE" w:rsidR="00113A55" w:rsidRDefault="00113A55" w:rsidP="00CF74B9"/>
    <w:p w14:paraId="3B641A46" w14:textId="34CE1695" w:rsidR="00113A55" w:rsidRDefault="00113A55" w:rsidP="0033003F"/>
    <w:p w14:paraId="77ACABC7" w14:textId="233E02B8" w:rsidR="00CF74B9" w:rsidRDefault="00CF74B9" w:rsidP="00CF74B9">
      <w:pPr>
        <w:spacing w:before="120"/>
      </w:pPr>
    </w:p>
    <w:p w14:paraId="1CFB0185" w14:textId="734F246F" w:rsidR="0044205B" w:rsidRDefault="0044205B" w:rsidP="00CF74B9">
      <w:pPr>
        <w:spacing w:before="120"/>
      </w:pPr>
    </w:p>
    <w:p w14:paraId="32B19CED" w14:textId="77777777" w:rsidR="006914A1" w:rsidRDefault="006914A1" w:rsidP="00B32F96">
      <w:pPr>
        <w:spacing w:before="120" w:after="0"/>
      </w:pPr>
    </w:p>
    <w:p w14:paraId="6F0C721C" w14:textId="301D6EFF" w:rsidR="005B5FB1" w:rsidRPr="0079342D" w:rsidRDefault="00CE3AA1">
      <w:pPr>
        <w:spacing w:before="120"/>
        <w:rPr>
          <w:rFonts w:ascii="Cambria" w:hAnsi="Cambria"/>
        </w:rPr>
      </w:pPr>
      <w:r>
        <w:t>Note:</w:t>
      </w:r>
      <w:r w:rsidR="0050045C">
        <w:t xml:space="preserve"> </w:t>
      </w:r>
      <m:oMath>
        <m:sSubSup>
          <m:sSubSupPr>
            <m:ctrlPr>
              <w:rPr>
                <w:rFonts w:ascii="Cambria Math" w:hAnsi="Cambria Math"/>
                <w:i/>
              </w:rPr>
            </m:ctrlPr>
          </m:sSubSupPr>
          <m:e>
            <m:r>
              <w:rPr>
                <w:rFonts w:ascii="Cambria Math" w:hAnsi="Cambria Math"/>
              </w:rPr>
              <m:t>k</m:t>
            </m:r>
          </m:e>
          <m:sub>
            <m:r>
              <w:rPr>
                <w:rFonts w:ascii="Cambria Math" w:hAnsi="Cambria Math"/>
              </w:rPr>
              <m:t>r</m:t>
            </m:r>
          </m:sub>
          <m:sup>
            <m:r>
              <w:rPr>
                <w:rFonts w:ascii="Cambria Math" w:hAnsi="Cambria Math"/>
              </w:rPr>
              <m:t>fast</m:t>
            </m:r>
          </m:sup>
        </m:sSubSup>
        <m:r>
          <w:rPr>
            <w:rFonts w:ascii="Cambria Math" w:hAnsi="Cambria Math"/>
          </w:rPr>
          <m:t xml:space="preserve"> (</m:t>
        </m:r>
        <m:sSubSup>
          <m:sSubSupPr>
            <m:ctrlPr>
              <w:rPr>
                <w:rFonts w:ascii="Cambria Math" w:hAnsi="Cambria Math"/>
                <w:i/>
              </w:rPr>
            </m:ctrlPr>
          </m:sSubSupPr>
          <m:e>
            <m:r>
              <w:rPr>
                <w:rFonts w:ascii="Cambria Math" w:hAnsi="Cambria Math"/>
              </w:rPr>
              <m:t>k</m:t>
            </m:r>
          </m:e>
          <m:sub>
            <m:r>
              <w:rPr>
                <w:rFonts w:ascii="Cambria Math" w:hAnsi="Cambria Math"/>
              </w:rPr>
              <m:t>r</m:t>
            </m:r>
          </m:sub>
          <m:sup>
            <m:r>
              <w:rPr>
                <w:rFonts w:ascii="Cambria Math" w:hAnsi="Cambria Math"/>
              </w:rPr>
              <m:t>slow</m:t>
            </m:r>
          </m:sup>
        </m:sSubSup>
        <m:r>
          <w:rPr>
            <w:rFonts w:ascii="Cambria Math" w:hAnsi="Cambria Math"/>
          </w:rPr>
          <m:t>)</m:t>
        </m:r>
      </m:oMath>
      <w:r>
        <w:t xml:space="preserve"> and </w:t>
      </w:r>
      <m:oMath>
        <m:sSubSup>
          <m:sSubSupPr>
            <m:ctrlPr>
              <w:rPr>
                <w:rFonts w:ascii="Cambria Math" w:hAnsi="Cambria Math"/>
                <w:i/>
              </w:rPr>
            </m:ctrlPr>
          </m:sSubSupPr>
          <m:e>
            <m:r>
              <w:rPr>
                <w:rFonts w:ascii="Cambria Math" w:hAnsi="Cambria Math"/>
              </w:rPr>
              <m:t>k</m:t>
            </m:r>
          </m:e>
          <m:sub>
            <m:r>
              <w:rPr>
                <w:rFonts w:ascii="Cambria Math" w:hAnsi="Cambria Math"/>
              </w:rPr>
              <m:t>nr</m:t>
            </m:r>
          </m:sub>
          <m:sup>
            <m:r>
              <w:rPr>
                <w:rFonts w:ascii="Cambria Math" w:hAnsi="Cambria Math"/>
              </w:rPr>
              <m:t>fast</m:t>
            </m:r>
          </m:sup>
        </m:sSubSup>
        <m:r>
          <w:rPr>
            <w:rFonts w:ascii="Cambria Math" w:hAnsi="Cambria Math"/>
          </w:rPr>
          <m:t xml:space="preserve"> (</m:t>
        </m:r>
        <m:sSubSup>
          <m:sSubSupPr>
            <m:ctrlPr>
              <w:rPr>
                <w:rFonts w:ascii="Cambria Math" w:hAnsi="Cambria Math"/>
                <w:i/>
              </w:rPr>
            </m:ctrlPr>
          </m:sSubSupPr>
          <m:e>
            <m:r>
              <w:rPr>
                <w:rFonts w:ascii="Cambria Math" w:hAnsi="Cambria Math"/>
              </w:rPr>
              <m:t>k</m:t>
            </m:r>
          </m:e>
          <m:sub>
            <m:r>
              <w:rPr>
                <w:rFonts w:ascii="Cambria Math" w:hAnsi="Cambria Math"/>
              </w:rPr>
              <m:t>nr</m:t>
            </m:r>
          </m:sub>
          <m:sup>
            <m:r>
              <w:rPr>
                <w:rFonts w:ascii="Cambria Math" w:hAnsi="Cambria Math"/>
              </w:rPr>
              <m:t>slow</m:t>
            </m:r>
          </m:sup>
        </m:sSubSup>
        <m:r>
          <w:rPr>
            <w:rFonts w:ascii="Cambria Math" w:hAnsi="Cambria Math"/>
          </w:rPr>
          <m:t>)</m:t>
        </m:r>
      </m:oMath>
      <w:r>
        <w:rPr>
          <w:rFonts w:hint="eastAsia"/>
        </w:rPr>
        <w:t xml:space="preserve"> </w:t>
      </w:r>
      <w:r>
        <w:t xml:space="preserve">were determined from </w:t>
      </w:r>
      <m:oMath>
        <m:f>
          <m:fPr>
            <m:type m:val="lin"/>
            <m:ctrlPr>
              <w:rPr>
                <w:rFonts w:ascii="Cambria Math" w:hAnsi="Cambria Math"/>
                <w:i/>
              </w:rPr>
            </m:ctrlPr>
          </m:fPr>
          <m:num>
            <m:sSubSup>
              <m:sSubSupPr>
                <m:ctrlPr>
                  <w:rPr>
                    <w:rFonts w:ascii="Cambria Math" w:hAnsi="Cambria Math"/>
                    <w:i/>
                  </w:rPr>
                </m:ctrlPr>
              </m:sSubSupPr>
              <m:e>
                <m:r>
                  <w:rPr>
                    <w:rFonts w:ascii="Cambria Math" w:hAnsi="Cambria Math"/>
                  </w:rPr>
                  <m:t>ϕ</m:t>
                </m:r>
              </m:e>
              <m:sub>
                <m:r>
                  <w:rPr>
                    <w:rFonts w:ascii="Cambria Math" w:hAnsi="Cambria Math"/>
                  </w:rPr>
                  <m:t>PL</m:t>
                </m:r>
              </m:sub>
              <m:sup>
                <m:r>
                  <w:rPr>
                    <w:rFonts w:ascii="Cambria Math" w:hAnsi="Cambria Math"/>
                  </w:rPr>
                  <m:t>fast</m:t>
                </m:r>
              </m:sup>
            </m:sSubSup>
          </m:num>
          <m:den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τ</m:t>
                </m:r>
              </m:e>
              <m:sub>
                <m:r>
                  <w:rPr>
                    <w:rFonts w:ascii="Cambria Math" w:hAnsi="Cambria Math"/>
                  </w:rPr>
                  <m:t>1</m:t>
                </m:r>
              </m:sub>
            </m:sSub>
          </m:den>
        </m:f>
        <m:r>
          <w:rPr>
            <w:rFonts w:ascii="Cambria Math" w:hAnsi="Cambria Math"/>
          </w:rPr>
          <m:t xml:space="preserve"> 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f>
              <m:fPr>
                <m:type m:val="lin"/>
                <m:ctrlPr>
                  <w:rPr>
                    <w:rFonts w:ascii="Cambria Math" w:hAnsi="Cambria Math"/>
                    <w:i/>
                  </w:rPr>
                </m:ctrlPr>
              </m:fPr>
              <m:num>
                <m:sSubSup>
                  <m:sSubSupPr>
                    <m:ctrlPr>
                      <w:rPr>
                        <w:rFonts w:ascii="Cambria Math" w:hAnsi="Cambria Math"/>
                        <w:i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</w:rPr>
                      <m:t>ϕ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PL</m:t>
                    </m:r>
                  </m:sub>
                  <m:sup>
                    <m:r>
                      <w:rPr>
                        <w:rFonts w:ascii="Cambria Math" w:hAnsi="Cambria Math"/>
                      </w:rPr>
                      <m:t>slow</m:t>
                    </m:r>
                  </m:sup>
                </m:sSubSup>
              </m:num>
              <m:den>
                <m:sSub>
                  <m:sSubPr>
                    <m:ctrlPr>
                      <w:rPr>
                        <w:rFonts w:ascii="Cambria Math" w:hAnsi="Cambria Math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τ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2</m:t>
                    </m:r>
                  </m:sub>
                </m:sSub>
              </m:den>
            </m:f>
          </m:e>
        </m:d>
      </m:oMath>
      <w:r w:rsidR="00E560BE">
        <w:t xml:space="preserve"> </w:t>
      </w:r>
      <w:r>
        <w:t xml:space="preserve">and </w:t>
      </w:r>
      <m:oMath>
        <m:f>
          <m:fPr>
            <m:type m:val="lin"/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τ</m:t>
                </m:r>
              </m:e>
              <m:sub>
                <m:r>
                  <w:rPr>
                    <w:rFonts w:ascii="Cambria Math" w:hAnsi="Cambria Math"/>
                  </w:rPr>
                  <m:t>1</m:t>
                </m:r>
              </m:sub>
            </m:sSub>
          </m:den>
        </m:f>
        <m:r>
          <w:rPr>
            <w:rFonts w:ascii="Cambria Math" w:hAnsi="Cambria Math"/>
          </w:rPr>
          <m:t>-</m:t>
        </m:r>
        <m:sSubSup>
          <m:sSubSupPr>
            <m:ctrlPr>
              <w:rPr>
                <w:rFonts w:ascii="Cambria Math" w:hAnsi="Cambria Math"/>
                <w:i/>
              </w:rPr>
            </m:ctrlPr>
          </m:sSubSupPr>
          <m:e>
            <m:r>
              <w:rPr>
                <w:rFonts w:ascii="Cambria Math" w:hAnsi="Cambria Math"/>
              </w:rPr>
              <m:t>k</m:t>
            </m:r>
          </m:e>
          <m:sub>
            <m:r>
              <w:rPr>
                <w:rFonts w:ascii="Cambria Math" w:hAnsi="Cambria Math"/>
              </w:rPr>
              <m:t>r</m:t>
            </m:r>
          </m:sub>
          <m:sup>
            <m:r>
              <w:rPr>
                <w:rFonts w:ascii="Cambria Math" w:hAnsi="Cambria Math"/>
              </w:rPr>
              <m:t>fast</m:t>
            </m:r>
          </m:sup>
        </m:sSubSup>
      </m:oMath>
      <w:r>
        <w:rPr>
          <w:rFonts w:hint="eastAsia"/>
        </w:rPr>
        <w:t xml:space="preserve"> </w:t>
      </w:r>
      <w:r>
        <w:t>(</w:t>
      </w:r>
      <m:oMath>
        <m:f>
          <m:fPr>
            <m:type m:val="lin"/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τ</m:t>
                </m:r>
              </m:e>
              <m:sub>
                <m:r>
                  <w:rPr>
                    <w:rFonts w:ascii="Cambria Math" w:hAnsi="Cambria Math"/>
                  </w:rPr>
                  <m:t>2</m:t>
                </m:r>
              </m:sub>
            </m:sSub>
          </m:den>
        </m:f>
        <m:r>
          <w:rPr>
            <w:rFonts w:ascii="Cambria Math" w:hAnsi="Cambria Math"/>
          </w:rPr>
          <m:t>-</m:t>
        </m:r>
        <m:sSubSup>
          <m:sSubSupPr>
            <m:ctrlPr>
              <w:rPr>
                <w:rFonts w:ascii="Cambria Math" w:hAnsi="Cambria Math"/>
                <w:i/>
              </w:rPr>
            </m:ctrlPr>
          </m:sSubSupPr>
          <m:e>
            <m:r>
              <w:rPr>
                <w:rFonts w:ascii="Cambria Math" w:hAnsi="Cambria Math"/>
              </w:rPr>
              <m:t>k</m:t>
            </m:r>
          </m:e>
          <m:sub>
            <m:r>
              <w:rPr>
                <w:rFonts w:ascii="Cambria Math" w:hAnsi="Cambria Math"/>
              </w:rPr>
              <m:t>r</m:t>
            </m:r>
          </m:sub>
          <m:sup>
            <m:r>
              <w:rPr>
                <w:rFonts w:ascii="Cambria Math" w:hAnsi="Cambria Math"/>
              </w:rPr>
              <m:t>slow</m:t>
            </m:r>
          </m:sup>
        </m:sSubSup>
      </m:oMath>
      <w:r>
        <w:t>), respectively.</w:t>
      </w:r>
      <w:r>
        <w:rPr>
          <w:rFonts w:hint="eastAsia"/>
        </w:rPr>
        <w:t xml:space="preserve"> </w:t>
      </w:r>
      <m:oMath>
        <m:sSubSup>
          <m:sSubSupPr>
            <m:ctrlPr>
              <w:rPr>
                <w:rFonts w:ascii="Cambria Math" w:hAnsi="Cambria Math"/>
                <w:i/>
              </w:rPr>
            </m:ctrlPr>
          </m:sSubSupPr>
          <m:e>
            <m:r>
              <w:rPr>
                <w:rFonts w:ascii="Cambria Math" w:hAnsi="Cambria Math"/>
              </w:rPr>
              <m:t>k</m:t>
            </m:r>
          </m:e>
          <m:sub>
            <m:r>
              <w:rPr>
                <w:rFonts w:ascii="Cambria Math" w:hAnsi="Cambria Math"/>
              </w:rPr>
              <m:t>r</m:t>
            </m:r>
          </m:sub>
          <m:sup>
            <m:r>
              <w:rPr>
                <w:rFonts w:ascii="Cambria Math" w:hAnsi="Cambria Math"/>
              </w:rPr>
              <m:t>S.B.</m:t>
            </m:r>
          </m:sup>
        </m:sSubSup>
      </m:oMath>
      <w:r>
        <w:t xml:space="preserve"> is the rate </w:t>
      </w:r>
      <w:r w:rsidR="004629AA">
        <w:t xml:space="preserve">constant </w:t>
      </w:r>
      <w:r>
        <w:t xml:space="preserve">of radiative decay calculated using the </w:t>
      </w:r>
      <w:r w:rsidRPr="005A04C6">
        <w:rPr>
          <w:rFonts w:cstheme="minorHAnsi"/>
        </w:rPr>
        <w:t>Strickler‒Berg</w:t>
      </w:r>
      <w:r>
        <w:rPr>
          <w:rFonts w:ascii="Times New Roman" w:hAnsi="Times New Roman"/>
        </w:rPr>
        <w:t xml:space="preserve"> </w:t>
      </w:r>
      <w:r w:rsidRPr="0079342D">
        <w:rPr>
          <w:rFonts w:ascii="Cambria" w:hAnsi="Cambria"/>
        </w:rPr>
        <w:t>formula</w:t>
      </w:r>
      <w:r w:rsidRPr="000615D3">
        <w:rPr>
          <w:rFonts w:ascii="Cambria" w:hAnsi="Cambria"/>
        </w:rPr>
        <w:t>.</w:t>
      </w:r>
      <w:r w:rsidR="00556BF2" w:rsidRPr="000615D3">
        <w:rPr>
          <w:rFonts w:ascii="Cambria" w:hAnsi="Cambria"/>
        </w:rPr>
        <w:t xml:space="preserve"> </w:t>
      </w:r>
      <w:r w:rsidR="00DF05DC" w:rsidRPr="000615D3">
        <w:rPr>
          <w:rFonts w:ascii="Cambria" w:hAnsi="Cambria" w:cs="Times New Roman"/>
          <w:color w:val="000000" w:themeColor="text1"/>
          <w:vertAlign w:val="superscript"/>
        </w:rPr>
        <w:t xml:space="preserve">* </w:t>
      </w:r>
      <w:r w:rsidR="00DF05DC" w:rsidRPr="000615D3">
        <w:rPr>
          <w:rFonts w:ascii="Cambria" w:hAnsi="Cambria" w:cs="Times New Roman"/>
          <w:color w:val="000000" w:themeColor="text1"/>
        </w:rPr>
        <w:t>See</w:t>
      </w:r>
      <w:r w:rsidR="00DF05DC" w:rsidRPr="000615D3">
        <w:rPr>
          <w:rFonts w:ascii="Cambria" w:hAnsi="Cambria" w:cs="Times New Roman"/>
        </w:rPr>
        <w:t xml:space="preserve"> </w:t>
      </w:r>
      <w:r w:rsidR="00CB1E16" w:rsidRPr="000615D3">
        <w:rPr>
          <w:rFonts w:ascii="Cambria" w:hAnsi="Cambria" w:cs="Times New Roman"/>
        </w:rPr>
        <w:t xml:space="preserve">the </w:t>
      </w:r>
      <w:r w:rsidR="00DF05DC" w:rsidRPr="000615D3">
        <w:rPr>
          <w:rFonts w:ascii="Cambria" w:hAnsi="Cambria" w:cs="Times New Roman"/>
        </w:rPr>
        <w:t xml:space="preserve">section “Quantifying the fluorescein moieties per chain” </w:t>
      </w:r>
      <w:r w:rsidR="00CB1E16" w:rsidRPr="000615D3">
        <w:rPr>
          <w:rFonts w:ascii="Cambria" w:hAnsi="Cambria" w:cs="Times New Roman"/>
          <w:color w:val="000000" w:themeColor="text1"/>
        </w:rPr>
        <w:t xml:space="preserve">in the main text </w:t>
      </w:r>
      <w:r w:rsidR="00DF05DC" w:rsidRPr="000615D3">
        <w:rPr>
          <w:rFonts w:ascii="Cambria" w:hAnsi="Cambria" w:cs="Times New Roman"/>
          <w:color w:val="000000" w:themeColor="text1"/>
        </w:rPr>
        <w:t>for the estimation of these values.</w:t>
      </w:r>
      <w:bookmarkStart w:id="0" w:name="_GoBack"/>
      <w:bookmarkEnd w:id="0"/>
    </w:p>
    <w:sectPr w:rsidR="005B5FB1" w:rsidRPr="0079342D" w:rsidSect="008D75CE">
      <w:footerReference w:type="even" r:id="rId8"/>
      <w:footerReference w:type="default" r:id="rId9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16="http://schemas.microsoft.com/office/word/2018/wordml" xmlns:w16cex="http://schemas.microsoft.com/office/word/2018/wordml/cex" xmlns:w16sdtdh="http://schemas.microsoft.com/office/word/2020/wordml/sdtdatahash" xmlns:wpg="http://schemas.microsoft.com/office/word/2010/wordprocessingGroup" xmlns:wpi="http://schemas.microsoft.com/office/word/2010/wordprocessingInk" xmlns:wps="http://schemas.microsoft.com/office/word/2010/wordprocessingShape" mc:Ignorable="w14 w15 wp14 w16se w16cid w16 w16cex w16sdtdh">
  <w16cex:commentExtensible w16cex:durableId="0322BBF4" w16cex:dateUtc="2024-09-03T14:07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16="http://schemas.microsoft.com/office/word/2018/wordml" xmlns:w16cex="http://schemas.microsoft.com/office/word/2018/wordml/cex" xmlns:w16sdtdh="http://schemas.microsoft.com/office/word/2020/wordml/sdtdatahash" xmlns:wpg="http://schemas.microsoft.com/office/word/2010/wordprocessingGroup" xmlns:wpi="http://schemas.microsoft.com/office/word/2010/wordprocessingInk" xmlns:wps="http://schemas.microsoft.com/office/word/2010/wordprocessingShape" mc:Ignorable="w14 w15 wp14 w16se w16cid w16 w16cex w16sdtdh">
  <w16cid:commentId w16cid:paraId="15AF1396" w16cid:durableId="70D4FA45"/>
  <w16cid:commentId w16cid:paraId="3D3A17ED" w16cid:durableId="0322BBF4"/>
</w16cid:commentsIds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1FBF57E" w14:textId="77777777" w:rsidR="00473081" w:rsidRDefault="00473081">
      <w:pPr>
        <w:spacing w:after="0" w:line="240" w:lineRule="auto"/>
      </w:pPr>
      <w:r>
        <w:separator/>
      </w:r>
    </w:p>
  </w:endnote>
  <w:endnote w:type="continuationSeparator" w:id="0">
    <w:p w14:paraId="68E8274B" w14:textId="77777777" w:rsidR="00473081" w:rsidRDefault="004730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">
    <w:panose1 w:val="02020603050405020304"/>
    <w:charset w:val="00"/>
    <w:family w:val="swiss"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no Pro">
    <w:altName w:val="Times New Roman"/>
    <w:panose1 w:val="00000000000000000000"/>
    <w:charset w:val="00"/>
    <w:family w:val="roman"/>
    <w:notTrueType/>
    <w:pitch w:val="variable"/>
    <w:sig w:usb0="60000287" w:usb1="00000001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New York">
    <w:altName w:val="Times New Roman"/>
    <w:panose1 w:val="02040503060506020304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Style w:val="PageNumber"/>
      </w:rPr>
      <w:id w:val="935795833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75726BC6" w14:textId="51828508" w:rsidR="00CA607D" w:rsidRDefault="00CE3AA1" w:rsidP="0077152A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706F35DE" w14:textId="77777777" w:rsidR="00CA607D" w:rsidRDefault="00CA607D" w:rsidP="00DC0CAB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Style w:val="PageNumber"/>
      </w:rPr>
      <w:id w:val="-778407058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74C883CC" w14:textId="3F0D8824" w:rsidR="00CA607D" w:rsidRPr="00AE13DE" w:rsidRDefault="00CE3AA1" w:rsidP="0077152A">
        <w:pPr>
          <w:pStyle w:val="Footer"/>
          <w:framePr w:wrap="none" w:vAnchor="text" w:hAnchor="margin" w:xAlign="right" w:y="1"/>
          <w:rPr>
            <w:rStyle w:val="PageNumber"/>
          </w:rPr>
        </w:pPr>
        <w:r w:rsidRPr="00AE13DE">
          <w:rPr>
            <w:rStyle w:val="PageNumber"/>
          </w:rPr>
          <w:t>S</w:t>
        </w:r>
        <w:r w:rsidRPr="00AE13DE">
          <w:rPr>
            <w:rStyle w:val="PageNumber"/>
          </w:rPr>
          <w:fldChar w:fldCharType="begin"/>
        </w:r>
        <w:r w:rsidRPr="00AE13DE">
          <w:rPr>
            <w:rStyle w:val="PageNumber"/>
          </w:rPr>
          <w:instrText xml:space="preserve"> PAGE </w:instrText>
        </w:r>
        <w:r w:rsidRPr="00AE13DE">
          <w:rPr>
            <w:rStyle w:val="PageNumber"/>
          </w:rPr>
          <w:fldChar w:fldCharType="separate"/>
        </w:r>
        <w:r w:rsidR="000615D3">
          <w:rPr>
            <w:rStyle w:val="PageNumber"/>
            <w:noProof/>
          </w:rPr>
          <w:t>2</w:t>
        </w:r>
        <w:r w:rsidRPr="00AE13DE">
          <w:rPr>
            <w:rStyle w:val="PageNumber"/>
          </w:rPr>
          <w:fldChar w:fldCharType="end"/>
        </w:r>
      </w:p>
    </w:sdtContent>
  </w:sdt>
  <w:p w14:paraId="01CFFF5B" w14:textId="27DE752C" w:rsidR="00CA607D" w:rsidRPr="00AE13DE" w:rsidRDefault="00CE3AA1" w:rsidP="00252DD7">
    <w:pPr>
      <w:pStyle w:val="Footer"/>
      <w:tabs>
        <w:tab w:val="clear" w:pos="4320"/>
        <w:tab w:val="clear" w:pos="8640"/>
        <w:tab w:val="left" w:pos="7771"/>
      </w:tabs>
    </w:pPr>
    <w:r w:rsidRPr="00AE13DE"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067A0D9" w14:textId="77777777" w:rsidR="00473081" w:rsidRDefault="00473081">
      <w:pPr>
        <w:spacing w:after="0" w:line="240" w:lineRule="auto"/>
      </w:pPr>
      <w:r>
        <w:separator/>
      </w:r>
    </w:p>
  </w:footnote>
  <w:footnote w:type="continuationSeparator" w:id="0">
    <w:p w14:paraId="619DB407" w14:textId="77777777" w:rsidR="00473081" w:rsidRDefault="0047308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1626B6"/>
    <w:multiLevelType w:val="hybridMultilevel"/>
    <w:tmpl w:val="A3E2A13C"/>
    <w:lvl w:ilvl="0" w:tplc="0D20F266">
      <w:start w:val="1"/>
      <w:numFmt w:val="decimal"/>
      <w:lvlText w:val="%1."/>
      <w:lvlJc w:val="left"/>
      <w:pPr>
        <w:ind w:left="720" w:hanging="360"/>
      </w:pPr>
    </w:lvl>
    <w:lvl w:ilvl="1" w:tplc="CAF6C978" w:tentative="1">
      <w:start w:val="1"/>
      <w:numFmt w:val="lowerLetter"/>
      <w:lvlText w:val="%2."/>
      <w:lvlJc w:val="left"/>
      <w:pPr>
        <w:ind w:left="1440" w:hanging="360"/>
      </w:pPr>
    </w:lvl>
    <w:lvl w:ilvl="2" w:tplc="95AC8334" w:tentative="1">
      <w:start w:val="1"/>
      <w:numFmt w:val="lowerRoman"/>
      <w:lvlText w:val="%3."/>
      <w:lvlJc w:val="right"/>
      <w:pPr>
        <w:ind w:left="2160" w:hanging="180"/>
      </w:pPr>
    </w:lvl>
    <w:lvl w:ilvl="3" w:tplc="D3949136" w:tentative="1">
      <w:start w:val="1"/>
      <w:numFmt w:val="decimal"/>
      <w:lvlText w:val="%4."/>
      <w:lvlJc w:val="left"/>
      <w:pPr>
        <w:ind w:left="2880" w:hanging="360"/>
      </w:pPr>
    </w:lvl>
    <w:lvl w:ilvl="4" w:tplc="7194BB8C" w:tentative="1">
      <w:start w:val="1"/>
      <w:numFmt w:val="lowerLetter"/>
      <w:lvlText w:val="%5."/>
      <w:lvlJc w:val="left"/>
      <w:pPr>
        <w:ind w:left="3600" w:hanging="360"/>
      </w:pPr>
    </w:lvl>
    <w:lvl w:ilvl="5" w:tplc="94308848" w:tentative="1">
      <w:start w:val="1"/>
      <w:numFmt w:val="lowerRoman"/>
      <w:lvlText w:val="%6."/>
      <w:lvlJc w:val="right"/>
      <w:pPr>
        <w:ind w:left="4320" w:hanging="180"/>
      </w:pPr>
    </w:lvl>
    <w:lvl w:ilvl="6" w:tplc="DCCC2382" w:tentative="1">
      <w:start w:val="1"/>
      <w:numFmt w:val="decimal"/>
      <w:lvlText w:val="%7."/>
      <w:lvlJc w:val="left"/>
      <w:pPr>
        <w:ind w:left="5040" w:hanging="360"/>
      </w:pPr>
    </w:lvl>
    <w:lvl w:ilvl="7" w:tplc="A69E8C38" w:tentative="1">
      <w:start w:val="1"/>
      <w:numFmt w:val="lowerLetter"/>
      <w:lvlText w:val="%8."/>
      <w:lvlJc w:val="left"/>
      <w:pPr>
        <w:ind w:left="5760" w:hanging="360"/>
      </w:pPr>
    </w:lvl>
    <w:lvl w:ilvl="8" w:tplc="D360843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F1762DC"/>
    <w:multiLevelType w:val="hybridMultilevel"/>
    <w:tmpl w:val="75EC3DC2"/>
    <w:lvl w:ilvl="0" w:tplc="DA685F8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CEC602E8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EC2840BA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9E0D5B4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6029BAE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D172BBEE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F04ED1E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A6E33FE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E7A68526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B0D4588"/>
    <w:multiLevelType w:val="hybridMultilevel"/>
    <w:tmpl w:val="56DCB186"/>
    <w:lvl w:ilvl="0" w:tplc="BAB2C6E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9889C72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300AD64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A50515A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A6886C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95FED338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E582B8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202902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A6A2418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EC86632"/>
    <w:multiLevelType w:val="hybridMultilevel"/>
    <w:tmpl w:val="2CEA800E"/>
    <w:lvl w:ilvl="0" w:tplc="764CE30A">
      <w:start w:val="1"/>
      <w:numFmt w:val="decimal"/>
      <w:lvlText w:val="(%1)"/>
      <w:lvlJc w:val="left"/>
      <w:pPr>
        <w:ind w:left="720" w:hanging="360"/>
      </w:pPr>
      <w:rPr>
        <w:rFonts w:ascii="Times" w:eastAsia="Times New Roman" w:hAnsi="Times" w:cs="Times"/>
      </w:rPr>
    </w:lvl>
    <w:lvl w:ilvl="1" w:tplc="83026C2C" w:tentative="1">
      <w:start w:val="1"/>
      <w:numFmt w:val="lowerLetter"/>
      <w:lvlText w:val="%2."/>
      <w:lvlJc w:val="left"/>
      <w:pPr>
        <w:ind w:left="1440" w:hanging="360"/>
      </w:pPr>
    </w:lvl>
    <w:lvl w:ilvl="2" w:tplc="4ADEA2EE" w:tentative="1">
      <w:start w:val="1"/>
      <w:numFmt w:val="lowerRoman"/>
      <w:lvlText w:val="%3."/>
      <w:lvlJc w:val="right"/>
      <w:pPr>
        <w:ind w:left="2160" w:hanging="180"/>
      </w:pPr>
    </w:lvl>
    <w:lvl w:ilvl="3" w:tplc="2A405ADE" w:tentative="1">
      <w:start w:val="1"/>
      <w:numFmt w:val="decimal"/>
      <w:lvlText w:val="%4."/>
      <w:lvlJc w:val="left"/>
      <w:pPr>
        <w:ind w:left="2880" w:hanging="360"/>
      </w:pPr>
    </w:lvl>
    <w:lvl w:ilvl="4" w:tplc="8992402E" w:tentative="1">
      <w:start w:val="1"/>
      <w:numFmt w:val="lowerLetter"/>
      <w:lvlText w:val="%5."/>
      <w:lvlJc w:val="left"/>
      <w:pPr>
        <w:ind w:left="3600" w:hanging="360"/>
      </w:pPr>
    </w:lvl>
    <w:lvl w:ilvl="5" w:tplc="8F844228" w:tentative="1">
      <w:start w:val="1"/>
      <w:numFmt w:val="lowerRoman"/>
      <w:lvlText w:val="%6."/>
      <w:lvlJc w:val="right"/>
      <w:pPr>
        <w:ind w:left="4320" w:hanging="180"/>
      </w:pPr>
    </w:lvl>
    <w:lvl w:ilvl="6" w:tplc="6FC20268" w:tentative="1">
      <w:start w:val="1"/>
      <w:numFmt w:val="decimal"/>
      <w:lvlText w:val="%7."/>
      <w:lvlJc w:val="left"/>
      <w:pPr>
        <w:ind w:left="5040" w:hanging="360"/>
      </w:pPr>
    </w:lvl>
    <w:lvl w:ilvl="7" w:tplc="C18A5EDC" w:tentative="1">
      <w:start w:val="1"/>
      <w:numFmt w:val="lowerLetter"/>
      <w:lvlText w:val="%8."/>
      <w:lvlJc w:val="left"/>
      <w:pPr>
        <w:ind w:left="5760" w:hanging="360"/>
      </w:pPr>
    </w:lvl>
    <w:lvl w:ilvl="8" w:tplc="9B7A180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26D3F9A"/>
    <w:multiLevelType w:val="singleLevel"/>
    <w:tmpl w:val="8BC469AA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5" w15:restartNumberingAfterBreak="0">
    <w:nsid w:val="34FD0C72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 w15:restartNumberingAfterBreak="0">
    <w:nsid w:val="3762623B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7" w15:restartNumberingAfterBreak="0">
    <w:nsid w:val="384622AB"/>
    <w:multiLevelType w:val="singleLevel"/>
    <w:tmpl w:val="6FF0DD10"/>
    <w:lvl w:ilvl="0">
      <w:start w:val="1"/>
      <w:numFmt w:val="lowerLetter"/>
      <w:lvlText w:val="%1."/>
      <w:lvlJc w:val="left"/>
      <w:pPr>
        <w:tabs>
          <w:tab w:val="num" w:pos="922"/>
        </w:tabs>
        <w:ind w:left="922" w:hanging="360"/>
      </w:pPr>
      <w:rPr>
        <w:rFonts w:hint="default"/>
      </w:rPr>
    </w:lvl>
  </w:abstractNum>
  <w:abstractNum w:abstractNumId="8" w15:restartNumberingAfterBreak="0">
    <w:nsid w:val="3E7A7E0C"/>
    <w:multiLevelType w:val="singleLevel"/>
    <w:tmpl w:val="E32C900E"/>
    <w:lvl w:ilvl="0">
      <w:start w:val="1"/>
      <w:numFmt w:val="decimal"/>
      <w:lvlText w:val="%1."/>
      <w:lvlJc w:val="left"/>
      <w:pPr>
        <w:tabs>
          <w:tab w:val="num" w:pos="562"/>
        </w:tabs>
        <w:ind w:left="562" w:hanging="360"/>
      </w:pPr>
      <w:rPr>
        <w:rFonts w:hint="default"/>
      </w:rPr>
    </w:lvl>
  </w:abstractNum>
  <w:abstractNum w:abstractNumId="9" w15:restartNumberingAfterBreak="0">
    <w:nsid w:val="41DB2E3C"/>
    <w:multiLevelType w:val="singleLevel"/>
    <w:tmpl w:val="E5E28CB0"/>
    <w:lvl w:ilvl="0">
      <w:start w:val="1"/>
      <w:numFmt w:val="lowerLetter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10" w15:restartNumberingAfterBreak="0">
    <w:nsid w:val="4DF8783B"/>
    <w:multiLevelType w:val="hybridMultilevel"/>
    <w:tmpl w:val="81BECE38"/>
    <w:lvl w:ilvl="0" w:tplc="40F8CF7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788286F2" w:tentative="1">
      <w:start w:val="1"/>
      <w:numFmt w:val="lowerLetter"/>
      <w:lvlText w:val="%2."/>
      <w:lvlJc w:val="left"/>
      <w:pPr>
        <w:ind w:left="1440" w:hanging="360"/>
      </w:pPr>
    </w:lvl>
    <w:lvl w:ilvl="2" w:tplc="9C666072" w:tentative="1">
      <w:start w:val="1"/>
      <w:numFmt w:val="lowerRoman"/>
      <w:lvlText w:val="%3."/>
      <w:lvlJc w:val="right"/>
      <w:pPr>
        <w:ind w:left="2160" w:hanging="180"/>
      </w:pPr>
    </w:lvl>
    <w:lvl w:ilvl="3" w:tplc="7922A1A2" w:tentative="1">
      <w:start w:val="1"/>
      <w:numFmt w:val="decimal"/>
      <w:lvlText w:val="%4."/>
      <w:lvlJc w:val="left"/>
      <w:pPr>
        <w:ind w:left="2880" w:hanging="360"/>
      </w:pPr>
    </w:lvl>
    <w:lvl w:ilvl="4" w:tplc="585E7D0C" w:tentative="1">
      <w:start w:val="1"/>
      <w:numFmt w:val="lowerLetter"/>
      <w:lvlText w:val="%5."/>
      <w:lvlJc w:val="left"/>
      <w:pPr>
        <w:ind w:left="3600" w:hanging="360"/>
      </w:pPr>
    </w:lvl>
    <w:lvl w:ilvl="5" w:tplc="B2F01BDE" w:tentative="1">
      <w:start w:val="1"/>
      <w:numFmt w:val="lowerRoman"/>
      <w:lvlText w:val="%6."/>
      <w:lvlJc w:val="right"/>
      <w:pPr>
        <w:ind w:left="4320" w:hanging="180"/>
      </w:pPr>
    </w:lvl>
    <w:lvl w:ilvl="6" w:tplc="91C81B7A" w:tentative="1">
      <w:start w:val="1"/>
      <w:numFmt w:val="decimal"/>
      <w:lvlText w:val="%7."/>
      <w:lvlJc w:val="left"/>
      <w:pPr>
        <w:ind w:left="5040" w:hanging="360"/>
      </w:pPr>
    </w:lvl>
    <w:lvl w:ilvl="7" w:tplc="60CC0E90" w:tentative="1">
      <w:start w:val="1"/>
      <w:numFmt w:val="lowerLetter"/>
      <w:lvlText w:val="%8."/>
      <w:lvlJc w:val="left"/>
      <w:pPr>
        <w:ind w:left="5760" w:hanging="360"/>
      </w:pPr>
    </w:lvl>
    <w:lvl w:ilvl="8" w:tplc="FAA42C2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EEE3E70"/>
    <w:multiLevelType w:val="hybridMultilevel"/>
    <w:tmpl w:val="78861A32"/>
    <w:lvl w:ilvl="0" w:tplc="3C0E33BC">
      <w:start w:val="5"/>
      <w:numFmt w:val="bullet"/>
      <w:lvlText w:val=""/>
      <w:lvlJc w:val="left"/>
      <w:pPr>
        <w:ind w:left="720" w:hanging="360"/>
      </w:pPr>
      <w:rPr>
        <w:rFonts w:ascii="Symbol" w:eastAsiaTheme="minorEastAsia" w:hAnsi="Symbol" w:cs="Times New Roman" w:hint="default"/>
      </w:rPr>
    </w:lvl>
    <w:lvl w:ilvl="1" w:tplc="21BA2744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AC86166C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9C27BE2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B2C867C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E1FAC414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A34913C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F7AA670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C5EEC4D0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10"/>
  </w:num>
  <w:num w:numId="4">
    <w:abstractNumId w:val="11"/>
  </w:num>
  <w:num w:numId="5">
    <w:abstractNumId w:val="8"/>
  </w:num>
  <w:num w:numId="6">
    <w:abstractNumId w:val="6"/>
  </w:num>
  <w:num w:numId="7">
    <w:abstractNumId w:val="9"/>
  </w:num>
  <w:num w:numId="8">
    <w:abstractNumId w:val="7"/>
  </w:num>
  <w:num w:numId="9">
    <w:abstractNumId w:val="5"/>
  </w:num>
  <w:num w:numId="10">
    <w:abstractNumId w:val="4"/>
  </w:num>
  <w:num w:numId="11">
    <w:abstractNumId w:val="3"/>
  </w:num>
  <w:num w:numId="1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removeDateAndTime/>
  <w:bordersDoNotSurroundHeader/>
  <w:bordersDoNotSurroundFooter/>
  <w:linkStyle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Chemical Physics&lt;/Style&gt;&lt;LeftDelim&gt;{&lt;/LeftDelim&gt;&lt;RightDelim&gt;}&lt;/RightDelim&gt;&lt;FontName&gt;Cambria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rsvppedtrstxe3es2t5pwefvts9adr5x9p0r&quot;&gt;ShaunKwak_BaseRef&lt;record-ids&gt;&lt;item&gt;207&lt;/item&gt;&lt;item&gt;393&lt;/item&gt;&lt;item&gt;394&lt;/item&gt;&lt;item&gt;396&lt;/item&gt;&lt;item&gt;398&lt;/item&gt;&lt;item&gt;400&lt;/item&gt;&lt;item&gt;401&lt;/item&gt;&lt;item&gt;402&lt;/item&gt;&lt;item&gt;403&lt;/item&gt;&lt;item&gt;404&lt;/item&gt;&lt;item&gt;405&lt;/item&gt;&lt;item&gt;406&lt;/item&gt;&lt;item&gt;407&lt;/item&gt;&lt;item&gt;408&lt;/item&gt;&lt;item&gt;409&lt;/item&gt;&lt;item&gt;410&lt;/item&gt;&lt;item&gt;411&lt;/item&gt;&lt;item&gt;413&lt;/item&gt;&lt;/record-ids&gt;&lt;/item&gt;&lt;/Libraries&gt;"/>
  </w:docVars>
  <w:rsids>
    <w:rsidRoot w:val="00CF3515"/>
    <w:rsid w:val="00000B7E"/>
    <w:rsid w:val="00000C64"/>
    <w:rsid w:val="000040C8"/>
    <w:rsid w:val="00004831"/>
    <w:rsid w:val="000054C5"/>
    <w:rsid w:val="000066CC"/>
    <w:rsid w:val="00006DFD"/>
    <w:rsid w:val="0000728C"/>
    <w:rsid w:val="00007BC0"/>
    <w:rsid w:val="000103E5"/>
    <w:rsid w:val="0001096C"/>
    <w:rsid w:val="00011585"/>
    <w:rsid w:val="00012D34"/>
    <w:rsid w:val="00015771"/>
    <w:rsid w:val="00016378"/>
    <w:rsid w:val="00017C9A"/>
    <w:rsid w:val="00020FF9"/>
    <w:rsid w:val="00030132"/>
    <w:rsid w:val="00031808"/>
    <w:rsid w:val="00031F05"/>
    <w:rsid w:val="00033F56"/>
    <w:rsid w:val="000354D9"/>
    <w:rsid w:val="00036A86"/>
    <w:rsid w:val="00040C26"/>
    <w:rsid w:val="00041805"/>
    <w:rsid w:val="000423B8"/>
    <w:rsid w:val="00047889"/>
    <w:rsid w:val="00047A65"/>
    <w:rsid w:val="00047F07"/>
    <w:rsid w:val="000526DF"/>
    <w:rsid w:val="000539AF"/>
    <w:rsid w:val="0005420D"/>
    <w:rsid w:val="00054B83"/>
    <w:rsid w:val="00056FF4"/>
    <w:rsid w:val="00057204"/>
    <w:rsid w:val="00057514"/>
    <w:rsid w:val="0006004E"/>
    <w:rsid w:val="000614E8"/>
    <w:rsid w:val="000615D3"/>
    <w:rsid w:val="00061AA8"/>
    <w:rsid w:val="000643AE"/>
    <w:rsid w:val="00064B4D"/>
    <w:rsid w:val="00066683"/>
    <w:rsid w:val="00071A26"/>
    <w:rsid w:val="000733DD"/>
    <w:rsid w:val="000735B6"/>
    <w:rsid w:val="00073C25"/>
    <w:rsid w:val="00074AA3"/>
    <w:rsid w:val="000757EB"/>
    <w:rsid w:val="000818B7"/>
    <w:rsid w:val="00081D8E"/>
    <w:rsid w:val="000822B8"/>
    <w:rsid w:val="00082A8C"/>
    <w:rsid w:val="000837A6"/>
    <w:rsid w:val="0008410C"/>
    <w:rsid w:val="00084769"/>
    <w:rsid w:val="00085B08"/>
    <w:rsid w:val="0009072E"/>
    <w:rsid w:val="00090E34"/>
    <w:rsid w:val="00091800"/>
    <w:rsid w:val="0009350E"/>
    <w:rsid w:val="0009371D"/>
    <w:rsid w:val="0009432C"/>
    <w:rsid w:val="00095119"/>
    <w:rsid w:val="00095381"/>
    <w:rsid w:val="00095A3A"/>
    <w:rsid w:val="000962BD"/>
    <w:rsid w:val="000967B1"/>
    <w:rsid w:val="000971C3"/>
    <w:rsid w:val="000971ED"/>
    <w:rsid w:val="00097920"/>
    <w:rsid w:val="000A05A5"/>
    <w:rsid w:val="000A0FD7"/>
    <w:rsid w:val="000A58BB"/>
    <w:rsid w:val="000B19D6"/>
    <w:rsid w:val="000B453C"/>
    <w:rsid w:val="000B4C1D"/>
    <w:rsid w:val="000B5F88"/>
    <w:rsid w:val="000B6AD7"/>
    <w:rsid w:val="000C0346"/>
    <w:rsid w:val="000C1276"/>
    <w:rsid w:val="000C13D5"/>
    <w:rsid w:val="000C1B49"/>
    <w:rsid w:val="000C1EE5"/>
    <w:rsid w:val="000C2D4D"/>
    <w:rsid w:val="000C38BD"/>
    <w:rsid w:val="000C506C"/>
    <w:rsid w:val="000C5EF8"/>
    <w:rsid w:val="000C61D0"/>
    <w:rsid w:val="000D04A9"/>
    <w:rsid w:val="000D1769"/>
    <w:rsid w:val="000D1FF2"/>
    <w:rsid w:val="000D2465"/>
    <w:rsid w:val="000D6045"/>
    <w:rsid w:val="000D7704"/>
    <w:rsid w:val="000D7769"/>
    <w:rsid w:val="000D7F5B"/>
    <w:rsid w:val="000E41B7"/>
    <w:rsid w:val="000E4670"/>
    <w:rsid w:val="000E4DB4"/>
    <w:rsid w:val="000E513E"/>
    <w:rsid w:val="000E7375"/>
    <w:rsid w:val="000E7F04"/>
    <w:rsid w:val="000F04EF"/>
    <w:rsid w:val="000F0D3E"/>
    <w:rsid w:val="000F1D5B"/>
    <w:rsid w:val="000F29B0"/>
    <w:rsid w:val="000F2D08"/>
    <w:rsid w:val="000F3529"/>
    <w:rsid w:val="000F3699"/>
    <w:rsid w:val="000F41EB"/>
    <w:rsid w:val="000F43C3"/>
    <w:rsid w:val="000F444D"/>
    <w:rsid w:val="000F6140"/>
    <w:rsid w:val="0010070B"/>
    <w:rsid w:val="00101802"/>
    <w:rsid w:val="00102350"/>
    <w:rsid w:val="00104222"/>
    <w:rsid w:val="001049DD"/>
    <w:rsid w:val="001059AA"/>
    <w:rsid w:val="001061AE"/>
    <w:rsid w:val="00106479"/>
    <w:rsid w:val="0010774C"/>
    <w:rsid w:val="0011143E"/>
    <w:rsid w:val="00111EB4"/>
    <w:rsid w:val="001132BB"/>
    <w:rsid w:val="00113A55"/>
    <w:rsid w:val="00113DAB"/>
    <w:rsid w:val="00114DAC"/>
    <w:rsid w:val="001156CA"/>
    <w:rsid w:val="00115F67"/>
    <w:rsid w:val="00117B5B"/>
    <w:rsid w:val="00117DAC"/>
    <w:rsid w:val="001207C6"/>
    <w:rsid w:val="00120940"/>
    <w:rsid w:val="00120AEC"/>
    <w:rsid w:val="001226D7"/>
    <w:rsid w:val="00122A2D"/>
    <w:rsid w:val="00124D54"/>
    <w:rsid w:val="001305A7"/>
    <w:rsid w:val="00131A53"/>
    <w:rsid w:val="00133099"/>
    <w:rsid w:val="0013375A"/>
    <w:rsid w:val="001337FD"/>
    <w:rsid w:val="00136677"/>
    <w:rsid w:val="00137576"/>
    <w:rsid w:val="0014018B"/>
    <w:rsid w:val="00141F1C"/>
    <w:rsid w:val="00142529"/>
    <w:rsid w:val="00146041"/>
    <w:rsid w:val="001464DD"/>
    <w:rsid w:val="00147402"/>
    <w:rsid w:val="00153E61"/>
    <w:rsid w:val="001547D1"/>
    <w:rsid w:val="0015498B"/>
    <w:rsid w:val="00154E95"/>
    <w:rsid w:val="00155A7E"/>
    <w:rsid w:val="00155B41"/>
    <w:rsid w:val="001576DC"/>
    <w:rsid w:val="001604F6"/>
    <w:rsid w:val="00162777"/>
    <w:rsid w:val="00162F6E"/>
    <w:rsid w:val="00163886"/>
    <w:rsid w:val="00163D55"/>
    <w:rsid w:val="001662B9"/>
    <w:rsid w:val="0016786D"/>
    <w:rsid w:val="00173C3C"/>
    <w:rsid w:val="00174739"/>
    <w:rsid w:val="001747B4"/>
    <w:rsid w:val="00174F11"/>
    <w:rsid w:val="00175533"/>
    <w:rsid w:val="00175B4A"/>
    <w:rsid w:val="001766EF"/>
    <w:rsid w:val="0017722C"/>
    <w:rsid w:val="0018213C"/>
    <w:rsid w:val="00182400"/>
    <w:rsid w:val="0018650A"/>
    <w:rsid w:val="00187A30"/>
    <w:rsid w:val="00187A39"/>
    <w:rsid w:val="00190682"/>
    <w:rsid w:val="00191524"/>
    <w:rsid w:val="0019224D"/>
    <w:rsid w:val="0019291D"/>
    <w:rsid w:val="0019370F"/>
    <w:rsid w:val="001938ED"/>
    <w:rsid w:val="001940FA"/>
    <w:rsid w:val="001941A3"/>
    <w:rsid w:val="001957B7"/>
    <w:rsid w:val="00196241"/>
    <w:rsid w:val="0019766C"/>
    <w:rsid w:val="00197BE9"/>
    <w:rsid w:val="00197E7C"/>
    <w:rsid w:val="00197F19"/>
    <w:rsid w:val="001A052D"/>
    <w:rsid w:val="001A12DC"/>
    <w:rsid w:val="001A2846"/>
    <w:rsid w:val="001A3337"/>
    <w:rsid w:val="001A40C6"/>
    <w:rsid w:val="001A425C"/>
    <w:rsid w:val="001A56D9"/>
    <w:rsid w:val="001A67E0"/>
    <w:rsid w:val="001A6869"/>
    <w:rsid w:val="001A6CB9"/>
    <w:rsid w:val="001B19DA"/>
    <w:rsid w:val="001B1CF2"/>
    <w:rsid w:val="001B5058"/>
    <w:rsid w:val="001B793A"/>
    <w:rsid w:val="001C0AEF"/>
    <w:rsid w:val="001C0EC6"/>
    <w:rsid w:val="001C2111"/>
    <w:rsid w:val="001C2982"/>
    <w:rsid w:val="001C33A9"/>
    <w:rsid w:val="001C41A7"/>
    <w:rsid w:val="001C6F93"/>
    <w:rsid w:val="001D48E9"/>
    <w:rsid w:val="001D5D43"/>
    <w:rsid w:val="001D6F38"/>
    <w:rsid w:val="001D7845"/>
    <w:rsid w:val="001D7B97"/>
    <w:rsid w:val="001D7DF2"/>
    <w:rsid w:val="001D7E0A"/>
    <w:rsid w:val="001E2493"/>
    <w:rsid w:val="001E345C"/>
    <w:rsid w:val="001E3B56"/>
    <w:rsid w:val="001E5932"/>
    <w:rsid w:val="001E5B9D"/>
    <w:rsid w:val="001E6445"/>
    <w:rsid w:val="001E6B3C"/>
    <w:rsid w:val="001F0428"/>
    <w:rsid w:val="001F1643"/>
    <w:rsid w:val="001F16A1"/>
    <w:rsid w:val="001F3599"/>
    <w:rsid w:val="001F5096"/>
    <w:rsid w:val="001F5F9E"/>
    <w:rsid w:val="001F7A29"/>
    <w:rsid w:val="001F7F9F"/>
    <w:rsid w:val="0020035B"/>
    <w:rsid w:val="00200DDA"/>
    <w:rsid w:val="002032D0"/>
    <w:rsid w:val="002048E8"/>
    <w:rsid w:val="00207E9A"/>
    <w:rsid w:val="002100B6"/>
    <w:rsid w:val="0021049C"/>
    <w:rsid w:val="00210E24"/>
    <w:rsid w:val="002150C4"/>
    <w:rsid w:val="00221241"/>
    <w:rsid w:val="002213BD"/>
    <w:rsid w:val="00221818"/>
    <w:rsid w:val="00222FC0"/>
    <w:rsid w:val="00223135"/>
    <w:rsid w:val="00223985"/>
    <w:rsid w:val="00224D59"/>
    <w:rsid w:val="002250BF"/>
    <w:rsid w:val="0022603B"/>
    <w:rsid w:val="002304DA"/>
    <w:rsid w:val="002318A9"/>
    <w:rsid w:val="00231B03"/>
    <w:rsid w:val="00232CE8"/>
    <w:rsid w:val="00233AB0"/>
    <w:rsid w:val="002345C1"/>
    <w:rsid w:val="00234977"/>
    <w:rsid w:val="00234B90"/>
    <w:rsid w:val="00235EF2"/>
    <w:rsid w:val="00241075"/>
    <w:rsid w:val="002439FD"/>
    <w:rsid w:val="002447F2"/>
    <w:rsid w:val="00246679"/>
    <w:rsid w:val="00247547"/>
    <w:rsid w:val="0024786E"/>
    <w:rsid w:val="00250953"/>
    <w:rsid w:val="00250EE4"/>
    <w:rsid w:val="00251091"/>
    <w:rsid w:val="00252DD7"/>
    <w:rsid w:val="002548E9"/>
    <w:rsid w:val="00255FE5"/>
    <w:rsid w:val="00256A70"/>
    <w:rsid w:val="002579BE"/>
    <w:rsid w:val="00260A26"/>
    <w:rsid w:val="00260D7B"/>
    <w:rsid w:val="00261988"/>
    <w:rsid w:val="00261FFE"/>
    <w:rsid w:val="002626E9"/>
    <w:rsid w:val="002639DC"/>
    <w:rsid w:val="00263D22"/>
    <w:rsid w:val="00265AD5"/>
    <w:rsid w:val="00265E0F"/>
    <w:rsid w:val="00265F52"/>
    <w:rsid w:val="002675DF"/>
    <w:rsid w:val="002679C0"/>
    <w:rsid w:val="00274177"/>
    <w:rsid w:val="002753A4"/>
    <w:rsid w:val="002760FD"/>
    <w:rsid w:val="00277DB6"/>
    <w:rsid w:val="00282B68"/>
    <w:rsid w:val="002838F9"/>
    <w:rsid w:val="00283F74"/>
    <w:rsid w:val="0028572D"/>
    <w:rsid w:val="00287456"/>
    <w:rsid w:val="00290326"/>
    <w:rsid w:val="002912A2"/>
    <w:rsid w:val="0029134D"/>
    <w:rsid w:val="0029190D"/>
    <w:rsid w:val="00293174"/>
    <w:rsid w:val="0029344A"/>
    <w:rsid w:val="00293F3C"/>
    <w:rsid w:val="00294133"/>
    <w:rsid w:val="00294414"/>
    <w:rsid w:val="00295429"/>
    <w:rsid w:val="0029694C"/>
    <w:rsid w:val="002A4157"/>
    <w:rsid w:val="002A47DD"/>
    <w:rsid w:val="002A493E"/>
    <w:rsid w:val="002A5547"/>
    <w:rsid w:val="002A6254"/>
    <w:rsid w:val="002A712D"/>
    <w:rsid w:val="002A7423"/>
    <w:rsid w:val="002A7BB5"/>
    <w:rsid w:val="002B0922"/>
    <w:rsid w:val="002B1BA4"/>
    <w:rsid w:val="002B2412"/>
    <w:rsid w:val="002B2FEC"/>
    <w:rsid w:val="002B65C3"/>
    <w:rsid w:val="002C0183"/>
    <w:rsid w:val="002C0550"/>
    <w:rsid w:val="002C0D02"/>
    <w:rsid w:val="002C20D8"/>
    <w:rsid w:val="002C2D59"/>
    <w:rsid w:val="002C442D"/>
    <w:rsid w:val="002C54DD"/>
    <w:rsid w:val="002C5721"/>
    <w:rsid w:val="002C5C92"/>
    <w:rsid w:val="002C6527"/>
    <w:rsid w:val="002C6970"/>
    <w:rsid w:val="002C79C5"/>
    <w:rsid w:val="002C7F2D"/>
    <w:rsid w:val="002D2CCB"/>
    <w:rsid w:val="002D2EC4"/>
    <w:rsid w:val="002D41A1"/>
    <w:rsid w:val="002D4C7D"/>
    <w:rsid w:val="002D5002"/>
    <w:rsid w:val="002D6580"/>
    <w:rsid w:val="002D7426"/>
    <w:rsid w:val="002E3886"/>
    <w:rsid w:val="002E5660"/>
    <w:rsid w:val="002E69C8"/>
    <w:rsid w:val="002E6BFF"/>
    <w:rsid w:val="002E6F40"/>
    <w:rsid w:val="002E7A0D"/>
    <w:rsid w:val="002F09A0"/>
    <w:rsid w:val="002F1A59"/>
    <w:rsid w:val="002F5645"/>
    <w:rsid w:val="002F61B5"/>
    <w:rsid w:val="003009D9"/>
    <w:rsid w:val="00300A1E"/>
    <w:rsid w:val="00301707"/>
    <w:rsid w:val="003019FE"/>
    <w:rsid w:val="00301C6A"/>
    <w:rsid w:val="00302165"/>
    <w:rsid w:val="003029BE"/>
    <w:rsid w:val="00310506"/>
    <w:rsid w:val="00311D87"/>
    <w:rsid w:val="0031429D"/>
    <w:rsid w:val="0031487C"/>
    <w:rsid w:val="00316149"/>
    <w:rsid w:val="003221FD"/>
    <w:rsid w:val="003229C7"/>
    <w:rsid w:val="003230AB"/>
    <w:rsid w:val="003239E5"/>
    <w:rsid w:val="00324B83"/>
    <w:rsid w:val="00324B8A"/>
    <w:rsid w:val="00324FBB"/>
    <w:rsid w:val="00325555"/>
    <w:rsid w:val="0032574C"/>
    <w:rsid w:val="00325AA5"/>
    <w:rsid w:val="00325E6A"/>
    <w:rsid w:val="003273F3"/>
    <w:rsid w:val="003277F5"/>
    <w:rsid w:val="0033003F"/>
    <w:rsid w:val="00330AB7"/>
    <w:rsid w:val="00332BC8"/>
    <w:rsid w:val="003356A6"/>
    <w:rsid w:val="00335922"/>
    <w:rsid w:val="00335945"/>
    <w:rsid w:val="00335DC6"/>
    <w:rsid w:val="0033643F"/>
    <w:rsid w:val="00340864"/>
    <w:rsid w:val="0034273F"/>
    <w:rsid w:val="00343CE9"/>
    <w:rsid w:val="003440E3"/>
    <w:rsid w:val="00344E01"/>
    <w:rsid w:val="00346836"/>
    <w:rsid w:val="003518AB"/>
    <w:rsid w:val="00351E6D"/>
    <w:rsid w:val="00352966"/>
    <w:rsid w:val="00353412"/>
    <w:rsid w:val="003542C5"/>
    <w:rsid w:val="00356FE5"/>
    <w:rsid w:val="003579C4"/>
    <w:rsid w:val="00365055"/>
    <w:rsid w:val="00365D29"/>
    <w:rsid w:val="00367998"/>
    <w:rsid w:val="00367FB5"/>
    <w:rsid w:val="00371D99"/>
    <w:rsid w:val="00373435"/>
    <w:rsid w:val="00374981"/>
    <w:rsid w:val="00374D7F"/>
    <w:rsid w:val="00375345"/>
    <w:rsid w:val="003753C1"/>
    <w:rsid w:val="00375EE8"/>
    <w:rsid w:val="00376875"/>
    <w:rsid w:val="00377E8D"/>
    <w:rsid w:val="0038050A"/>
    <w:rsid w:val="003807CB"/>
    <w:rsid w:val="00380DED"/>
    <w:rsid w:val="00381444"/>
    <w:rsid w:val="00381C9E"/>
    <w:rsid w:val="0038217F"/>
    <w:rsid w:val="00382C46"/>
    <w:rsid w:val="003863F5"/>
    <w:rsid w:val="00392C0C"/>
    <w:rsid w:val="00392DF6"/>
    <w:rsid w:val="00393054"/>
    <w:rsid w:val="003A0156"/>
    <w:rsid w:val="003A147D"/>
    <w:rsid w:val="003A15A4"/>
    <w:rsid w:val="003A2CB7"/>
    <w:rsid w:val="003A3175"/>
    <w:rsid w:val="003A418D"/>
    <w:rsid w:val="003A4B26"/>
    <w:rsid w:val="003A668A"/>
    <w:rsid w:val="003A72AA"/>
    <w:rsid w:val="003A7B9F"/>
    <w:rsid w:val="003A7C21"/>
    <w:rsid w:val="003B0633"/>
    <w:rsid w:val="003B1B8F"/>
    <w:rsid w:val="003B4EAB"/>
    <w:rsid w:val="003B517A"/>
    <w:rsid w:val="003B61ED"/>
    <w:rsid w:val="003B65DF"/>
    <w:rsid w:val="003B6F2A"/>
    <w:rsid w:val="003B7323"/>
    <w:rsid w:val="003B7797"/>
    <w:rsid w:val="003C2C38"/>
    <w:rsid w:val="003C2D08"/>
    <w:rsid w:val="003C411E"/>
    <w:rsid w:val="003D15E2"/>
    <w:rsid w:val="003D1F62"/>
    <w:rsid w:val="003D2BA1"/>
    <w:rsid w:val="003D3D57"/>
    <w:rsid w:val="003D3E3F"/>
    <w:rsid w:val="003D487F"/>
    <w:rsid w:val="003D5795"/>
    <w:rsid w:val="003D64CE"/>
    <w:rsid w:val="003D75C1"/>
    <w:rsid w:val="003E01A8"/>
    <w:rsid w:val="003E15D6"/>
    <w:rsid w:val="003E1E53"/>
    <w:rsid w:val="003E1F4C"/>
    <w:rsid w:val="003E21AB"/>
    <w:rsid w:val="003E5FBD"/>
    <w:rsid w:val="003E6E9D"/>
    <w:rsid w:val="003E6FE0"/>
    <w:rsid w:val="003F2CBB"/>
    <w:rsid w:val="003F3339"/>
    <w:rsid w:val="003F4961"/>
    <w:rsid w:val="003F4C2B"/>
    <w:rsid w:val="003F5F15"/>
    <w:rsid w:val="004000A6"/>
    <w:rsid w:val="00400805"/>
    <w:rsid w:val="00400A44"/>
    <w:rsid w:val="004016EA"/>
    <w:rsid w:val="004019DB"/>
    <w:rsid w:val="00401EE4"/>
    <w:rsid w:val="0040248B"/>
    <w:rsid w:val="004026D0"/>
    <w:rsid w:val="004031EA"/>
    <w:rsid w:val="004033D6"/>
    <w:rsid w:val="004035E1"/>
    <w:rsid w:val="004035EE"/>
    <w:rsid w:val="00403B4E"/>
    <w:rsid w:val="004046DF"/>
    <w:rsid w:val="00405B1D"/>
    <w:rsid w:val="00405B61"/>
    <w:rsid w:val="00406325"/>
    <w:rsid w:val="00406764"/>
    <w:rsid w:val="00406AB1"/>
    <w:rsid w:val="00407002"/>
    <w:rsid w:val="0041187B"/>
    <w:rsid w:val="0041210B"/>
    <w:rsid w:val="00412288"/>
    <w:rsid w:val="00412EBD"/>
    <w:rsid w:val="00413D4C"/>
    <w:rsid w:val="0041455C"/>
    <w:rsid w:val="00417A99"/>
    <w:rsid w:val="00417F52"/>
    <w:rsid w:val="00421845"/>
    <w:rsid w:val="004242BC"/>
    <w:rsid w:val="004247E4"/>
    <w:rsid w:val="00433860"/>
    <w:rsid w:val="00433EF0"/>
    <w:rsid w:val="00434351"/>
    <w:rsid w:val="004359FB"/>
    <w:rsid w:val="00436F00"/>
    <w:rsid w:val="00437DD6"/>
    <w:rsid w:val="0044205B"/>
    <w:rsid w:val="00442C7B"/>
    <w:rsid w:val="004433A8"/>
    <w:rsid w:val="00443466"/>
    <w:rsid w:val="00444470"/>
    <w:rsid w:val="00444BD2"/>
    <w:rsid w:val="004466FB"/>
    <w:rsid w:val="00447189"/>
    <w:rsid w:val="00447BC5"/>
    <w:rsid w:val="00450DBE"/>
    <w:rsid w:val="0045249B"/>
    <w:rsid w:val="00453139"/>
    <w:rsid w:val="00454D64"/>
    <w:rsid w:val="004560B3"/>
    <w:rsid w:val="004564A5"/>
    <w:rsid w:val="00456660"/>
    <w:rsid w:val="0045780D"/>
    <w:rsid w:val="004615CE"/>
    <w:rsid w:val="004629AA"/>
    <w:rsid w:val="004634D9"/>
    <w:rsid w:val="004643C7"/>
    <w:rsid w:val="004654F5"/>
    <w:rsid w:val="00465E62"/>
    <w:rsid w:val="00466B72"/>
    <w:rsid w:val="00466C25"/>
    <w:rsid w:val="00466FB6"/>
    <w:rsid w:val="0046763F"/>
    <w:rsid w:val="00473081"/>
    <w:rsid w:val="004740EC"/>
    <w:rsid w:val="0047515A"/>
    <w:rsid w:val="00476CE7"/>
    <w:rsid w:val="0047749A"/>
    <w:rsid w:val="00481850"/>
    <w:rsid w:val="004818EA"/>
    <w:rsid w:val="00481EFE"/>
    <w:rsid w:val="00482C8E"/>
    <w:rsid w:val="004835CA"/>
    <w:rsid w:val="00485297"/>
    <w:rsid w:val="004867F0"/>
    <w:rsid w:val="00487492"/>
    <w:rsid w:val="00490248"/>
    <w:rsid w:val="004917DE"/>
    <w:rsid w:val="004922EA"/>
    <w:rsid w:val="004923B0"/>
    <w:rsid w:val="00492506"/>
    <w:rsid w:val="00492546"/>
    <w:rsid w:val="004935F2"/>
    <w:rsid w:val="00496A94"/>
    <w:rsid w:val="004A40A2"/>
    <w:rsid w:val="004B0A12"/>
    <w:rsid w:val="004B0C9E"/>
    <w:rsid w:val="004B234D"/>
    <w:rsid w:val="004B4194"/>
    <w:rsid w:val="004B572E"/>
    <w:rsid w:val="004B6045"/>
    <w:rsid w:val="004B73B9"/>
    <w:rsid w:val="004C0B93"/>
    <w:rsid w:val="004C0D03"/>
    <w:rsid w:val="004C133F"/>
    <w:rsid w:val="004C2557"/>
    <w:rsid w:val="004C2A95"/>
    <w:rsid w:val="004C2E4A"/>
    <w:rsid w:val="004C3A8D"/>
    <w:rsid w:val="004C3B7B"/>
    <w:rsid w:val="004C45C8"/>
    <w:rsid w:val="004C4F7A"/>
    <w:rsid w:val="004C66CF"/>
    <w:rsid w:val="004C77FF"/>
    <w:rsid w:val="004D05F4"/>
    <w:rsid w:val="004D1327"/>
    <w:rsid w:val="004D1D0B"/>
    <w:rsid w:val="004D1E60"/>
    <w:rsid w:val="004D28A5"/>
    <w:rsid w:val="004D2CC8"/>
    <w:rsid w:val="004D46D1"/>
    <w:rsid w:val="004D4AB6"/>
    <w:rsid w:val="004D4D43"/>
    <w:rsid w:val="004D4DA8"/>
    <w:rsid w:val="004D5EF9"/>
    <w:rsid w:val="004D5FFF"/>
    <w:rsid w:val="004D70A1"/>
    <w:rsid w:val="004D7F95"/>
    <w:rsid w:val="004E064A"/>
    <w:rsid w:val="004E69A5"/>
    <w:rsid w:val="004E6BFD"/>
    <w:rsid w:val="004F08A0"/>
    <w:rsid w:val="004F23B7"/>
    <w:rsid w:val="004F373E"/>
    <w:rsid w:val="004F40BC"/>
    <w:rsid w:val="004F40C7"/>
    <w:rsid w:val="004F5482"/>
    <w:rsid w:val="004F54B4"/>
    <w:rsid w:val="0050045C"/>
    <w:rsid w:val="0050084A"/>
    <w:rsid w:val="00503368"/>
    <w:rsid w:val="005123FB"/>
    <w:rsid w:val="005124BE"/>
    <w:rsid w:val="0051304F"/>
    <w:rsid w:val="00514BBD"/>
    <w:rsid w:val="00514CBD"/>
    <w:rsid w:val="00515B4C"/>
    <w:rsid w:val="00516C3F"/>
    <w:rsid w:val="00516E2C"/>
    <w:rsid w:val="00517D40"/>
    <w:rsid w:val="0052047A"/>
    <w:rsid w:val="00520530"/>
    <w:rsid w:val="005207ED"/>
    <w:rsid w:val="0052126C"/>
    <w:rsid w:val="00521E79"/>
    <w:rsid w:val="00525040"/>
    <w:rsid w:val="005265A6"/>
    <w:rsid w:val="00526BC2"/>
    <w:rsid w:val="0053117E"/>
    <w:rsid w:val="005325D7"/>
    <w:rsid w:val="00534830"/>
    <w:rsid w:val="005358E6"/>
    <w:rsid w:val="00535BDB"/>
    <w:rsid w:val="00535BEB"/>
    <w:rsid w:val="00535F53"/>
    <w:rsid w:val="005364F9"/>
    <w:rsid w:val="005365B0"/>
    <w:rsid w:val="005372F0"/>
    <w:rsid w:val="005375FF"/>
    <w:rsid w:val="00540597"/>
    <w:rsid w:val="00541B38"/>
    <w:rsid w:val="00541EF3"/>
    <w:rsid w:val="005427B6"/>
    <w:rsid w:val="00542908"/>
    <w:rsid w:val="00542FBA"/>
    <w:rsid w:val="00543350"/>
    <w:rsid w:val="00545599"/>
    <w:rsid w:val="0054708E"/>
    <w:rsid w:val="005503CB"/>
    <w:rsid w:val="00550666"/>
    <w:rsid w:val="0055154D"/>
    <w:rsid w:val="00552C6F"/>
    <w:rsid w:val="00553F50"/>
    <w:rsid w:val="00554051"/>
    <w:rsid w:val="00554297"/>
    <w:rsid w:val="00554697"/>
    <w:rsid w:val="00554E59"/>
    <w:rsid w:val="00556A1B"/>
    <w:rsid w:val="00556BF2"/>
    <w:rsid w:val="00556D3C"/>
    <w:rsid w:val="0055773A"/>
    <w:rsid w:val="00561ADD"/>
    <w:rsid w:val="00561BAF"/>
    <w:rsid w:val="00561F77"/>
    <w:rsid w:val="00562760"/>
    <w:rsid w:val="00562F1F"/>
    <w:rsid w:val="005631FC"/>
    <w:rsid w:val="005638DF"/>
    <w:rsid w:val="005651A2"/>
    <w:rsid w:val="00565670"/>
    <w:rsid w:val="0057185B"/>
    <w:rsid w:val="005752FC"/>
    <w:rsid w:val="00577DA2"/>
    <w:rsid w:val="005803C3"/>
    <w:rsid w:val="005804CB"/>
    <w:rsid w:val="0058165F"/>
    <w:rsid w:val="005825CC"/>
    <w:rsid w:val="00583772"/>
    <w:rsid w:val="00585248"/>
    <w:rsid w:val="0058636B"/>
    <w:rsid w:val="005864F5"/>
    <w:rsid w:val="005876A1"/>
    <w:rsid w:val="005878D9"/>
    <w:rsid w:val="00587F24"/>
    <w:rsid w:val="005907CD"/>
    <w:rsid w:val="005918DE"/>
    <w:rsid w:val="00591F4A"/>
    <w:rsid w:val="00592342"/>
    <w:rsid w:val="00594660"/>
    <w:rsid w:val="0059480E"/>
    <w:rsid w:val="00595271"/>
    <w:rsid w:val="005968CA"/>
    <w:rsid w:val="00596F8E"/>
    <w:rsid w:val="00597E88"/>
    <w:rsid w:val="005A04C6"/>
    <w:rsid w:val="005A4A0A"/>
    <w:rsid w:val="005A689A"/>
    <w:rsid w:val="005A71A7"/>
    <w:rsid w:val="005A7422"/>
    <w:rsid w:val="005A7822"/>
    <w:rsid w:val="005B015A"/>
    <w:rsid w:val="005B0A5D"/>
    <w:rsid w:val="005B2DDC"/>
    <w:rsid w:val="005B438A"/>
    <w:rsid w:val="005B5FB1"/>
    <w:rsid w:val="005B7DB7"/>
    <w:rsid w:val="005C0781"/>
    <w:rsid w:val="005C0C46"/>
    <w:rsid w:val="005C1665"/>
    <w:rsid w:val="005C572E"/>
    <w:rsid w:val="005C5D52"/>
    <w:rsid w:val="005C7DC4"/>
    <w:rsid w:val="005C7F58"/>
    <w:rsid w:val="005D1B37"/>
    <w:rsid w:val="005D2E26"/>
    <w:rsid w:val="005D3739"/>
    <w:rsid w:val="005D4307"/>
    <w:rsid w:val="005D4CF6"/>
    <w:rsid w:val="005D65EA"/>
    <w:rsid w:val="005E0434"/>
    <w:rsid w:val="005E05DC"/>
    <w:rsid w:val="005E141D"/>
    <w:rsid w:val="005E2C20"/>
    <w:rsid w:val="005E2FE0"/>
    <w:rsid w:val="005E3ADB"/>
    <w:rsid w:val="005E5D90"/>
    <w:rsid w:val="005E5E70"/>
    <w:rsid w:val="005E6296"/>
    <w:rsid w:val="005E644A"/>
    <w:rsid w:val="005E693C"/>
    <w:rsid w:val="005F1CB9"/>
    <w:rsid w:val="005F2032"/>
    <w:rsid w:val="005F3AE6"/>
    <w:rsid w:val="005F4051"/>
    <w:rsid w:val="005F4B07"/>
    <w:rsid w:val="005F7E22"/>
    <w:rsid w:val="00602496"/>
    <w:rsid w:val="006032B1"/>
    <w:rsid w:val="00604F9E"/>
    <w:rsid w:val="00607126"/>
    <w:rsid w:val="0060785F"/>
    <w:rsid w:val="0061318C"/>
    <w:rsid w:val="006145DA"/>
    <w:rsid w:val="006157C2"/>
    <w:rsid w:val="006163D6"/>
    <w:rsid w:val="006168F3"/>
    <w:rsid w:val="00620745"/>
    <w:rsid w:val="00621DBE"/>
    <w:rsid w:val="0062200F"/>
    <w:rsid w:val="00622C0A"/>
    <w:rsid w:val="00623CB4"/>
    <w:rsid w:val="00626067"/>
    <w:rsid w:val="006315EB"/>
    <w:rsid w:val="00631E89"/>
    <w:rsid w:val="00633AC2"/>
    <w:rsid w:val="00635D00"/>
    <w:rsid w:val="0063733D"/>
    <w:rsid w:val="00637867"/>
    <w:rsid w:val="00641D67"/>
    <w:rsid w:val="00644DB1"/>
    <w:rsid w:val="00646764"/>
    <w:rsid w:val="00647E3E"/>
    <w:rsid w:val="006506CB"/>
    <w:rsid w:val="00650E1F"/>
    <w:rsid w:val="006525F3"/>
    <w:rsid w:val="006557FA"/>
    <w:rsid w:val="00656847"/>
    <w:rsid w:val="00660198"/>
    <w:rsid w:val="00660B77"/>
    <w:rsid w:val="00661C50"/>
    <w:rsid w:val="00662230"/>
    <w:rsid w:val="0066288E"/>
    <w:rsid w:val="006647CA"/>
    <w:rsid w:val="006656FB"/>
    <w:rsid w:val="00667022"/>
    <w:rsid w:val="006700AD"/>
    <w:rsid w:val="00671A70"/>
    <w:rsid w:val="006741DE"/>
    <w:rsid w:val="00681307"/>
    <w:rsid w:val="0068256C"/>
    <w:rsid w:val="00682939"/>
    <w:rsid w:val="0068327F"/>
    <w:rsid w:val="0068414F"/>
    <w:rsid w:val="006848E3"/>
    <w:rsid w:val="006914A1"/>
    <w:rsid w:val="006921C4"/>
    <w:rsid w:val="00693533"/>
    <w:rsid w:val="006939FF"/>
    <w:rsid w:val="00693F61"/>
    <w:rsid w:val="006A00CA"/>
    <w:rsid w:val="006A0B59"/>
    <w:rsid w:val="006A0FD7"/>
    <w:rsid w:val="006A1A18"/>
    <w:rsid w:val="006A42E6"/>
    <w:rsid w:val="006A4987"/>
    <w:rsid w:val="006A54BD"/>
    <w:rsid w:val="006A6E71"/>
    <w:rsid w:val="006A715A"/>
    <w:rsid w:val="006B0298"/>
    <w:rsid w:val="006B075B"/>
    <w:rsid w:val="006B2B03"/>
    <w:rsid w:val="006B2F43"/>
    <w:rsid w:val="006B3293"/>
    <w:rsid w:val="006B6E17"/>
    <w:rsid w:val="006B7875"/>
    <w:rsid w:val="006B7B42"/>
    <w:rsid w:val="006C00AE"/>
    <w:rsid w:val="006C1147"/>
    <w:rsid w:val="006C15AB"/>
    <w:rsid w:val="006C2526"/>
    <w:rsid w:val="006C2EE8"/>
    <w:rsid w:val="006C63E4"/>
    <w:rsid w:val="006D389B"/>
    <w:rsid w:val="006D4FB1"/>
    <w:rsid w:val="006D6701"/>
    <w:rsid w:val="006D79A2"/>
    <w:rsid w:val="006D7C59"/>
    <w:rsid w:val="006E05D8"/>
    <w:rsid w:val="006E1E6F"/>
    <w:rsid w:val="006E29A7"/>
    <w:rsid w:val="006E2D01"/>
    <w:rsid w:val="006E2F1C"/>
    <w:rsid w:val="006E3A12"/>
    <w:rsid w:val="006E7EA5"/>
    <w:rsid w:val="006F00DB"/>
    <w:rsid w:val="006F0AB3"/>
    <w:rsid w:val="006F0F78"/>
    <w:rsid w:val="006F200A"/>
    <w:rsid w:val="006F254A"/>
    <w:rsid w:val="006F4DAA"/>
    <w:rsid w:val="006F65EF"/>
    <w:rsid w:val="006F6895"/>
    <w:rsid w:val="006F79D9"/>
    <w:rsid w:val="00700412"/>
    <w:rsid w:val="00701DC4"/>
    <w:rsid w:val="00702072"/>
    <w:rsid w:val="00702AEF"/>
    <w:rsid w:val="00703118"/>
    <w:rsid w:val="00705C00"/>
    <w:rsid w:val="00706641"/>
    <w:rsid w:val="00706D5A"/>
    <w:rsid w:val="00710970"/>
    <w:rsid w:val="00712818"/>
    <w:rsid w:val="00712E8A"/>
    <w:rsid w:val="007136B8"/>
    <w:rsid w:val="00716605"/>
    <w:rsid w:val="00716E47"/>
    <w:rsid w:val="00717B50"/>
    <w:rsid w:val="0072067C"/>
    <w:rsid w:val="00722403"/>
    <w:rsid w:val="00722A20"/>
    <w:rsid w:val="007250A0"/>
    <w:rsid w:val="00726536"/>
    <w:rsid w:val="00731A36"/>
    <w:rsid w:val="00731E5D"/>
    <w:rsid w:val="007327E6"/>
    <w:rsid w:val="00732B22"/>
    <w:rsid w:val="00733BA6"/>
    <w:rsid w:val="007355A1"/>
    <w:rsid w:val="00735AE2"/>
    <w:rsid w:val="0074127B"/>
    <w:rsid w:val="00741E6E"/>
    <w:rsid w:val="007427A8"/>
    <w:rsid w:val="00743B58"/>
    <w:rsid w:val="00744191"/>
    <w:rsid w:val="00744229"/>
    <w:rsid w:val="0074549E"/>
    <w:rsid w:val="00745747"/>
    <w:rsid w:val="00750E7E"/>
    <w:rsid w:val="00751352"/>
    <w:rsid w:val="00751C0E"/>
    <w:rsid w:val="0075220D"/>
    <w:rsid w:val="00752FC1"/>
    <w:rsid w:val="007538BC"/>
    <w:rsid w:val="00753FD6"/>
    <w:rsid w:val="00754CAA"/>
    <w:rsid w:val="00754EF5"/>
    <w:rsid w:val="00755B67"/>
    <w:rsid w:val="007573FE"/>
    <w:rsid w:val="007609FB"/>
    <w:rsid w:val="007626CB"/>
    <w:rsid w:val="00766370"/>
    <w:rsid w:val="00766659"/>
    <w:rsid w:val="0077152A"/>
    <w:rsid w:val="00771993"/>
    <w:rsid w:val="00772B60"/>
    <w:rsid w:val="0077395F"/>
    <w:rsid w:val="00773EA9"/>
    <w:rsid w:val="00774964"/>
    <w:rsid w:val="0077505A"/>
    <w:rsid w:val="00776E46"/>
    <w:rsid w:val="00777353"/>
    <w:rsid w:val="00783531"/>
    <w:rsid w:val="0078490D"/>
    <w:rsid w:val="00784913"/>
    <w:rsid w:val="00784E32"/>
    <w:rsid w:val="007855AD"/>
    <w:rsid w:val="00785721"/>
    <w:rsid w:val="00786950"/>
    <w:rsid w:val="00787327"/>
    <w:rsid w:val="00787D19"/>
    <w:rsid w:val="00790930"/>
    <w:rsid w:val="00791809"/>
    <w:rsid w:val="00792F3D"/>
    <w:rsid w:val="0079342D"/>
    <w:rsid w:val="00793B89"/>
    <w:rsid w:val="00794C96"/>
    <w:rsid w:val="00794E2E"/>
    <w:rsid w:val="007A0012"/>
    <w:rsid w:val="007A0B79"/>
    <w:rsid w:val="007A0DEA"/>
    <w:rsid w:val="007A130E"/>
    <w:rsid w:val="007A1FC4"/>
    <w:rsid w:val="007A3165"/>
    <w:rsid w:val="007A3BE2"/>
    <w:rsid w:val="007A3DCD"/>
    <w:rsid w:val="007A778F"/>
    <w:rsid w:val="007B26D0"/>
    <w:rsid w:val="007B2786"/>
    <w:rsid w:val="007B3085"/>
    <w:rsid w:val="007C058E"/>
    <w:rsid w:val="007C093E"/>
    <w:rsid w:val="007C0ADA"/>
    <w:rsid w:val="007C0D3B"/>
    <w:rsid w:val="007C0FE4"/>
    <w:rsid w:val="007C4AD7"/>
    <w:rsid w:val="007C510C"/>
    <w:rsid w:val="007C51CA"/>
    <w:rsid w:val="007C6482"/>
    <w:rsid w:val="007C74C9"/>
    <w:rsid w:val="007C7945"/>
    <w:rsid w:val="007D06AA"/>
    <w:rsid w:val="007D0AD2"/>
    <w:rsid w:val="007D1B3E"/>
    <w:rsid w:val="007D5818"/>
    <w:rsid w:val="007D60A8"/>
    <w:rsid w:val="007D623A"/>
    <w:rsid w:val="007D62BC"/>
    <w:rsid w:val="007D63AF"/>
    <w:rsid w:val="007D6465"/>
    <w:rsid w:val="007D64C5"/>
    <w:rsid w:val="007D64E6"/>
    <w:rsid w:val="007D67D4"/>
    <w:rsid w:val="007E24DF"/>
    <w:rsid w:val="007E462D"/>
    <w:rsid w:val="007E4AD5"/>
    <w:rsid w:val="007E54A3"/>
    <w:rsid w:val="007F0F48"/>
    <w:rsid w:val="007F2082"/>
    <w:rsid w:val="007F4CDD"/>
    <w:rsid w:val="007F7738"/>
    <w:rsid w:val="007F7B2A"/>
    <w:rsid w:val="008024AE"/>
    <w:rsid w:val="00805E07"/>
    <w:rsid w:val="00810B7C"/>
    <w:rsid w:val="008121CF"/>
    <w:rsid w:val="00813CBC"/>
    <w:rsid w:val="00814032"/>
    <w:rsid w:val="00816435"/>
    <w:rsid w:val="00817921"/>
    <w:rsid w:val="00821394"/>
    <w:rsid w:val="00821F38"/>
    <w:rsid w:val="008245A6"/>
    <w:rsid w:val="008248DC"/>
    <w:rsid w:val="00826C78"/>
    <w:rsid w:val="00830ED8"/>
    <w:rsid w:val="0083179E"/>
    <w:rsid w:val="008340C0"/>
    <w:rsid w:val="008347C3"/>
    <w:rsid w:val="00836D97"/>
    <w:rsid w:val="00836F6B"/>
    <w:rsid w:val="008423EE"/>
    <w:rsid w:val="0084343F"/>
    <w:rsid w:val="008440FB"/>
    <w:rsid w:val="00844574"/>
    <w:rsid w:val="008463A2"/>
    <w:rsid w:val="00847760"/>
    <w:rsid w:val="008511BA"/>
    <w:rsid w:val="00851EE9"/>
    <w:rsid w:val="00852A4A"/>
    <w:rsid w:val="00852F12"/>
    <w:rsid w:val="0085698A"/>
    <w:rsid w:val="00857166"/>
    <w:rsid w:val="0085759A"/>
    <w:rsid w:val="0085773A"/>
    <w:rsid w:val="00857ACD"/>
    <w:rsid w:val="0086204F"/>
    <w:rsid w:val="0086240A"/>
    <w:rsid w:val="00862671"/>
    <w:rsid w:val="0086304D"/>
    <w:rsid w:val="0086306E"/>
    <w:rsid w:val="0086413A"/>
    <w:rsid w:val="00867666"/>
    <w:rsid w:val="00867731"/>
    <w:rsid w:val="00867BF2"/>
    <w:rsid w:val="00870BED"/>
    <w:rsid w:val="0087173D"/>
    <w:rsid w:val="00873571"/>
    <w:rsid w:val="00874F30"/>
    <w:rsid w:val="00875ECB"/>
    <w:rsid w:val="00876F8E"/>
    <w:rsid w:val="00877899"/>
    <w:rsid w:val="00877EBC"/>
    <w:rsid w:val="00877FF1"/>
    <w:rsid w:val="008807F9"/>
    <w:rsid w:val="0088290B"/>
    <w:rsid w:val="008834A5"/>
    <w:rsid w:val="008867BE"/>
    <w:rsid w:val="00886E8B"/>
    <w:rsid w:val="00892B73"/>
    <w:rsid w:val="008964CF"/>
    <w:rsid w:val="008A023A"/>
    <w:rsid w:val="008A0D1C"/>
    <w:rsid w:val="008A1906"/>
    <w:rsid w:val="008A1CD0"/>
    <w:rsid w:val="008A226D"/>
    <w:rsid w:val="008A2B9A"/>
    <w:rsid w:val="008A327C"/>
    <w:rsid w:val="008A3C2C"/>
    <w:rsid w:val="008A3E77"/>
    <w:rsid w:val="008A4F99"/>
    <w:rsid w:val="008A6281"/>
    <w:rsid w:val="008A6A9C"/>
    <w:rsid w:val="008A6F50"/>
    <w:rsid w:val="008A7BB6"/>
    <w:rsid w:val="008B04DD"/>
    <w:rsid w:val="008B0897"/>
    <w:rsid w:val="008B0D39"/>
    <w:rsid w:val="008B1730"/>
    <w:rsid w:val="008B22E9"/>
    <w:rsid w:val="008B2584"/>
    <w:rsid w:val="008B653C"/>
    <w:rsid w:val="008B6B3A"/>
    <w:rsid w:val="008B788C"/>
    <w:rsid w:val="008B7ADC"/>
    <w:rsid w:val="008C0132"/>
    <w:rsid w:val="008C52C4"/>
    <w:rsid w:val="008C6937"/>
    <w:rsid w:val="008C759F"/>
    <w:rsid w:val="008D02FB"/>
    <w:rsid w:val="008D03D6"/>
    <w:rsid w:val="008D0ED1"/>
    <w:rsid w:val="008D19DF"/>
    <w:rsid w:val="008D3078"/>
    <w:rsid w:val="008D3589"/>
    <w:rsid w:val="008D52E7"/>
    <w:rsid w:val="008D6A04"/>
    <w:rsid w:val="008D75CE"/>
    <w:rsid w:val="008D7E0D"/>
    <w:rsid w:val="008E0373"/>
    <w:rsid w:val="008E2CFA"/>
    <w:rsid w:val="008E5943"/>
    <w:rsid w:val="008E5A04"/>
    <w:rsid w:val="008E6842"/>
    <w:rsid w:val="008E761B"/>
    <w:rsid w:val="008F076E"/>
    <w:rsid w:val="008F141F"/>
    <w:rsid w:val="008F29C6"/>
    <w:rsid w:val="008F3D34"/>
    <w:rsid w:val="008F4074"/>
    <w:rsid w:val="008F49DD"/>
    <w:rsid w:val="008F5C46"/>
    <w:rsid w:val="008F5D8D"/>
    <w:rsid w:val="008F6407"/>
    <w:rsid w:val="008F6FDA"/>
    <w:rsid w:val="009021CA"/>
    <w:rsid w:val="00903E54"/>
    <w:rsid w:val="00904BA5"/>
    <w:rsid w:val="00904F68"/>
    <w:rsid w:val="0090613D"/>
    <w:rsid w:val="00906B85"/>
    <w:rsid w:val="00907618"/>
    <w:rsid w:val="009103C9"/>
    <w:rsid w:val="009130C7"/>
    <w:rsid w:val="00913D52"/>
    <w:rsid w:val="009147FD"/>
    <w:rsid w:val="009159B5"/>
    <w:rsid w:val="0091776C"/>
    <w:rsid w:val="00917814"/>
    <w:rsid w:val="00917F99"/>
    <w:rsid w:val="00923C76"/>
    <w:rsid w:val="00923D07"/>
    <w:rsid w:val="009247CB"/>
    <w:rsid w:val="00925AE4"/>
    <w:rsid w:val="009318DD"/>
    <w:rsid w:val="00932349"/>
    <w:rsid w:val="0093262B"/>
    <w:rsid w:val="00932B58"/>
    <w:rsid w:val="009333C2"/>
    <w:rsid w:val="009338ED"/>
    <w:rsid w:val="00933FB9"/>
    <w:rsid w:val="00934330"/>
    <w:rsid w:val="00935259"/>
    <w:rsid w:val="00935418"/>
    <w:rsid w:val="00940215"/>
    <w:rsid w:val="009404EC"/>
    <w:rsid w:val="00940515"/>
    <w:rsid w:val="009406D7"/>
    <w:rsid w:val="00940A9A"/>
    <w:rsid w:val="00946A4D"/>
    <w:rsid w:val="009475DB"/>
    <w:rsid w:val="0095034E"/>
    <w:rsid w:val="009510B1"/>
    <w:rsid w:val="009517E9"/>
    <w:rsid w:val="00953B10"/>
    <w:rsid w:val="00954541"/>
    <w:rsid w:val="00960ABB"/>
    <w:rsid w:val="009616CF"/>
    <w:rsid w:val="009622D8"/>
    <w:rsid w:val="00964631"/>
    <w:rsid w:val="009672E6"/>
    <w:rsid w:val="009707A9"/>
    <w:rsid w:val="009709FC"/>
    <w:rsid w:val="00970D9C"/>
    <w:rsid w:val="00970F52"/>
    <w:rsid w:val="00971CE1"/>
    <w:rsid w:val="00972B92"/>
    <w:rsid w:val="00973C8A"/>
    <w:rsid w:val="00973E3C"/>
    <w:rsid w:val="00974A3B"/>
    <w:rsid w:val="009827A2"/>
    <w:rsid w:val="0098377F"/>
    <w:rsid w:val="009866C8"/>
    <w:rsid w:val="00986782"/>
    <w:rsid w:val="009871BC"/>
    <w:rsid w:val="00987A2D"/>
    <w:rsid w:val="00991841"/>
    <w:rsid w:val="009933BA"/>
    <w:rsid w:val="009933D7"/>
    <w:rsid w:val="00993DBF"/>
    <w:rsid w:val="009A5937"/>
    <w:rsid w:val="009A7409"/>
    <w:rsid w:val="009B23CF"/>
    <w:rsid w:val="009B40FA"/>
    <w:rsid w:val="009B446C"/>
    <w:rsid w:val="009B6AC7"/>
    <w:rsid w:val="009B6FE4"/>
    <w:rsid w:val="009C02E5"/>
    <w:rsid w:val="009C063B"/>
    <w:rsid w:val="009C0937"/>
    <w:rsid w:val="009C2BF3"/>
    <w:rsid w:val="009C35C5"/>
    <w:rsid w:val="009C59E3"/>
    <w:rsid w:val="009C7242"/>
    <w:rsid w:val="009D0D41"/>
    <w:rsid w:val="009D15BB"/>
    <w:rsid w:val="009D1CDC"/>
    <w:rsid w:val="009D28C5"/>
    <w:rsid w:val="009D4559"/>
    <w:rsid w:val="009D5FB9"/>
    <w:rsid w:val="009D66D9"/>
    <w:rsid w:val="009E11E4"/>
    <w:rsid w:val="009E2ECA"/>
    <w:rsid w:val="009E34D0"/>
    <w:rsid w:val="009E4B18"/>
    <w:rsid w:val="009E5921"/>
    <w:rsid w:val="009E65E7"/>
    <w:rsid w:val="009E7134"/>
    <w:rsid w:val="009F35D3"/>
    <w:rsid w:val="009F4190"/>
    <w:rsid w:val="009F585A"/>
    <w:rsid w:val="009F6A2C"/>
    <w:rsid w:val="00A0133A"/>
    <w:rsid w:val="00A0735E"/>
    <w:rsid w:val="00A07933"/>
    <w:rsid w:val="00A07E83"/>
    <w:rsid w:val="00A12294"/>
    <w:rsid w:val="00A13E60"/>
    <w:rsid w:val="00A14EF9"/>
    <w:rsid w:val="00A1730F"/>
    <w:rsid w:val="00A2257B"/>
    <w:rsid w:val="00A22814"/>
    <w:rsid w:val="00A23781"/>
    <w:rsid w:val="00A23ED9"/>
    <w:rsid w:val="00A2527A"/>
    <w:rsid w:val="00A26401"/>
    <w:rsid w:val="00A275D4"/>
    <w:rsid w:val="00A305FB"/>
    <w:rsid w:val="00A30A47"/>
    <w:rsid w:val="00A31BA9"/>
    <w:rsid w:val="00A3325E"/>
    <w:rsid w:val="00A34BB5"/>
    <w:rsid w:val="00A355D7"/>
    <w:rsid w:val="00A40D88"/>
    <w:rsid w:val="00A417CE"/>
    <w:rsid w:val="00A443A7"/>
    <w:rsid w:val="00A446D1"/>
    <w:rsid w:val="00A44C60"/>
    <w:rsid w:val="00A46ADA"/>
    <w:rsid w:val="00A4714C"/>
    <w:rsid w:val="00A528F6"/>
    <w:rsid w:val="00A53DD1"/>
    <w:rsid w:val="00A54DA1"/>
    <w:rsid w:val="00A60198"/>
    <w:rsid w:val="00A622EC"/>
    <w:rsid w:val="00A62CF3"/>
    <w:rsid w:val="00A64366"/>
    <w:rsid w:val="00A6457D"/>
    <w:rsid w:val="00A65F96"/>
    <w:rsid w:val="00A66C36"/>
    <w:rsid w:val="00A707B3"/>
    <w:rsid w:val="00A709F9"/>
    <w:rsid w:val="00A71F63"/>
    <w:rsid w:val="00A72029"/>
    <w:rsid w:val="00A721D7"/>
    <w:rsid w:val="00A72FF4"/>
    <w:rsid w:val="00A7373B"/>
    <w:rsid w:val="00A740E6"/>
    <w:rsid w:val="00A74E1F"/>
    <w:rsid w:val="00A775AC"/>
    <w:rsid w:val="00A811E5"/>
    <w:rsid w:val="00A81684"/>
    <w:rsid w:val="00A8272F"/>
    <w:rsid w:val="00A84CA0"/>
    <w:rsid w:val="00A87272"/>
    <w:rsid w:val="00A87569"/>
    <w:rsid w:val="00A87A3B"/>
    <w:rsid w:val="00A87BD7"/>
    <w:rsid w:val="00A90553"/>
    <w:rsid w:val="00A9210C"/>
    <w:rsid w:val="00A9225B"/>
    <w:rsid w:val="00A9258B"/>
    <w:rsid w:val="00A92963"/>
    <w:rsid w:val="00A9542C"/>
    <w:rsid w:val="00AA33D6"/>
    <w:rsid w:val="00AA461C"/>
    <w:rsid w:val="00AA4C56"/>
    <w:rsid w:val="00AA5945"/>
    <w:rsid w:val="00AA602F"/>
    <w:rsid w:val="00AA68E0"/>
    <w:rsid w:val="00AA693F"/>
    <w:rsid w:val="00AA7AC4"/>
    <w:rsid w:val="00AB1E09"/>
    <w:rsid w:val="00AB2025"/>
    <w:rsid w:val="00AB232C"/>
    <w:rsid w:val="00AB336C"/>
    <w:rsid w:val="00AB463D"/>
    <w:rsid w:val="00AB4BC5"/>
    <w:rsid w:val="00AB5307"/>
    <w:rsid w:val="00AB599E"/>
    <w:rsid w:val="00AB5BC9"/>
    <w:rsid w:val="00AB799C"/>
    <w:rsid w:val="00AB7A5E"/>
    <w:rsid w:val="00AC0385"/>
    <w:rsid w:val="00AC26DE"/>
    <w:rsid w:val="00AC337A"/>
    <w:rsid w:val="00AC3EF3"/>
    <w:rsid w:val="00AC415F"/>
    <w:rsid w:val="00AC5BE1"/>
    <w:rsid w:val="00AC6377"/>
    <w:rsid w:val="00AD0655"/>
    <w:rsid w:val="00AD16E3"/>
    <w:rsid w:val="00AD25C2"/>
    <w:rsid w:val="00AD3CA8"/>
    <w:rsid w:val="00AD52C5"/>
    <w:rsid w:val="00AE001A"/>
    <w:rsid w:val="00AE0BEF"/>
    <w:rsid w:val="00AE13DE"/>
    <w:rsid w:val="00AE59E2"/>
    <w:rsid w:val="00AE612E"/>
    <w:rsid w:val="00AE6502"/>
    <w:rsid w:val="00AE78DA"/>
    <w:rsid w:val="00AF0956"/>
    <w:rsid w:val="00AF2642"/>
    <w:rsid w:val="00AF47F3"/>
    <w:rsid w:val="00AF6A7A"/>
    <w:rsid w:val="00B00512"/>
    <w:rsid w:val="00B00BCA"/>
    <w:rsid w:val="00B014A3"/>
    <w:rsid w:val="00B01719"/>
    <w:rsid w:val="00B03172"/>
    <w:rsid w:val="00B03D94"/>
    <w:rsid w:val="00B03F76"/>
    <w:rsid w:val="00B0445A"/>
    <w:rsid w:val="00B048F4"/>
    <w:rsid w:val="00B04AED"/>
    <w:rsid w:val="00B058D5"/>
    <w:rsid w:val="00B05ECC"/>
    <w:rsid w:val="00B06A60"/>
    <w:rsid w:val="00B10836"/>
    <w:rsid w:val="00B10A7D"/>
    <w:rsid w:val="00B117BB"/>
    <w:rsid w:val="00B1248A"/>
    <w:rsid w:val="00B12574"/>
    <w:rsid w:val="00B1434E"/>
    <w:rsid w:val="00B14751"/>
    <w:rsid w:val="00B16E8E"/>
    <w:rsid w:val="00B17012"/>
    <w:rsid w:val="00B175E2"/>
    <w:rsid w:val="00B2195A"/>
    <w:rsid w:val="00B21D83"/>
    <w:rsid w:val="00B2363C"/>
    <w:rsid w:val="00B236CF"/>
    <w:rsid w:val="00B24712"/>
    <w:rsid w:val="00B25201"/>
    <w:rsid w:val="00B270B6"/>
    <w:rsid w:val="00B308AA"/>
    <w:rsid w:val="00B30CF5"/>
    <w:rsid w:val="00B32F96"/>
    <w:rsid w:val="00B34EA9"/>
    <w:rsid w:val="00B3626A"/>
    <w:rsid w:val="00B36DC6"/>
    <w:rsid w:val="00B40E91"/>
    <w:rsid w:val="00B42DDB"/>
    <w:rsid w:val="00B438BA"/>
    <w:rsid w:val="00B444AD"/>
    <w:rsid w:val="00B45D6F"/>
    <w:rsid w:val="00B460BB"/>
    <w:rsid w:val="00B46FA1"/>
    <w:rsid w:val="00B47B3D"/>
    <w:rsid w:val="00B47BF4"/>
    <w:rsid w:val="00B557F8"/>
    <w:rsid w:val="00B56656"/>
    <w:rsid w:val="00B568C6"/>
    <w:rsid w:val="00B57039"/>
    <w:rsid w:val="00B60979"/>
    <w:rsid w:val="00B617EC"/>
    <w:rsid w:val="00B6418D"/>
    <w:rsid w:val="00B652AC"/>
    <w:rsid w:val="00B65CAB"/>
    <w:rsid w:val="00B675D5"/>
    <w:rsid w:val="00B67B19"/>
    <w:rsid w:val="00B71263"/>
    <w:rsid w:val="00B71A70"/>
    <w:rsid w:val="00B73FE9"/>
    <w:rsid w:val="00B74242"/>
    <w:rsid w:val="00B76A3F"/>
    <w:rsid w:val="00B774F2"/>
    <w:rsid w:val="00B80728"/>
    <w:rsid w:val="00B80ACA"/>
    <w:rsid w:val="00B812DC"/>
    <w:rsid w:val="00B81766"/>
    <w:rsid w:val="00B870F3"/>
    <w:rsid w:val="00B90EA1"/>
    <w:rsid w:val="00B912FE"/>
    <w:rsid w:val="00B91A0C"/>
    <w:rsid w:val="00B927A0"/>
    <w:rsid w:val="00B94B9A"/>
    <w:rsid w:val="00BA001D"/>
    <w:rsid w:val="00BA5DEA"/>
    <w:rsid w:val="00BB12AE"/>
    <w:rsid w:val="00BB3B74"/>
    <w:rsid w:val="00BB61DD"/>
    <w:rsid w:val="00BB6C15"/>
    <w:rsid w:val="00BB7260"/>
    <w:rsid w:val="00BB7601"/>
    <w:rsid w:val="00BB7752"/>
    <w:rsid w:val="00BC04BB"/>
    <w:rsid w:val="00BC102A"/>
    <w:rsid w:val="00BC2AE6"/>
    <w:rsid w:val="00BC3AE7"/>
    <w:rsid w:val="00BC3DCE"/>
    <w:rsid w:val="00BC41CF"/>
    <w:rsid w:val="00BC4F39"/>
    <w:rsid w:val="00BC659F"/>
    <w:rsid w:val="00BC69E9"/>
    <w:rsid w:val="00BC786F"/>
    <w:rsid w:val="00BD07EF"/>
    <w:rsid w:val="00BD0839"/>
    <w:rsid w:val="00BD24DA"/>
    <w:rsid w:val="00BD5613"/>
    <w:rsid w:val="00BD751B"/>
    <w:rsid w:val="00BD7BC3"/>
    <w:rsid w:val="00BE0599"/>
    <w:rsid w:val="00BE08D5"/>
    <w:rsid w:val="00BE3781"/>
    <w:rsid w:val="00BE3A9D"/>
    <w:rsid w:val="00BE6BAF"/>
    <w:rsid w:val="00BE6E19"/>
    <w:rsid w:val="00BE6E39"/>
    <w:rsid w:val="00BF0043"/>
    <w:rsid w:val="00BF0E31"/>
    <w:rsid w:val="00BF157D"/>
    <w:rsid w:val="00BF166F"/>
    <w:rsid w:val="00BF2DA7"/>
    <w:rsid w:val="00BF383E"/>
    <w:rsid w:val="00BF5926"/>
    <w:rsid w:val="00BF5BE2"/>
    <w:rsid w:val="00BF70EE"/>
    <w:rsid w:val="00BF783E"/>
    <w:rsid w:val="00C00DF1"/>
    <w:rsid w:val="00C018E0"/>
    <w:rsid w:val="00C031AC"/>
    <w:rsid w:val="00C03CB7"/>
    <w:rsid w:val="00C05562"/>
    <w:rsid w:val="00C065F0"/>
    <w:rsid w:val="00C06627"/>
    <w:rsid w:val="00C10F33"/>
    <w:rsid w:val="00C12615"/>
    <w:rsid w:val="00C13702"/>
    <w:rsid w:val="00C147C1"/>
    <w:rsid w:val="00C155C6"/>
    <w:rsid w:val="00C17A93"/>
    <w:rsid w:val="00C21B2A"/>
    <w:rsid w:val="00C24D15"/>
    <w:rsid w:val="00C27150"/>
    <w:rsid w:val="00C27AEC"/>
    <w:rsid w:val="00C31B0E"/>
    <w:rsid w:val="00C32474"/>
    <w:rsid w:val="00C33ADE"/>
    <w:rsid w:val="00C348BE"/>
    <w:rsid w:val="00C36020"/>
    <w:rsid w:val="00C402A0"/>
    <w:rsid w:val="00C407ED"/>
    <w:rsid w:val="00C41E7B"/>
    <w:rsid w:val="00C4380D"/>
    <w:rsid w:val="00C439DB"/>
    <w:rsid w:val="00C46446"/>
    <w:rsid w:val="00C465F1"/>
    <w:rsid w:val="00C47376"/>
    <w:rsid w:val="00C50880"/>
    <w:rsid w:val="00C50CBE"/>
    <w:rsid w:val="00C51492"/>
    <w:rsid w:val="00C544BE"/>
    <w:rsid w:val="00C551C3"/>
    <w:rsid w:val="00C5641B"/>
    <w:rsid w:val="00C56B75"/>
    <w:rsid w:val="00C56D7A"/>
    <w:rsid w:val="00C60330"/>
    <w:rsid w:val="00C608B8"/>
    <w:rsid w:val="00C619B4"/>
    <w:rsid w:val="00C61CB7"/>
    <w:rsid w:val="00C625C8"/>
    <w:rsid w:val="00C63034"/>
    <w:rsid w:val="00C64614"/>
    <w:rsid w:val="00C64EC4"/>
    <w:rsid w:val="00C65533"/>
    <w:rsid w:val="00C65590"/>
    <w:rsid w:val="00C66BCF"/>
    <w:rsid w:val="00C67F13"/>
    <w:rsid w:val="00C70F57"/>
    <w:rsid w:val="00C7106D"/>
    <w:rsid w:val="00C72974"/>
    <w:rsid w:val="00C73170"/>
    <w:rsid w:val="00C7404B"/>
    <w:rsid w:val="00C7447C"/>
    <w:rsid w:val="00C74F2D"/>
    <w:rsid w:val="00C7566A"/>
    <w:rsid w:val="00C80191"/>
    <w:rsid w:val="00C80709"/>
    <w:rsid w:val="00C8093A"/>
    <w:rsid w:val="00C80DE0"/>
    <w:rsid w:val="00C816B0"/>
    <w:rsid w:val="00C819A8"/>
    <w:rsid w:val="00C83345"/>
    <w:rsid w:val="00C83998"/>
    <w:rsid w:val="00C83E09"/>
    <w:rsid w:val="00C83F4C"/>
    <w:rsid w:val="00C85E80"/>
    <w:rsid w:val="00C876A7"/>
    <w:rsid w:val="00C8778F"/>
    <w:rsid w:val="00C903A0"/>
    <w:rsid w:val="00C909C4"/>
    <w:rsid w:val="00C9175A"/>
    <w:rsid w:val="00C92B7E"/>
    <w:rsid w:val="00C92CC1"/>
    <w:rsid w:val="00C969BA"/>
    <w:rsid w:val="00CA1285"/>
    <w:rsid w:val="00CA2A70"/>
    <w:rsid w:val="00CA2DD0"/>
    <w:rsid w:val="00CA2E4F"/>
    <w:rsid w:val="00CA338D"/>
    <w:rsid w:val="00CA3AAA"/>
    <w:rsid w:val="00CA3E1A"/>
    <w:rsid w:val="00CA40EA"/>
    <w:rsid w:val="00CA4B0E"/>
    <w:rsid w:val="00CA607D"/>
    <w:rsid w:val="00CB1551"/>
    <w:rsid w:val="00CB1E16"/>
    <w:rsid w:val="00CB1FD3"/>
    <w:rsid w:val="00CB5BC8"/>
    <w:rsid w:val="00CB68F2"/>
    <w:rsid w:val="00CB777E"/>
    <w:rsid w:val="00CB7EF3"/>
    <w:rsid w:val="00CC001F"/>
    <w:rsid w:val="00CC19EC"/>
    <w:rsid w:val="00CC23C6"/>
    <w:rsid w:val="00CC52A9"/>
    <w:rsid w:val="00CC7077"/>
    <w:rsid w:val="00CC7131"/>
    <w:rsid w:val="00CC7630"/>
    <w:rsid w:val="00CD25C4"/>
    <w:rsid w:val="00CD2713"/>
    <w:rsid w:val="00CD52F5"/>
    <w:rsid w:val="00CD5EC3"/>
    <w:rsid w:val="00CD6A37"/>
    <w:rsid w:val="00CD6EA5"/>
    <w:rsid w:val="00CD786A"/>
    <w:rsid w:val="00CE239F"/>
    <w:rsid w:val="00CE38D6"/>
    <w:rsid w:val="00CE3AA1"/>
    <w:rsid w:val="00CE5C64"/>
    <w:rsid w:val="00CF0B35"/>
    <w:rsid w:val="00CF3515"/>
    <w:rsid w:val="00CF6410"/>
    <w:rsid w:val="00CF68A1"/>
    <w:rsid w:val="00CF74B9"/>
    <w:rsid w:val="00CF74EC"/>
    <w:rsid w:val="00CF77DC"/>
    <w:rsid w:val="00CF794A"/>
    <w:rsid w:val="00CF7AB9"/>
    <w:rsid w:val="00D00961"/>
    <w:rsid w:val="00D0217F"/>
    <w:rsid w:val="00D02189"/>
    <w:rsid w:val="00D03521"/>
    <w:rsid w:val="00D03EFD"/>
    <w:rsid w:val="00D05143"/>
    <w:rsid w:val="00D060F0"/>
    <w:rsid w:val="00D104AC"/>
    <w:rsid w:val="00D11F0C"/>
    <w:rsid w:val="00D13814"/>
    <w:rsid w:val="00D13C56"/>
    <w:rsid w:val="00D146F9"/>
    <w:rsid w:val="00D14C0A"/>
    <w:rsid w:val="00D14E29"/>
    <w:rsid w:val="00D165A1"/>
    <w:rsid w:val="00D17EFC"/>
    <w:rsid w:val="00D22F23"/>
    <w:rsid w:val="00D23580"/>
    <w:rsid w:val="00D2545A"/>
    <w:rsid w:val="00D25C2C"/>
    <w:rsid w:val="00D303C0"/>
    <w:rsid w:val="00D33341"/>
    <w:rsid w:val="00D3361E"/>
    <w:rsid w:val="00D3396D"/>
    <w:rsid w:val="00D34895"/>
    <w:rsid w:val="00D34AFD"/>
    <w:rsid w:val="00D36084"/>
    <w:rsid w:val="00D4065C"/>
    <w:rsid w:val="00D40A96"/>
    <w:rsid w:val="00D40BCB"/>
    <w:rsid w:val="00D433D2"/>
    <w:rsid w:val="00D43A0E"/>
    <w:rsid w:val="00D43F75"/>
    <w:rsid w:val="00D444FC"/>
    <w:rsid w:val="00D45D5A"/>
    <w:rsid w:val="00D473B8"/>
    <w:rsid w:val="00D47795"/>
    <w:rsid w:val="00D4785E"/>
    <w:rsid w:val="00D47A1A"/>
    <w:rsid w:val="00D47A89"/>
    <w:rsid w:val="00D5006B"/>
    <w:rsid w:val="00D508BE"/>
    <w:rsid w:val="00D510C4"/>
    <w:rsid w:val="00D51F89"/>
    <w:rsid w:val="00D524FC"/>
    <w:rsid w:val="00D533D8"/>
    <w:rsid w:val="00D5702B"/>
    <w:rsid w:val="00D61C4E"/>
    <w:rsid w:val="00D642C3"/>
    <w:rsid w:val="00D64BBE"/>
    <w:rsid w:val="00D657BC"/>
    <w:rsid w:val="00D67D78"/>
    <w:rsid w:val="00D71A6B"/>
    <w:rsid w:val="00D7206D"/>
    <w:rsid w:val="00D72D3C"/>
    <w:rsid w:val="00D7315F"/>
    <w:rsid w:val="00D732A6"/>
    <w:rsid w:val="00D75245"/>
    <w:rsid w:val="00D75D01"/>
    <w:rsid w:val="00D75F20"/>
    <w:rsid w:val="00D766A9"/>
    <w:rsid w:val="00D77743"/>
    <w:rsid w:val="00D77C7F"/>
    <w:rsid w:val="00D827CE"/>
    <w:rsid w:val="00D8333F"/>
    <w:rsid w:val="00D87479"/>
    <w:rsid w:val="00D87D0B"/>
    <w:rsid w:val="00D87F39"/>
    <w:rsid w:val="00D90D95"/>
    <w:rsid w:val="00D91B45"/>
    <w:rsid w:val="00D91D4B"/>
    <w:rsid w:val="00D9206B"/>
    <w:rsid w:val="00D94D79"/>
    <w:rsid w:val="00D96F26"/>
    <w:rsid w:val="00DA1FFE"/>
    <w:rsid w:val="00DA2392"/>
    <w:rsid w:val="00DA36B6"/>
    <w:rsid w:val="00DA524A"/>
    <w:rsid w:val="00DA528F"/>
    <w:rsid w:val="00DA534A"/>
    <w:rsid w:val="00DA6214"/>
    <w:rsid w:val="00DA7EC0"/>
    <w:rsid w:val="00DB09C3"/>
    <w:rsid w:val="00DB3901"/>
    <w:rsid w:val="00DB521F"/>
    <w:rsid w:val="00DC0345"/>
    <w:rsid w:val="00DC0CAB"/>
    <w:rsid w:val="00DC0CC2"/>
    <w:rsid w:val="00DC399E"/>
    <w:rsid w:val="00DC54F5"/>
    <w:rsid w:val="00DC6302"/>
    <w:rsid w:val="00DC6AE6"/>
    <w:rsid w:val="00DC6B75"/>
    <w:rsid w:val="00DD225C"/>
    <w:rsid w:val="00DD3654"/>
    <w:rsid w:val="00DD3BBE"/>
    <w:rsid w:val="00DD3E76"/>
    <w:rsid w:val="00DD4D7E"/>
    <w:rsid w:val="00DD5324"/>
    <w:rsid w:val="00DD562C"/>
    <w:rsid w:val="00DD5741"/>
    <w:rsid w:val="00DD63E8"/>
    <w:rsid w:val="00DD6AE5"/>
    <w:rsid w:val="00DE130C"/>
    <w:rsid w:val="00DE3706"/>
    <w:rsid w:val="00DE3BDF"/>
    <w:rsid w:val="00DE4A25"/>
    <w:rsid w:val="00DE5B80"/>
    <w:rsid w:val="00DE7666"/>
    <w:rsid w:val="00DE7EC1"/>
    <w:rsid w:val="00DF05DC"/>
    <w:rsid w:val="00DF0B8A"/>
    <w:rsid w:val="00DF1A0C"/>
    <w:rsid w:val="00DF1FEF"/>
    <w:rsid w:val="00DF25B5"/>
    <w:rsid w:val="00DF29F8"/>
    <w:rsid w:val="00DF2B8E"/>
    <w:rsid w:val="00DF4EB9"/>
    <w:rsid w:val="00E00BC2"/>
    <w:rsid w:val="00E012CE"/>
    <w:rsid w:val="00E02247"/>
    <w:rsid w:val="00E03219"/>
    <w:rsid w:val="00E0389C"/>
    <w:rsid w:val="00E038C5"/>
    <w:rsid w:val="00E04174"/>
    <w:rsid w:val="00E04F43"/>
    <w:rsid w:val="00E05755"/>
    <w:rsid w:val="00E062DB"/>
    <w:rsid w:val="00E06D76"/>
    <w:rsid w:val="00E1157E"/>
    <w:rsid w:val="00E12C7B"/>
    <w:rsid w:val="00E1335A"/>
    <w:rsid w:val="00E148CF"/>
    <w:rsid w:val="00E156A7"/>
    <w:rsid w:val="00E160FC"/>
    <w:rsid w:val="00E171E9"/>
    <w:rsid w:val="00E17C73"/>
    <w:rsid w:val="00E219F2"/>
    <w:rsid w:val="00E21AB1"/>
    <w:rsid w:val="00E21B8B"/>
    <w:rsid w:val="00E21E30"/>
    <w:rsid w:val="00E23FB6"/>
    <w:rsid w:val="00E24429"/>
    <w:rsid w:val="00E257BC"/>
    <w:rsid w:val="00E26889"/>
    <w:rsid w:val="00E26A95"/>
    <w:rsid w:val="00E27B78"/>
    <w:rsid w:val="00E27F52"/>
    <w:rsid w:val="00E27FBB"/>
    <w:rsid w:val="00E30D3A"/>
    <w:rsid w:val="00E31B28"/>
    <w:rsid w:val="00E32331"/>
    <w:rsid w:val="00E32969"/>
    <w:rsid w:val="00E336C7"/>
    <w:rsid w:val="00E35C96"/>
    <w:rsid w:val="00E35DA8"/>
    <w:rsid w:val="00E35EB5"/>
    <w:rsid w:val="00E36747"/>
    <w:rsid w:val="00E36B0F"/>
    <w:rsid w:val="00E37738"/>
    <w:rsid w:val="00E40624"/>
    <w:rsid w:val="00E41283"/>
    <w:rsid w:val="00E4208C"/>
    <w:rsid w:val="00E421FA"/>
    <w:rsid w:val="00E42BE1"/>
    <w:rsid w:val="00E433F4"/>
    <w:rsid w:val="00E45EB8"/>
    <w:rsid w:val="00E471C4"/>
    <w:rsid w:val="00E52A88"/>
    <w:rsid w:val="00E5381F"/>
    <w:rsid w:val="00E538F6"/>
    <w:rsid w:val="00E547F8"/>
    <w:rsid w:val="00E5497C"/>
    <w:rsid w:val="00E54A0C"/>
    <w:rsid w:val="00E54A47"/>
    <w:rsid w:val="00E54DA3"/>
    <w:rsid w:val="00E5522A"/>
    <w:rsid w:val="00E560BE"/>
    <w:rsid w:val="00E57D30"/>
    <w:rsid w:val="00E60875"/>
    <w:rsid w:val="00E60AF1"/>
    <w:rsid w:val="00E60E6C"/>
    <w:rsid w:val="00E61254"/>
    <w:rsid w:val="00E6129F"/>
    <w:rsid w:val="00E615A9"/>
    <w:rsid w:val="00E61F79"/>
    <w:rsid w:val="00E620A7"/>
    <w:rsid w:val="00E62BC1"/>
    <w:rsid w:val="00E62C08"/>
    <w:rsid w:val="00E63AC7"/>
    <w:rsid w:val="00E65A7F"/>
    <w:rsid w:val="00E65C91"/>
    <w:rsid w:val="00E6608E"/>
    <w:rsid w:val="00E670C2"/>
    <w:rsid w:val="00E67B67"/>
    <w:rsid w:val="00E72389"/>
    <w:rsid w:val="00E74539"/>
    <w:rsid w:val="00E7494C"/>
    <w:rsid w:val="00E75993"/>
    <w:rsid w:val="00E75B4A"/>
    <w:rsid w:val="00E76821"/>
    <w:rsid w:val="00E77CB0"/>
    <w:rsid w:val="00E77DF6"/>
    <w:rsid w:val="00E77E43"/>
    <w:rsid w:val="00E801CB"/>
    <w:rsid w:val="00E80D2D"/>
    <w:rsid w:val="00E8226A"/>
    <w:rsid w:val="00E86000"/>
    <w:rsid w:val="00E86474"/>
    <w:rsid w:val="00E8744A"/>
    <w:rsid w:val="00E902DB"/>
    <w:rsid w:val="00E90D66"/>
    <w:rsid w:val="00E91367"/>
    <w:rsid w:val="00E940FB"/>
    <w:rsid w:val="00E94362"/>
    <w:rsid w:val="00E959EC"/>
    <w:rsid w:val="00E9721E"/>
    <w:rsid w:val="00E974FE"/>
    <w:rsid w:val="00E9771D"/>
    <w:rsid w:val="00EA016C"/>
    <w:rsid w:val="00EA01C0"/>
    <w:rsid w:val="00EA0281"/>
    <w:rsid w:val="00EA3493"/>
    <w:rsid w:val="00EA5CB7"/>
    <w:rsid w:val="00EA7BE0"/>
    <w:rsid w:val="00EB0227"/>
    <w:rsid w:val="00EB26D4"/>
    <w:rsid w:val="00EB42FE"/>
    <w:rsid w:val="00EB5515"/>
    <w:rsid w:val="00EB5FCF"/>
    <w:rsid w:val="00EB7D3B"/>
    <w:rsid w:val="00EC0AC7"/>
    <w:rsid w:val="00EC2A7A"/>
    <w:rsid w:val="00EC3226"/>
    <w:rsid w:val="00EC4242"/>
    <w:rsid w:val="00EC4CE6"/>
    <w:rsid w:val="00EC6032"/>
    <w:rsid w:val="00EC73FD"/>
    <w:rsid w:val="00ED1610"/>
    <w:rsid w:val="00ED3FB6"/>
    <w:rsid w:val="00ED5A43"/>
    <w:rsid w:val="00ED6605"/>
    <w:rsid w:val="00EE0E16"/>
    <w:rsid w:val="00EE2DC2"/>
    <w:rsid w:val="00EE3A73"/>
    <w:rsid w:val="00EE4C3C"/>
    <w:rsid w:val="00EE5A03"/>
    <w:rsid w:val="00EE64BD"/>
    <w:rsid w:val="00EE66B8"/>
    <w:rsid w:val="00EE7098"/>
    <w:rsid w:val="00EE72E8"/>
    <w:rsid w:val="00EF03C2"/>
    <w:rsid w:val="00EF06A7"/>
    <w:rsid w:val="00EF0DFF"/>
    <w:rsid w:val="00EF0E56"/>
    <w:rsid w:val="00EF29B4"/>
    <w:rsid w:val="00EF36E1"/>
    <w:rsid w:val="00EF43DE"/>
    <w:rsid w:val="00EF5AE2"/>
    <w:rsid w:val="00EF71D2"/>
    <w:rsid w:val="00EF7AA9"/>
    <w:rsid w:val="00F009D7"/>
    <w:rsid w:val="00F01D31"/>
    <w:rsid w:val="00F0296A"/>
    <w:rsid w:val="00F03355"/>
    <w:rsid w:val="00F037E6"/>
    <w:rsid w:val="00F0399B"/>
    <w:rsid w:val="00F04EA8"/>
    <w:rsid w:val="00F058E3"/>
    <w:rsid w:val="00F0668D"/>
    <w:rsid w:val="00F06B6C"/>
    <w:rsid w:val="00F07B00"/>
    <w:rsid w:val="00F10EEE"/>
    <w:rsid w:val="00F11F65"/>
    <w:rsid w:val="00F12874"/>
    <w:rsid w:val="00F13066"/>
    <w:rsid w:val="00F13796"/>
    <w:rsid w:val="00F14602"/>
    <w:rsid w:val="00F147D8"/>
    <w:rsid w:val="00F16A8A"/>
    <w:rsid w:val="00F16B71"/>
    <w:rsid w:val="00F17174"/>
    <w:rsid w:val="00F20DAA"/>
    <w:rsid w:val="00F2341E"/>
    <w:rsid w:val="00F2444F"/>
    <w:rsid w:val="00F24708"/>
    <w:rsid w:val="00F24889"/>
    <w:rsid w:val="00F30773"/>
    <w:rsid w:val="00F30B6D"/>
    <w:rsid w:val="00F3101B"/>
    <w:rsid w:val="00F3162D"/>
    <w:rsid w:val="00F31CCB"/>
    <w:rsid w:val="00F3294E"/>
    <w:rsid w:val="00F35306"/>
    <w:rsid w:val="00F36654"/>
    <w:rsid w:val="00F36879"/>
    <w:rsid w:val="00F36E08"/>
    <w:rsid w:val="00F370F5"/>
    <w:rsid w:val="00F41654"/>
    <w:rsid w:val="00F41FD6"/>
    <w:rsid w:val="00F421A4"/>
    <w:rsid w:val="00F444D1"/>
    <w:rsid w:val="00F44C37"/>
    <w:rsid w:val="00F452D7"/>
    <w:rsid w:val="00F45420"/>
    <w:rsid w:val="00F45B02"/>
    <w:rsid w:val="00F468ED"/>
    <w:rsid w:val="00F5152E"/>
    <w:rsid w:val="00F51E82"/>
    <w:rsid w:val="00F52A8F"/>
    <w:rsid w:val="00F54D57"/>
    <w:rsid w:val="00F5533C"/>
    <w:rsid w:val="00F5566B"/>
    <w:rsid w:val="00F563B3"/>
    <w:rsid w:val="00F611BB"/>
    <w:rsid w:val="00F61616"/>
    <w:rsid w:val="00F61970"/>
    <w:rsid w:val="00F63AAB"/>
    <w:rsid w:val="00F6444B"/>
    <w:rsid w:val="00F64677"/>
    <w:rsid w:val="00F64B79"/>
    <w:rsid w:val="00F65193"/>
    <w:rsid w:val="00F65DD3"/>
    <w:rsid w:val="00F67542"/>
    <w:rsid w:val="00F67C55"/>
    <w:rsid w:val="00F703F8"/>
    <w:rsid w:val="00F71C96"/>
    <w:rsid w:val="00F7207E"/>
    <w:rsid w:val="00F7365A"/>
    <w:rsid w:val="00F74877"/>
    <w:rsid w:val="00F76928"/>
    <w:rsid w:val="00F77EAE"/>
    <w:rsid w:val="00F8062D"/>
    <w:rsid w:val="00F80814"/>
    <w:rsid w:val="00F826EB"/>
    <w:rsid w:val="00F83295"/>
    <w:rsid w:val="00F8394B"/>
    <w:rsid w:val="00F84E9F"/>
    <w:rsid w:val="00F871F5"/>
    <w:rsid w:val="00F90086"/>
    <w:rsid w:val="00F91FCB"/>
    <w:rsid w:val="00F945D2"/>
    <w:rsid w:val="00F94D7F"/>
    <w:rsid w:val="00F97881"/>
    <w:rsid w:val="00FA1612"/>
    <w:rsid w:val="00FA2BF2"/>
    <w:rsid w:val="00FA4FEF"/>
    <w:rsid w:val="00FA7927"/>
    <w:rsid w:val="00FB2C06"/>
    <w:rsid w:val="00FB4F8C"/>
    <w:rsid w:val="00FB51CB"/>
    <w:rsid w:val="00FB5703"/>
    <w:rsid w:val="00FB6F59"/>
    <w:rsid w:val="00FC1420"/>
    <w:rsid w:val="00FC492E"/>
    <w:rsid w:val="00FC591E"/>
    <w:rsid w:val="00FC6DE8"/>
    <w:rsid w:val="00FD0B77"/>
    <w:rsid w:val="00FD1607"/>
    <w:rsid w:val="00FD28DC"/>
    <w:rsid w:val="00FD5DFB"/>
    <w:rsid w:val="00FD6B3C"/>
    <w:rsid w:val="00FE0F4B"/>
    <w:rsid w:val="00FE1E5F"/>
    <w:rsid w:val="00FE2782"/>
    <w:rsid w:val="00FE3AFA"/>
    <w:rsid w:val="00FE495E"/>
    <w:rsid w:val="00FE5DB4"/>
    <w:rsid w:val="00FE71A8"/>
    <w:rsid w:val="00FE7800"/>
    <w:rsid w:val="00FF0391"/>
    <w:rsid w:val="00FF17D7"/>
    <w:rsid w:val="00FF3A23"/>
    <w:rsid w:val="00FF4A10"/>
    <w:rsid w:val="00FF518D"/>
    <w:rsid w:val="00FF65A3"/>
    <w:rsid w:val="00FF6D25"/>
    <w:rsid w:val="00FF6F17"/>
    <w:rsid w:val="00FF7F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1994A02"/>
  <w15:docId w15:val="{4F53FFF5-58AC-4852-85E7-A633224C2A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5522A"/>
    <w:pPr>
      <w:spacing w:after="160" w:line="259" w:lineRule="auto"/>
    </w:pPr>
    <w:rPr>
      <w:sz w:val="22"/>
      <w:szCs w:val="22"/>
      <w:lang w:eastAsia="zh-TW"/>
    </w:rPr>
  </w:style>
  <w:style w:type="paragraph" w:styleId="Heading1">
    <w:name w:val="heading 1"/>
    <w:basedOn w:val="Normal"/>
    <w:link w:val="Heading1Char"/>
    <w:uiPriority w:val="9"/>
    <w:qFormat/>
    <w:rsid w:val="0041455C"/>
    <w:pPr>
      <w:spacing w:before="100" w:beforeAutospacing="1" w:after="100" w:afterAutospacing="1"/>
      <w:outlineLvl w:val="0"/>
    </w:pPr>
    <w:rPr>
      <w:rFonts w:ascii="MS PGothic" w:eastAsia="MS PGothic" w:hAnsi="MS PGothic" w:cs="MS PGothic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  <w:rsid w:val="00E5522A"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  <w:rsid w:val="00E5522A"/>
  </w:style>
  <w:style w:type="paragraph" w:styleId="ListParagraph">
    <w:name w:val="List Paragraph"/>
    <w:basedOn w:val="Normal"/>
    <w:uiPriority w:val="34"/>
    <w:qFormat/>
    <w:rsid w:val="00621DBE"/>
    <w:pPr>
      <w:ind w:left="720"/>
      <w:contextualSpacing/>
    </w:pPr>
  </w:style>
  <w:style w:type="paragraph" w:customStyle="1" w:styleId="EndNoteBibliographyTitle">
    <w:name w:val="EndNote Bibliography Title"/>
    <w:basedOn w:val="Normal"/>
    <w:rsid w:val="00381444"/>
    <w:pPr>
      <w:jc w:val="center"/>
    </w:pPr>
    <w:rPr>
      <w:rFonts w:ascii="Cambria" w:hAnsi="Cambria"/>
    </w:rPr>
  </w:style>
  <w:style w:type="paragraph" w:customStyle="1" w:styleId="EndNoteBibliography">
    <w:name w:val="EndNote Bibliography"/>
    <w:basedOn w:val="Normal"/>
    <w:rsid w:val="00381444"/>
    <w:rPr>
      <w:rFonts w:ascii="Cambria" w:hAnsi="Cambria"/>
    </w:rPr>
  </w:style>
  <w:style w:type="paragraph" w:styleId="BalloonText">
    <w:name w:val="Balloon Text"/>
    <w:basedOn w:val="Normal"/>
    <w:link w:val="BalloonTextChar"/>
    <w:semiHidden/>
    <w:rsid w:val="002675D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semiHidden/>
    <w:rsid w:val="005918DE"/>
    <w:rPr>
      <w:rFonts w:ascii="Tahoma" w:eastAsia="Times New Roman" w:hAnsi="Tahoma" w:cs="Tahoma"/>
      <w:sz w:val="16"/>
      <w:szCs w:val="16"/>
      <w:lang w:eastAsia="en-US"/>
    </w:rPr>
  </w:style>
  <w:style w:type="paragraph" w:styleId="Caption">
    <w:name w:val="caption"/>
    <w:basedOn w:val="Normal"/>
    <w:next w:val="Normal"/>
    <w:uiPriority w:val="35"/>
    <w:unhideWhenUsed/>
    <w:qFormat/>
    <w:rsid w:val="003221FD"/>
    <w:rPr>
      <w:b/>
      <w:bCs/>
      <w:color w:val="4F81BD" w:themeColor="accent1"/>
      <w:sz w:val="18"/>
      <w:szCs w:val="18"/>
    </w:rPr>
  </w:style>
  <w:style w:type="table" w:styleId="TableGrid">
    <w:name w:val="Table Grid"/>
    <w:basedOn w:val="TableNormal"/>
    <w:uiPriority w:val="39"/>
    <w:rsid w:val="00FC591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表 (モノトーン)  11"/>
    <w:basedOn w:val="TableNormal"/>
    <w:uiPriority w:val="60"/>
    <w:rsid w:val="00FC591E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Header">
    <w:name w:val="header"/>
    <w:basedOn w:val="Normal"/>
    <w:link w:val="HeaderChar"/>
    <w:uiPriority w:val="99"/>
    <w:unhideWhenUsed/>
    <w:rsid w:val="008D307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D3078"/>
  </w:style>
  <w:style w:type="paragraph" w:styleId="Footer">
    <w:name w:val="footer"/>
    <w:basedOn w:val="Normal"/>
    <w:link w:val="FooterChar"/>
    <w:uiPriority w:val="99"/>
    <w:rsid w:val="002675DF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D3078"/>
    <w:rPr>
      <w:rFonts w:ascii="Times" w:eastAsia="Times New Roman" w:hAnsi="Times" w:cs="Times New Roman"/>
      <w:szCs w:val="20"/>
      <w:lang w:eastAsia="en-US"/>
    </w:rPr>
  </w:style>
  <w:style w:type="character" w:styleId="PlaceholderText">
    <w:name w:val="Placeholder Text"/>
    <w:basedOn w:val="DefaultParagraphFont"/>
    <w:uiPriority w:val="99"/>
    <w:semiHidden/>
    <w:rsid w:val="00BF157D"/>
    <w:rPr>
      <w:color w:val="808080"/>
    </w:rPr>
  </w:style>
  <w:style w:type="character" w:styleId="CommentReference">
    <w:name w:val="annotation reference"/>
    <w:basedOn w:val="DefaultParagraphFont"/>
    <w:uiPriority w:val="99"/>
    <w:semiHidden/>
    <w:unhideWhenUsed/>
    <w:rsid w:val="00454D6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454D64"/>
    <w:rPr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454D64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54D6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54D64"/>
    <w:rPr>
      <w:b/>
      <w:bCs/>
      <w:sz w:val="20"/>
      <w:szCs w:val="20"/>
    </w:rPr>
  </w:style>
  <w:style w:type="character" w:styleId="Hyperlink">
    <w:name w:val="Hyperlink"/>
    <w:rsid w:val="002675DF"/>
    <w:rPr>
      <w:color w:val="0000FF"/>
      <w:u w:val="single"/>
    </w:rPr>
  </w:style>
  <w:style w:type="character" w:customStyle="1" w:styleId="apple-converted-space">
    <w:name w:val="apple-converted-space"/>
    <w:basedOn w:val="DefaultParagraphFont"/>
    <w:rsid w:val="00620745"/>
  </w:style>
  <w:style w:type="character" w:customStyle="1" w:styleId="Heading1Char">
    <w:name w:val="Heading 1 Char"/>
    <w:basedOn w:val="DefaultParagraphFont"/>
    <w:link w:val="Heading1"/>
    <w:uiPriority w:val="9"/>
    <w:rsid w:val="0041455C"/>
    <w:rPr>
      <w:rFonts w:ascii="MS PGothic" w:eastAsia="MS PGothic" w:hAnsi="MS PGothic" w:cs="MS PGothic"/>
      <w:b/>
      <w:bCs/>
      <w:kern w:val="36"/>
      <w:sz w:val="48"/>
      <w:szCs w:val="48"/>
    </w:rPr>
  </w:style>
  <w:style w:type="character" w:styleId="FollowedHyperlink">
    <w:name w:val="FollowedHyperlink"/>
    <w:rsid w:val="002675DF"/>
    <w:rPr>
      <w:color w:val="800080"/>
      <w:u w:val="single"/>
    </w:rPr>
  </w:style>
  <w:style w:type="paragraph" w:styleId="BodyText">
    <w:name w:val="Body Text"/>
    <w:basedOn w:val="Normal"/>
    <w:link w:val="BodyTextChar"/>
    <w:rsid w:val="002675DF"/>
    <w:pPr>
      <w:jc w:val="center"/>
    </w:pPr>
    <w:rPr>
      <w:b/>
      <w:sz w:val="40"/>
    </w:rPr>
  </w:style>
  <w:style w:type="character" w:customStyle="1" w:styleId="BodyTextChar">
    <w:name w:val="Body Text Char"/>
    <w:basedOn w:val="DefaultParagraphFont"/>
    <w:link w:val="BodyText"/>
    <w:rsid w:val="00D508BE"/>
    <w:rPr>
      <w:rFonts w:ascii="Times" w:eastAsia="Times New Roman" w:hAnsi="Times" w:cs="Times New Roman"/>
      <w:b/>
      <w:sz w:val="40"/>
      <w:szCs w:val="20"/>
      <w:lang w:eastAsia="en-US"/>
    </w:rPr>
  </w:style>
  <w:style w:type="paragraph" w:styleId="FootnoteText">
    <w:name w:val="footnote text"/>
    <w:basedOn w:val="Normal"/>
    <w:next w:val="TFReferencesSection"/>
    <w:link w:val="FootnoteTextChar"/>
    <w:semiHidden/>
    <w:rsid w:val="002675DF"/>
  </w:style>
  <w:style w:type="character" w:customStyle="1" w:styleId="FootnoteTextChar">
    <w:name w:val="Footnote Text Char"/>
    <w:basedOn w:val="DefaultParagraphFont"/>
    <w:link w:val="FootnoteText"/>
    <w:semiHidden/>
    <w:rsid w:val="00D508BE"/>
    <w:rPr>
      <w:rFonts w:ascii="Times" w:eastAsia="Times New Roman" w:hAnsi="Times" w:cs="Times New Roman"/>
      <w:szCs w:val="20"/>
      <w:lang w:eastAsia="en-US"/>
    </w:rPr>
  </w:style>
  <w:style w:type="paragraph" w:customStyle="1" w:styleId="TFReferencesSection">
    <w:name w:val="TF_References_Section"/>
    <w:basedOn w:val="Normal"/>
    <w:rsid w:val="002675DF"/>
    <w:pPr>
      <w:spacing w:line="480" w:lineRule="auto"/>
      <w:ind w:firstLine="187"/>
    </w:pPr>
  </w:style>
  <w:style w:type="paragraph" w:customStyle="1" w:styleId="TAMainText">
    <w:name w:val="TA_Main_Text"/>
    <w:basedOn w:val="Normal"/>
    <w:rsid w:val="002675DF"/>
    <w:pPr>
      <w:spacing w:line="480" w:lineRule="auto"/>
      <w:ind w:firstLine="202"/>
    </w:pPr>
  </w:style>
  <w:style w:type="paragraph" w:customStyle="1" w:styleId="BATitle">
    <w:name w:val="BA_Title"/>
    <w:basedOn w:val="Normal"/>
    <w:next w:val="BBAuthorName"/>
    <w:rsid w:val="002675DF"/>
    <w:pPr>
      <w:spacing w:before="720" w:after="360" w:line="480" w:lineRule="auto"/>
      <w:jc w:val="center"/>
    </w:pPr>
    <w:rPr>
      <w:rFonts w:ascii="Times New Roman" w:hAnsi="Times New Roman"/>
      <w:sz w:val="44"/>
    </w:rPr>
  </w:style>
  <w:style w:type="paragraph" w:customStyle="1" w:styleId="BBAuthorName">
    <w:name w:val="BB_Author_Name"/>
    <w:basedOn w:val="Normal"/>
    <w:next w:val="BCAuthorAddress"/>
    <w:rsid w:val="002675DF"/>
    <w:pPr>
      <w:spacing w:after="240" w:line="480" w:lineRule="auto"/>
      <w:jc w:val="center"/>
    </w:pPr>
    <w:rPr>
      <w:i/>
    </w:rPr>
  </w:style>
  <w:style w:type="paragraph" w:customStyle="1" w:styleId="BCAuthorAddress">
    <w:name w:val="BC_Author_Address"/>
    <w:basedOn w:val="Normal"/>
    <w:next w:val="BIEmailAddress"/>
    <w:rsid w:val="002675DF"/>
    <w:pPr>
      <w:spacing w:after="240" w:line="480" w:lineRule="auto"/>
      <w:jc w:val="center"/>
    </w:pPr>
  </w:style>
  <w:style w:type="paragraph" w:customStyle="1" w:styleId="BIEmailAddress">
    <w:name w:val="BI_Email_Address"/>
    <w:basedOn w:val="Normal"/>
    <w:next w:val="AIReceivedDate"/>
    <w:rsid w:val="002675DF"/>
    <w:pPr>
      <w:spacing w:line="480" w:lineRule="auto"/>
    </w:pPr>
  </w:style>
  <w:style w:type="paragraph" w:customStyle="1" w:styleId="AIReceivedDate">
    <w:name w:val="AI_Received_Date"/>
    <w:basedOn w:val="Normal"/>
    <w:next w:val="BDAbstract"/>
    <w:rsid w:val="002675DF"/>
    <w:pPr>
      <w:spacing w:after="240" w:line="480" w:lineRule="auto"/>
    </w:pPr>
    <w:rPr>
      <w:b/>
    </w:rPr>
  </w:style>
  <w:style w:type="paragraph" w:customStyle="1" w:styleId="BDAbstract">
    <w:name w:val="BD_Abstract"/>
    <w:basedOn w:val="Normal"/>
    <w:next w:val="TAMainText"/>
    <w:rsid w:val="002675DF"/>
    <w:pPr>
      <w:spacing w:before="360" w:after="360" w:line="480" w:lineRule="auto"/>
    </w:pPr>
  </w:style>
  <w:style w:type="paragraph" w:customStyle="1" w:styleId="TDAcknowledgments">
    <w:name w:val="TD_Acknowledgments"/>
    <w:basedOn w:val="Normal"/>
    <w:next w:val="Normal"/>
    <w:rsid w:val="002675DF"/>
    <w:pPr>
      <w:spacing w:before="200" w:line="480" w:lineRule="auto"/>
      <w:ind w:firstLine="202"/>
    </w:pPr>
  </w:style>
  <w:style w:type="paragraph" w:customStyle="1" w:styleId="TESupportingInformation">
    <w:name w:val="TE_Supporting_Information"/>
    <w:basedOn w:val="Normal"/>
    <w:next w:val="Normal"/>
    <w:rsid w:val="002675DF"/>
    <w:pPr>
      <w:spacing w:line="480" w:lineRule="auto"/>
      <w:ind w:firstLine="187"/>
    </w:pPr>
  </w:style>
  <w:style w:type="paragraph" w:customStyle="1" w:styleId="VCSchemeTitle">
    <w:name w:val="VC_Scheme_Title"/>
    <w:basedOn w:val="Normal"/>
    <w:next w:val="Normal"/>
    <w:rsid w:val="002675DF"/>
    <w:pPr>
      <w:spacing w:line="480" w:lineRule="auto"/>
    </w:pPr>
  </w:style>
  <w:style w:type="paragraph" w:customStyle="1" w:styleId="VDTableTitle">
    <w:name w:val="VD_Table_Title"/>
    <w:basedOn w:val="Normal"/>
    <w:next w:val="Normal"/>
    <w:rsid w:val="002675DF"/>
    <w:pPr>
      <w:spacing w:line="480" w:lineRule="auto"/>
    </w:pPr>
  </w:style>
  <w:style w:type="paragraph" w:customStyle="1" w:styleId="VAFigureCaption">
    <w:name w:val="VA_Figure_Caption"/>
    <w:basedOn w:val="Normal"/>
    <w:next w:val="Normal"/>
    <w:rsid w:val="002675DF"/>
    <w:pPr>
      <w:spacing w:line="480" w:lineRule="auto"/>
    </w:pPr>
  </w:style>
  <w:style w:type="paragraph" w:customStyle="1" w:styleId="VBChartTitle">
    <w:name w:val="VB_Chart_Title"/>
    <w:basedOn w:val="Normal"/>
    <w:next w:val="Normal"/>
    <w:rsid w:val="002675DF"/>
    <w:pPr>
      <w:spacing w:line="480" w:lineRule="auto"/>
    </w:pPr>
  </w:style>
  <w:style w:type="paragraph" w:customStyle="1" w:styleId="FETableFootnote">
    <w:name w:val="FE_Table_Footnote"/>
    <w:basedOn w:val="Normal"/>
    <w:next w:val="Normal"/>
    <w:rsid w:val="002675DF"/>
    <w:pPr>
      <w:ind w:firstLine="187"/>
    </w:pPr>
  </w:style>
  <w:style w:type="paragraph" w:customStyle="1" w:styleId="FCChartFootnote">
    <w:name w:val="FC_Chart_Footnote"/>
    <w:basedOn w:val="Normal"/>
    <w:next w:val="Normal"/>
    <w:rsid w:val="002675DF"/>
    <w:pPr>
      <w:ind w:firstLine="187"/>
    </w:pPr>
  </w:style>
  <w:style w:type="paragraph" w:customStyle="1" w:styleId="FDSchemeFootnote">
    <w:name w:val="FD_Scheme_Footnote"/>
    <w:basedOn w:val="Normal"/>
    <w:next w:val="Normal"/>
    <w:rsid w:val="002675DF"/>
    <w:pPr>
      <w:ind w:firstLine="187"/>
    </w:pPr>
  </w:style>
  <w:style w:type="paragraph" w:customStyle="1" w:styleId="TCTableBody">
    <w:name w:val="TC_Table_Body"/>
    <w:basedOn w:val="Normal"/>
    <w:rsid w:val="002675DF"/>
  </w:style>
  <w:style w:type="paragraph" w:customStyle="1" w:styleId="AFTitleRunningHead">
    <w:name w:val="AF_Title_Running_Head"/>
    <w:basedOn w:val="Normal"/>
    <w:next w:val="TAMainText"/>
    <w:rsid w:val="002675DF"/>
    <w:pPr>
      <w:spacing w:line="480" w:lineRule="auto"/>
    </w:pPr>
  </w:style>
  <w:style w:type="paragraph" w:customStyle="1" w:styleId="BEAuthorBiography">
    <w:name w:val="BE_Author_Biography"/>
    <w:basedOn w:val="Normal"/>
    <w:rsid w:val="002675DF"/>
    <w:pPr>
      <w:spacing w:line="480" w:lineRule="auto"/>
    </w:pPr>
  </w:style>
  <w:style w:type="paragraph" w:customStyle="1" w:styleId="FACorrespondingAuthorFootnote">
    <w:name w:val="FA_Corresponding_Author_Footnote"/>
    <w:basedOn w:val="Normal"/>
    <w:next w:val="TAMainText"/>
    <w:rsid w:val="002675DF"/>
    <w:pPr>
      <w:spacing w:line="480" w:lineRule="auto"/>
    </w:pPr>
  </w:style>
  <w:style w:type="paragraph" w:customStyle="1" w:styleId="SNSynopsisTOC">
    <w:name w:val="SN_Synopsis_TOC"/>
    <w:basedOn w:val="Normal"/>
    <w:rsid w:val="002675DF"/>
    <w:pPr>
      <w:spacing w:line="480" w:lineRule="auto"/>
    </w:pPr>
  </w:style>
  <w:style w:type="paragraph" w:customStyle="1" w:styleId="BGKeywords">
    <w:name w:val="BG_Keywords"/>
    <w:basedOn w:val="Normal"/>
    <w:rsid w:val="002675DF"/>
    <w:pPr>
      <w:spacing w:line="480" w:lineRule="auto"/>
    </w:pPr>
  </w:style>
  <w:style w:type="paragraph" w:customStyle="1" w:styleId="BHBriefs">
    <w:name w:val="BH_Briefs"/>
    <w:basedOn w:val="Normal"/>
    <w:rsid w:val="002675DF"/>
    <w:pPr>
      <w:spacing w:line="480" w:lineRule="auto"/>
    </w:pPr>
  </w:style>
  <w:style w:type="character" w:styleId="PageNumber">
    <w:name w:val="page number"/>
    <w:basedOn w:val="DefaultParagraphFont"/>
    <w:rsid w:val="002675DF"/>
  </w:style>
  <w:style w:type="paragraph" w:customStyle="1" w:styleId="StyleFACorrespondingAuthorFootnote7pt">
    <w:name w:val="Style FA_Corresponding_Author_Footnote + 7 pt"/>
    <w:basedOn w:val="Normal"/>
    <w:next w:val="BGKeywords"/>
    <w:link w:val="StyleFACorrespondingAuthorFootnote7ptChar"/>
    <w:autoRedefine/>
    <w:rsid w:val="002675DF"/>
    <w:rPr>
      <w:rFonts w:ascii="Arno Pro" w:hAnsi="Arno Pro"/>
      <w:kern w:val="20"/>
      <w:sz w:val="18"/>
    </w:rPr>
  </w:style>
  <w:style w:type="character" w:customStyle="1" w:styleId="StyleFACorrespondingAuthorFootnote7ptChar">
    <w:name w:val="Style FA_Corresponding_Author_Footnote + 7 pt Char"/>
    <w:link w:val="StyleFACorrespondingAuthorFootnote7pt"/>
    <w:rsid w:val="002675DF"/>
    <w:rPr>
      <w:rFonts w:ascii="Arno Pro" w:eastAsia="Times New Roman" w:hAnsi="Arno Pro" w:cs="Times New Roman"/>
      <w:kern w:val="20"/>
      <w:sz w:val="18"/>
      <w:szCs w:val="20"/>
      <w:lang w:eastAsia="en-US"/>
    </w:rPr>
  </w:style>
  <w:style w:type="paragraph" w:customStyle="1" w:styleId="FAAuthorInfoSubtitle">
    <w:name w:val="FA_Author_Info_Subtitle"/>
    <w:basedOn w:val="Normal"/>
    <w:link w:val="FAAuthorInfoSubtitleChar"/>
    <w:autoRedefine/>
    <w:rsid w:val="002B1BA4"/>
    <w:pPr>
      <w:spacing w:before="120" w:after="60" w:line="480" w:lineRule="auto"/>
    </w:pPr>
    <w:rPr>
      <w:b/>
    </w:rPr>
  </w:style>
  <w:style w:type="character" w:customStyle="1" w:styleId="FAAuthorInfoSubtitleChar">
    <w:name w:val="FA_Author_Info_Subtitle Char"/>
    <w:link w:val="FAAuthorInfoSubtitle"/>
    <w:rsid w:val="002B1BA4"/>
    <w:rPr>
      <w:b/>
      <w:kern w:val="2"/>
      <w:sz w:val="21"/>
      <w:szCs w:val="22"/>
    </w:rPr>
  </w:style>
  <w:style w:type="paragraph" w:customStyle="1" w:styleId="Default">
    <w:name w:val="Default"/>
    <w:rsid w:val="002675DF"/>
    <w:pPr>
      <w:autoSpaceDE w:val="0"/>
      <w:autoSpaceDN w:val="0"/>
      <w:adjustRightInd w:val="0"/>
    </w:pPr>
    <w:rPr>
      <w:rFonts w:ascii="Symbol" w:eastAsia="Times New Roman" w:hAnsi="Symbol" w:cs="Symbol"/>
      <w:color w:val="000000"/>
      <w:lang w:eastAsia="en-US"/>
    </w:rPr>
  </w:style>
  <w:style w:type="paragraph" w:styleId="Revision">
    <w:name w:val="Revision"/>
    <w:hidden/>
    <w:uiPriority w:val="99"/>
    <w:semiHidden/>
    <w:rsid w:val="00EF0E56"/>
    <w:rPr>
      <w:rFonts w:ascii="Times" w:eastAsia="Times New Roman" w:hAnsi="Times" w:cs="Times New Roman"/>
      <w:szCs w:val="20"/>
      <w:lang w:eastAsia="en-US"/>
    </w:rPr>
  </w:style>
  <w:style w:type="paragraph" w:styleId="NormalWeb">
    <w:name w:val="Normal (Web)"/>
    <w:basedOn w:val="Normal"/>
    <w:uiPriority w:val="99"/>
    <w:unhideWhenUsed/>
    <w:rsid w:val="00BF166F"/>
    <w:pPr>
      <w:spacing w:before="100" w:beforeAutospacing="1" w:after="100" w:afterAutospacing="1"/>
    </w:pPr>
    <w:rPr>
      <w:rFonts w:ascii="Times New Roman" w:hAnsi="Times New Roman"/>
    </w:rPr>
  </w:style>
  <w:style w:type="character" w:customStyle="1" w:styleId="shorttext">
    <w:name w:val="short_text"/>
    <w:rsid w:val="00874F30"/>
  </w:style>
  <w:style w:type="paragraph" w:styleId="Title">
    <w:name w:val="Title"/>
    <w:basedOn w:val="Normal"/>
    <w:next w:val="Normal"/>
    <w:link w:val="TitleChar"/>
    <w:uiPriority w:val="10"/>
    <w:qFormat/>
    <w:rsid w:val="00252DD7"/>
    <w:pPr>
      <w:spacing w:before="240" w:after="120"/>
      <w:jc w:val="center"/>
      <w:outlineLvl w:val="0"/>
    </w:pPr>
    <w:rPr>
      <w:rFonts w:asciiTheme="majorHAnsi" w:eastAsiaTheme="majorEastAsia" w:hAnsiTheme="majorHAnsi" w:cstheme="majorBidi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252DD7"/>
    <w:rPr>
      <w:rFonts w:asciiTheme="majorHAnsi" w:eastAsiaTheme="majorEastAsia" w:hAnsiTheme="majorHAnsi" w:cstheme="majorBidi"/>
      <w:kern w:val="2"/>
      <w:sz w:val="32"/>
      <w:szCs w:val="32"/>
    </w:rPr>
  </w:style>
  <w:style w:type="character" w:customStyle="1" w:styleId="kwit">
    <w:name w:val="kwit"/>
    <w:basedOn w:val="DefaultParagraphFont"/>
    <w:rsid w:val="001C41A7"/>
  </w:style>
  <w:style w:type="character" w:customStyle="1" w:styleId="UnresolvedMention1">
    <w:name w:val="Unresolved Mention1"/>
    <w:basedOn w:val="DefaultParagraphFont"/>
    <w:uiPriority w:val="99"/>
    <w:semiHidden/>
    <w:unhideWhenUsed/>
    <w:rsid w:val="005C7F5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microsoft.com/office/2016/09/relationships/commentsIds" Target="commentsIds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18/08/relationships/commentsExtensible" Target="commentsExtensi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74A9782-54A4-4A06-9EE3-39DB303CC2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551</Words>
  <Characters>3141</Characters>
  <Application>Microsoft Office Word</Application>
  <DocSecurity>0</DocSecurity>
  <Lines>26</Lines>
  <Paragraphs>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タイトル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3685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MASAHITO OH-E</dc:creator>
  <cp:lastModifiedBy>OH-E MASAHITO</cp:lastModifiedBy>
  <cp:revision>3</cp:revision>
  <cp:lastPrinted>2018-11-17T09:59:00Z</cp:lastPrinted>
  <dcterms:created xsi:type="dcterms:W3CDTF">2024-09-05T07:55:00Z</dcterms:created>
  <dcterms:modified xsi:type="dcterms:W3CDTF">2024-09-05T07:56:00Z</dcterms:modified>
  <cp:version>2</cp:ver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Citation Style_1">
    <vt:lpwstr>http://www.zotero.org/styles/american-chemical-society</vt:lpwstr>
  </property>
  <property fmtid="{D5CDD505-2E9C-101B-9397-08002B2CF9AE}" pid="3" name="Mendeley Document_1">
    <vt:lpwstr>True</vt:lpwstr>
  </property>
  <property fmtid="{D5CDD505-2E9C-101B-9397-08002B2CF9AE}" pid="4" name="Mendeley Recent Style Id 0_1">
    <vt:lpwstr>http://www.zotero.org/styles/american-chemical-society</vt:lpwstr>
  </property>
  <property fmtid="{D5CDD505-2E9C-101B-9397-08002B2CF9AE}" pid="5" name="Mendeley Recent Style Id 1_1">
    <vt:lpwstr>http://csl.mendeley.com/styles/445000141/american-chemical-society</vt:lpwstr>
  </property>
  <property fmtid="{D5CDD505-2E9C-101B-9397-08002B2CF9AE}" pid="6" name="Mendeley Recent Style Id 2_1">
    <vt:lpwstr>http://www.zotero.org/styles/american-institute-of-physics</vt:lpwstr>
  </property>
  <property fmtid="{D5CDD505-2E9C-101B-9397-08002B2CF9AE}" pid="7" name="Mendeley Recent Style Id 3_1">
    <vt:lpwstr>http://www.zotero.org/styles/american-medical-association</vt:lpwstr>
  </property>
  <property fmtid="{D5CDD505-2E9C-101B-9397-08002B2CF9AE}" pid="8" name="Mendeley Recent Style Id 4_1">
    <vt:lpwstr>http://www.zotero.org/styles/american-physics-society</vt:lpwstr>
  </property>
  <property fmtid="{D5CDD505-2E9C-101B-9397-08002B2CF9AE}" pid="9" name="Mendeley Recent Style Id 5_1">
    <vt:lpwstr>http://www.zotero.org/styles/apa</vt:lpwstr>
  </property>
  <property fmtid="{D5CDD505-2E9C-101B-9397-08002B2CF9AE}" pid="10" name="Mendeley Recent Style Id 6_1">
    <vt:lpwstr>http://cslDataExporter</vt:lpwstr>
  </property>
  <property fmtid="{D5CDD505-2E9C-101B-9397-08002B2CF9AE}" pid="11" name="Mendeley Recent Style Id 7_1">
    <vt:lpwstr>http://www.zotero.org/styles/ieee</vt:lpwstr>
  </property>
  <property fmtid="{D5CDD505-2E9C-101B-9397-08002B2CF9AE}" pid="12" name="Mendeley Recent Style Id 8_1">
    <vt:lpwstr>http://www.zotero.org/styles/iet-science-measurement-and-technology</vt:lpwstr>
  </property>
  <property fmtid="{D5CDD505-2E9C-101B-9397-08002B2CF9AE}" pid="13" name="Mendeley Recent Style Id 9_1">
    <vt:lpwstr>http://www.zotero.org/styles/national-library-of-medicine</vt:lpwstr>
  </property>
  <property fmtid="{D5CDD505-2E9C-101B-9397-08002B2CF9AE}" pid="14" name="Mendeley Recent Style Name 0_1">
    <vt:lpwstr>American Chemical Society</vt:lpwstr>
  </property>
  <property fmtid="{D5CDD505-2E9C-101B-9397-08002B2CF9AE}" pid="15" name="Mendeley Recent Style Name 1_1">
    <vt:lpwstr>American Chemical Society - Masahito Oh-e, Professor, Ph.D.</vt:lpwstr>
  </property>
  <property fmtid="{D5CDD505-2E9C-101B-9397-08002B2CF9AE}" pid="16" name="Mendeley Recent Style Name 2_1">
    <vt:lpwstr>American Institute of Physics</vt:lpwstr>
  </property>
  <property fmtid="{D5CDD505-2E9C-101B-9397-08002B2CF9AE}" pid="17" name="Mendeley Recent Style Name 3_1">
    <vt:lpwstr>American Medical Association</vt:lpwstr>
  </property>
  <property fmtid="{D5CDD505-2E9C-101B-9397-08002B2CF9AE}" pid="18" name="Mendeley Recent Style Name 4_1">
    <vt:lpwstr>American Physics Society</vt:lpwstr>
  </property>
  <property fmtid="{D5CDD505-2E9C-101B-9397-08002B2CF9AE}" pid="19" name="Mendeley Recent Style Name 5_1">
    <vt:lpwstr>American Psychological Association 6th edition</vt:lpwstr>
  </property>
  <property fmtid="{D5CDD505-2E9C-101B-9397-08002B2CF9AE}" pid="20" name="Mendeley Recent Style Name 6_1">
    <vt:lpwstr>CSL Data Exporter</vt:lpwstr>
  </property>
  <property fmtid="{D5CDD505-2E9C-101B-9397-08002B2CF9AE}" pid="21" name="Mendeley Recent Style Name 7_1">
    <vt:lpwstr>IEEE</vt:lpwstr>
  </property>
  <property fmtid="{D5CDD505-2E9C-101B-9397-08002B2CF9AE}" pid="22" name="Mendeley Recent Style Name 8_1">
    <vt:lpwstr>IET Science, Measurement &amp; Technology</vt:lpwstr>
  </property>
  <property fmtid="{D5CDD505-2E9C-101B-9397-08002B2CF9AE}" pid="23" name="Mendeley Recent Style Name 9_1">
    <vt:lpwstr>National Library of Medicine</vt:lpwstr>
  </property>
  <property fmtid="{D5CDD505-2E9C-101B-9397-08002B2CF9AE}" pid="24" name="Mendeley Unique User Id_1">
    <vt:lpwstr>2531d5cc-cbc3-302e-b06d-20dd52e383b0</vt:lpwstr>
  </property>
</Properties>
</file>