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387F4" w14:textId="77777777" w:rsidR="00584917" w:rsidRDefault="00584917" w:rsidP="00584917">
      <w:pPr>
        <w:spacing w:line="360" w:lineRule="auto"/>
        <w:jc w:val="left"/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t>Appendix</w:t>
      </w:r>
      <w:r>
        <w:rPr>
          <w:rFonts w:ascii="Times New Roman Bold" w:hAnsi="Times New Roman Bold" w:cs="Times New Roman Bold" w:hint="eastAsia"/>
          <w:b/>
          <w:bCs/>
          <w:sz w:val="24"/>
        </w:rPr>
        <w:t>:</w:t>
      </w:r>
    </w:p>
    <w:p w14:paraId="1B339E9C" w14:textId="77777777" w:rsidR="00584917" w:rsidRDefault="00584917" w:rsidP="00584917">
      <w:pPr>
        <w:spacing w:line="400" w:lineRule="exact"/>
        <w:jc w:val="center"/>
        <w:rPr>
          <w:rFonts w:ascii="Times New Roman Bold" w:hAnsi="Times New Roman Bold" w:cs="Times New Roman Bold"/>
          <w:b/>
          <w:color w:val="000000" w:themeColor="text1"/>
          <w:sz w:val="24"/>
        </w:rPr>
      </w:pPr>
      <w:r>
        <w:rPr>
          <w:rFonts w:ascii="Times New Roman Bold" w:hAnsi="Times New Roman Bold" w:cs="Times New Roman Bold"/>
          <w:b/>
          <w:color w:val="000000" w:themeColor="text1"/>
          <w:sz w:val="24"/>
        </w:rPr>
        <w:t>Appendix A.1 Variable Definitions</w:t>
      </w:r>
    </w:p>
    <w:tbl>
      <w:tblPr>
        <w:tblW w:w="5306" w:type="pct"/>
        <w:jc w:val="center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2969"/>
        <w:gridCol w:w="973"/>
        <w:gridCol w:w="4872"/>
      </w:tblGrid>
      <w:tr w:rsidR="00584917" w14:paraId="69F17A1A" w14:textId="77777777" w:rsidTr="00337226">
        <w:trPr>
          <w:trHeight w:val="20"/>
          <w:jc w:val="center"/>
        </w:trPr>
        <w:tc>
          <w:tcPr>
            <w:tcW w:w="16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587E7F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Times New Roman Bold" w:hAnsi="Times New Roman Bold" w:cs="Times New Roman Bold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color w:val="000000" w:themeColor="text1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F98DFA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Times New Roman Bold" w:hAnsi="Times New Roman Bold" w:cs="Times New Roman Bold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color w:val="000000" w:themeColor="text1"/>
                <w:kern w:val="0"/>
                <w:sz w:val="20"/>
                <w:szCs w:val="20"/>
              </w:rPr>
              <w:t>Notation</w:t>
            </w:r>
          </w:p>
        </w:tc>
        <w:tc>
          <w:tcPr>
            <w:tcW w:w="27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C8805F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Times New Roman Bold" w:hAnsi="Times New Roman Bold" w:cs="Times New Roman Bold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color w:val="000000" w:themeColor="text1"/>
                <w:kern w:val="0"/>
                <w:sz w:val="20"/>
                <w:szCs w:val="20"/>
              </w:rPr>
              <w:t>Definition</w:t>
            </w:r>
          </w:p>
        </w:tc>
      </w:tr>
      <w:tr w:rsidR="00584917" w14:paraId="77711A0F" w14:textId="77777777" w:rsidTr="00337226">
        <w:trPr>
          <w:trHeight w:val="20"/>
          <w:jc w:val="center"/>
        </w:trPr>
        <w:tc>
          <w:tcPr>
            <w:tcW w:w="1684" w:type="pct"/>
            <w:tcBorders>
              <w:top w:val="single" w:sz="4" w:space="0" w:color="auto"/>
              <w:left w:val="nil"/>
              <w:right w:val="nil"/>
            </w:tcBorders>
          </w:tcPr>
          <w:p w14:paraId="6FE61D1F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color w:val="000000" w:themeColor="text1"/>
                <w:kern w:val="0"/>
                <w:sz w:val="20"/>
                <w:szCs w:val="20"/>
              </w:rPr>
              <w:t>Dependent variables: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right w:val="nil"/>
            </w:tcBorders>
          </w:tcPr>
          <w:p w14:paraId="69F81AC1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763" w:type="pct"/>
            <w:tcBorders>
              <w:top w:val="single" w:sz="4" w:space="0" w:color="auto"/>
              <w:left w:val="nil"/>
              <w:right w:val="nil"/>
            </w:tcBorders>
          </w:tcPr>
          <w:p w14:paraId="6E275EEA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Times New Roman Regular" w:hAnsi="Times New Roman Regular" w:cs="Times New Roman Regular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584917" w14:paraId="2530E38B" w14:textId="77777777" w:rsidTr="00337226">
        <w:trPr>
          <w:trHeight w:val="20"/>
          <w:jc w:val="center"/>
        </w:trPr>
        <w:tc>
          <w:tcPr>
            <w:tcW w:w="1684" w:type="pct"/>
            <w:tcBorders>
              <w:left w:val="nil"/>
              <w:right w:val="nil"/>
            </w:tcBorders>
          </w:tcPr>
          <w:p w14:paraId="4901B6BF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Awareness of Covid-19 risk</w:t>
            </w:r>
          </w:p>
        </w:tc>
        <w:tc>
          <w:tcPr>
            <w:tcW w:w="552" w:type="pct"/>
            <w:tcBorders>
              <w:left w:val="nil"/>
              <w:right w:val="nil"/>
            </w:tcBorders>
          </w:tcPr>
          <w:p w14:paraId="61CC9C9E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Italic" w:hAnsi="Times New Roman Italic" w:cs="Times New Roman Italic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Covid</w:t>
            </w:r>
            <w:r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  <w:t>19</w:t>
            </w:r>
          </w:p>
        </w:tc>
        <w:tc>
          <w:tcPr>
            <w:tcW w:w="2763" w:type="pct"/>
            <w:tcBorders>
              <w:left w:val="nil"/>
              <w:right w:val="nil"/>
            </w:tcBorders>
          </w:tcPr>
          <w:p w14:paraId="01A1546F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jc w:val="left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T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he respon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ses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 that “very worried, a little worried, not too worried, not worried at all” are coded as 4, 3, 2, and 1 respectively</w:t>
            </w:r>
          </w:p>
        </w:tc>
      </w:tr>
      <w:tr w:rsidR="00584917" w14:paraId="79DEE62E" w14:textId="77777777" w:rsidTr="00337226">
        <w:trPr>
          <w:trHeight w:val="20"/>
          <w:jc w:val="center"/>
        </w:trPr>
        <w:tc>
          <w:tcPr>
            <w:tcW w:w="1684" w:type="pct"/>
            <w:tcBorders>
              <w:top w:val="single" w:sz="4" w:space="0" w:color="auto"/>
              <w:left w:val="nil"/>
              <w:right w:val="nil"/>
            </w:tcBorders>
          </w:tcPr>
          <w:p w14:paraId="5F960E55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color w:val="000000" w:themeColor="text1"/>
                <w:kern w:val="0"/>
                <w:sz w:val="20"/>
                <w:szCs w:val="20"/>
              </w:rPr>
              <w:t>Independent variables: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right w:val="nil"/>
            </w:tcBorders>
          </w:tcPr>
          <w:p w14:paraId="1AB0B91F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i/>
                <w:i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763" w:type="pct"/>
            <w:tcBorders>
              <w:top w:val="single" w:sz="4" w:space="0" w:color="auto"/>
              <w:left w:val="nil"/>
              <w:right w:val="nil"/>
            </w:tcBorders>
          </w:tcPr>
          <w:p w14:paraId="08BA9B27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584917" w14:paraId="6521A119" w14:textId="77777777" w:rsidTr="00337226">
        <w:trPr>
          <w:trHeight w:val="20"/>
          <w:jc w:val="center"/>
        </w:trPr>
        <w:tc>
          <w:tcPr>
            <w:tcW w:w="1684" w:type="pct"/>
            <w:tcBorders>
              <w:left w:val="nil"/>
              <w:right w:val="nil"/>
            </w:tcBorders>
          </w:tcPr>
          <w:p w14:paraId="773169B2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The frequency of using the Internet</w:t>
            </w:r>
          </w:p>
        </w:tc>
        <w:tc>
          <w:tcPr>
            <w:tcW w:w="552" w:type="pct"/>
            <w:tcBorders>
              <w:left w:val="nil"/>
              <w:right w:val="nil"/>
            </w:tcBorders>
          </w:tcPr>
          <w:p w14:paraId="3DB0BC96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Italic" w:hAnsi="Times New Roman Italic" w:cs="Times New Roman Italic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Internet</w:t>
            </w:r>
          </w:p>
        </w:tc>
        <w:tc>
          <w:tcPr>
            <w:tcW w:w="2763" w:type="pct"/>
            <w:tcBorders>
              <w:left w:val="nil"/>
              <w:right w:val="nil"/>
            </w:tcBorders>
          </w:tcPr>
          <w:p w14:paraId="403FA820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jc w:val="left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The responses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include never, rarely, sometimes, often, and very often, with assigning values ranging from 1 to 5, respectively</w:t>
            </w:r>
          </w:p>
        </w:tc>
      </w:tr>
      <w:tr w:rsidR="00584917" w14:paraId="0A52FDF8" w14:textId="77777777" w:rsidTr="00337226">
        <w:trPr>
          <w:trHeight w:val="20"/>
          <w:jc w:val="center"/>
        </w:trPr>
        <w:tc>
          <w:tcPr>
            <w:tcW w:w="1684" w:type="pct"/>
            <w:tcBorders>
              <w:top w:val="single" w:sz="4" w:space="0" w:color="auto"/>
              <w:left w:val="nil"/>
              <w:right w:val="nil"/>
            </w:tcBorders>
          </w:tcPr>
          <w:p w14:paraId="562E353D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Bold" w:hAnsi="Times New Roman Bold" w:cs="Times New Roman Bold"/>
                <w:b/>
                <w:bCs/>
                <w:color w:val="000000" w:themeColor="text1"/>
                <w:kern w:val="0"/>
                <w:sz w:val="20"/>
                <w:szCs w:val="20"/>
              </w:rPr>
              <w:t>Control variables: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right w:val="nil"/>
            </w:tcBorders>
          </w:tcPr>
          <w:p w14:paraId="45BD5A59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i/>
                <w:i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763" w:type="pct"/>
            <w:tcBorders>
              <w:top w:val="single" w:sz="4" w:space="0" w:color="auto"/>
              <w:left w:val="nil"/>
              <w:right w:val="nil"/>
            </w:tcBorders>
          </w:tcPr>
          <w:p w14:paraId="0C3FE579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584917" w14:paraId="7614279F" w14:textId="77777777" w:rsidTr="00337226">
        <w:trPr>
          <w:trHeight w:val="20"/>
          <w:jc w:val="center"/>
        </w:trPr>
        <w:tc>
          <w:tcPr>
            <w:tcW w:w="1684" w:type="pct"/>
            <w:tcBorders>
              <w:left w:val="nil"/>
              <w:right w:val="nil"/>
            </w:tcBorders>
          </w:tcPr>
          <w:p w14:paraId="2CE5D09D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The family of the residents economic status</w:t>
            </w:r>
          </w:p>
        </w:tc>
        <w:tc>
          <w:tcPr>
            <w:tcW w:w="552" w:type="pct"/>
            <w:tcBorders>
              <w:left w:val="nil"/>
              <w:right w:val="nil"/>
            </w:tcBorders>
          </w:tcPr>
          <w:p w14:paraId="0780CF63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  <w:t>Income_Relative</w:t>
            </w:r>
          </w:p>
        </w:tc>
        <w:tc>
          <w:tcPr>
            <w:tcW w:w="2763" w:type="pct"/>
            <w:tcBorders>
              <w:left w:val="nil"/>
              <w:right w:val="nil"/>
            </w:tcBorders>
          </w:tcPr>
          <w:p w14:paraId="73A0ACDA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jc w:val="left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bookmarkStart w:id="0" w:name="OLE_LINK2"/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The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responses</w:t>
            </w:r>
            <w:bookmarkEnd w:id="0"/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 xml:space="preserve"> include far below the average level, below the average, average, higher than the average, far higher than the average, with assigning values ranging from 1 to 5, respectively</w:t>
            </w:r>
          </w:p>
        </w:tc>
      </w:tr>
      <w:tr w:rsidR="00584917" w14:paraId="5B26F33E" w14:textId="77777777" w:rsidTr="00337226">
        <w:trPr>
          <w:trHeight w:val="20"/>
          <w:jc w:val="center"/>
        </w:trPr>
        <w:tc>
          <w:tcPr>
            <w:tcW w:w="1684" w:type="pct"/>
            <w:tcBorders>
              <w:left w:val="nil"/>
              <w:right w:val="nil"/>
            </w:tcBorders>
          </w:tcPr>
          <w:p w14:paraId="7E40E57C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The residents gender</w:t>
            </w:r>
          </w:p>
        </w:tc>
        <w:tc>
          <w:tcPr>
            <w:tcW w:w="552" w:type="pct"/>
            <w:tcBorders>
              <w:left w:val="nil"/>
              <w:right w:val="nil"/>
            </w:tcBorders>
          </w:tcPr>
          <w:p w14:paraId="1AB0C773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  <w:t>Gender</w:t>
            </w:r>
          </w:p>
        </w:tc>
        <w:tc>
          <w:tcPr>
            <w:tcW w:w="2763" w:type="pct"/>
            <w:tcBorders>
              <w:left w:val="nil"/>
              <w:right w:val="nil"/>
            </w:tcBorders>
          </w:tcPr>
          <w:p w14:paraId="0AE054EE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The value takes 1 if the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residents are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 male.</w:t>
            </w:r>
          </w:p>
        </w:tc>
      </w:tr>
      <w:tr w:rsidR="00584917" w14:paraId="611CB842" w14:textId="77777777" w:rsidTr="00337226">
        <w:trPr>
          <w:trHeight w:val="20"/>
          <w:jc w:val="center"/>
        </w:trPr>
        <w:tc>
          <w:tcPr>
            <w:tcW w:w="1684" w:type="pct"/>
            <w:tcBorders>
              <w:left w:val="nil"/>
              <w:right w:val="nil"/>
            </w:tcBorders>
          </w:tcPr>
          <w:p w14:paraId="004E87FD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jc w:val="left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The residents subjective happiness</w:t>
            </w:r>
          </w:p>
        </w:tc>
        <w:tc>
          <w:tcPr>
            <w:tcW w:w="552" w:type="pct"/>
            <w:tcBorders>
              <w:left w:val="nil"/>
              <w:right w:val="nil"/>
            </w:tcBorders>
          </w:tcPr>
          <w:p w14:paraId="5FC3AF0E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  <w:t>Happiness</w:t>
            </w:r>
          </w:p>
        </w:tc>
        <w:tc>
          <w:tcPr>
            <w:tcW w:w="2763" w:type="pct"/>
            <w:tcBorders>
              <w:left w:val="nil"/>
              <w:right w:val="nil"/>
            </w:tcBorders>
          </w:tcPr>
          <w:p w14:paraId="711F8420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The responses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include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c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omplete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ly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happy, r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elatively happy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 xml:space="preserve">, 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can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no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t say happy or unhappy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, r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elatively unhappy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 xml:space="preserve"> c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ompletely unhappy, with assigning values ranging from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5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 to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1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, respectively</w:t>
            </w:r>
          </w:p>
        </w:tc>
      </w:tr>
      <w:tr w:rsidR="00584917" w14:paraId="279EDEEA" w14:textId="77777777" w:rsidTr="00337226">
        <w:trPr>
          <w:trHeight w:val="20"/>
          <w:jc w:val="center"/>
        </w:trPr>
        <w:tc>
          <w:tcPr>
            <w:tcW w:w="1684" w:type="pct"/>
            <w:tcBorders>
              <w:left w:val="nil"/>
              <w:right w:val="nil"/>
            </w:tcBorders>
          </w:tcPr>
          <w:p w14:paraId="25D5A6E7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sz w:val="20"/>
                <w:szCs w:val="20"/>
              </w:rPr>
              <w:t>The awareness of the fairness to the society</w:t>
            </w:r>
          </w:p>
        </w:tc>
        <w:tc>
          <w:tcPr>
            <w:tcW w:w="552" w:type="pct"/>
            <w:tcBorders>
              <w:left w:val="nil"/>
              <w:right w:val="nil"/>
            </w:tcBorders>
          </w:tcPr>
          <w:p w14:paraId="1070A71D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  <w:t>Fariness</w:t>
            </w:r>
          </w:p>
        </w:tc>
        <w:tc>
          <w:tcPr>
            <w:tcW w:w="2763" w:type="pct"/>
            <w:tcBorders>
              <w:left w:val="nil"/>
              <w:right w:val="nil"/>
            </w:tcBorders>
          </w:tcPr>
          <w:p w14:paraId="4CC7CA0B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The responses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include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c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omplete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ly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fair, r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elatively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 xml:space="preserve">fair, 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can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not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 say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 xml:space="preserve">fair 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or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unfair, r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elatively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unfair c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ompletely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unfair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, with assigning values ranging from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5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 to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1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, respectively</w:t>
            </w:r>
          </w:p>
        </w:tc>
      </w:tr>
      <w:tr w:rsidR="00584917" w14:paraId="1926F905" w14:textId="77777777" w:rsidTr="00337226">
        <w:tblPrEx>
          <w:tblBorders>
            <w:bottom w:val="single" w:sz="6" w:space="0" w:color="auto"/>
          </w:tblBorders>
        </w:tblPrEx>
        <w:trPr>
          <w:trHeight w:val="20"/>
          <w:jc w:val="center"/>
        </w:trPr>
        <w:tc>
          <w:tcPr>
            <w:tcW w:w="1684" w:type="pct"/>
            <w:tcBorders>
              <w:top w:val="nil"/>
              <w:left w:val="nil"/>
              <w:bottom w:val="nil"/>
              <w:right w:val="nil"/>
            </w:tcBorders>
          </w:tcPr>
          <w:p w14:paraId="14DA8576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The residents education level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</w:tcPr>
          <w:p w14:paraId="1E3EBA2A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Italic" w:hAnsi="Times New Roman Italic" w:cs="Times New Roman Italic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Edu</w:t>
            </w:r>
          </w:p>
        </w:tc>
        <w:tc>
          <w:tcPr>
            <w:tcW w:w="2763" w:type="pct"/>
            <w:tcBorders>
              <w:top w:val="nil"/>
              <w:left w:val="nil"/>
              <w:bottom w:val="nil"/>
              <w:right w:val="nil"/>
            </w:tcBorders>
          </w:tcPr>
          <w:p w14:paraId="67789CDF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The responses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from illiteracy to graduate or above are coded from 1 to 1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3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 respectively</w:t>
            </w:r>
          </w:p>
        </w:tc>
      </w:tr>
      <w:tr w:rsidR="00584917" w14:paraId="1EC259E6" w14:textId="77777777" w:rsidTr="00337226">
        <w:tblPrEx>
          <w:tblBorders>
            <w:bottom w:val="single" w:sz="6" w:space="0" w:color="auto"/>
          </w:tblBorders>
        </w:tblPrEx>
        <w:trPr>
          <w:trHeight w:val="20"/>
          <w:jc w:val="center"/>
        </w:trPr>
        <w:tc>
          <w:tcPr>
            <w:tcW w:w="1684" w:type="pct"/>
            <w:tcBorders>
              <w:top w:val="nil"/>
              <w:left w:val="nil"/>
              <w:bottom w:val="nil"/>
              <w:right w:val="nil"/>
            </w:tcBorders>
          </w:tcPr>
          <w:p w14:paraId="072BFEC6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jc w:val="left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Whether the residents have participated in urban basic medical insurance / new rural cooperative medical insurance/ free medical care, or urban/rural basic endowment insurance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</w:tcPr>
          <w:p w14:paraId="3DD9B01F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Italic" w:hAnsi="Times New Roman Italic" w:cs="Times New Roman Italic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Insurance_Public</w:t>
            </w:r>
          </w:p>
        </w:tc>
        <w:tc>
          <w:tcPr>
            <w:tcW w:w="2763" w:type="pct"/>
            <w:tcBorders>
              <w:top w:val="nil"/>
              <w:left w:val="nil"/>
              <w:bottom w:val="nil"/>
              <w:right w:val="nil"/>
            </w:tcBorders>
          </w:tcPr>
          <w:p w14:paraId="634665F5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The value takes 1 if the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residents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participate in the public insurance.</w:t>
            </w:r>
          </w:p>
        </w:tc>
      </w:tr>
      <w:tr w:rsidR="00584917" w14:paraId="1C18057E" w14:textId="77777777" w:rsidTr="00337226">
        <w:tblPrEx>
          <w:tblBorders>
            <w:bottom w:val="single" w:sz="6" w:space="0" w:color="auto"/>
          </w:tblBorders>
        </w:tblPrEx>
        <w:trPr>
          <w:trHeight w:val="20"/>
          <w:jc w:val="center"/>
        </w:trPr>
        <w:tc>
          <w:tcPr>
            <w:tcW w:w="1684" w:type="pct"/>
            <w:tcBorders>
              <w:top w:val="nil"/>
              <w:left w:val="nil"/>
              <w:bottom w:val="nil"/>
              <w:right w:val="nil"/>
            </w:tcBorders>
          </w:tcPr>
          <w:p w14:paraId="20FF83A1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Whether the residents have participated in commercial medical insurance, commercial endowment insurance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</w:tcPr>
          <w:p w14:paraId="05697E60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  <w:t>Insurance_</w:t>
            </w:r>
            <w:r>
              <w:rPr>
                <w:rFonts w:ascii="Times New Roman Italic" w:hAnsi="Times New Roman Italic" w:cs="Times New Roman Italic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  <w:t>rivate</w:t>
            </w:r>
          </w:p>
        </w:tc>
        <w:tc>
          <w:tcPr>
            <w:tcW w:w="2763" w:type="pct"/>
            <w:tcBorders>
              <w:top w:val="nil"/>
              <w:left w:val="nil"/>
              <w:bottom w:val="nil"/>
              <w:right w:val="nil"/>
            </w:tcBorders>
          </w:tcPr>
          <w:p w14:paraId="3B21D5E8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The value takes 1 if the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residents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participate in the commercial insurance.</w:t>
            </w:r>
          </w:p>
        </w:tc>
      </w:tr>
      <w:tr w:rsidR="00584917" w14:paraId="4658925F" w14:textId="77777777" w:rsidTr="00337226">
        <w:tblPrEx>
          <w:tblBorders>
            <w:bottom w:val="single" w:sz="6" w:space="0" w:color="auto"/>
          </w:tblBorders>
        </w:tblPrEx>
        <w:trPr>
          <w:trHeight w:val="20"/>
          <w:jc w:val="center"/>
        </w:trPr>
        <w:tc>
          <w:tcPr>
            <w:tcW w:w="1684" w:type="pct"/>
            <w:tcBorders>
              <w:top w:val="nil"/>
              <w:left w:val="nil"/>
              <w:bottom w:val="nil"/>
              <w:right w:val="nil"/>
            </w:tcBorders>
          </w:tcPr>
          <w:p w14:paraId="60976EF0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The residents nationality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</w:tcPr>
          <w:p w14:paraId="2C87E7EC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  <w:t>Nationality</w:t>
            </w:r>
          </w:p>
        </w:tc>
        <w:tc>
          <w:tcPr>
            <w:tcW w:w="2763" w:type="pct"/>
            <w:tcBorders>
              <w:top w:val="nil"/>
              <w:left w:val="nil"/>
              <w:bottom w:val="nil"/>
              <w:right w:val="nil"/>
            </w:tcBorders>
          </w:tcPr>
          <w:p w14:paraId="74D91070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The value takes 1 if the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residents are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Han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.</w:t>
            </w:r>
          </w:p>
        </w:tc>
      </w:tr>
      <w:tr w:rsidR="00584917" w14:paraId="6203ABBC" w14:textId="77777777" w:rsidTr="00337226">
        <w:tblPrEx>
          <w:tblBorders>
            <w:bottom w:val="single" w:sz="6" w:space="0" w:color="auto"/>
          </w:tblBorders>
        </w:tblPrEx>
        <w:trPr>
          <w:trHeight w:val="20"/>
          <w:jc w:val="center"/>
        </w:trPr>
        <w:tc>
          <w:tcPr>
            <w:tcW w:w="1684" w:type="pct"/>
            <w:tcBorders>
              <w:top w:val="nil"/>
              <w:left w:val="nil"/>
              <w:bottom w:val="nil"/>
              <w:right w:val="nil"/>
            </w:tcBorders>
          </w:tcPr>
          <w:p w14:paraId="4EF41FC0" w14:textId="77777777" w:rsidR="00584917" w:rsidRDefault="00584917" w:rsidP="00337226">
            <w:pPr>
              <w:snapToGrid w:val="0"/>
              <w:jc w:val="left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The residents p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olitical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s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tatus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</w:tcPr>
          <w:p w14:paraId="0672EF68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color w:val="000000" w:themeColor="text1"/>
                <w:kern w:val="0"/>
                <w:sz w:val="20"/>
                <w:szCs w:val="20"/>
              </w:rPr>
              <w:t>Political Status</w:t>
            </w:r>
          </w:p>
        </w:tc>
        <w:tc>
          <w:tcPr>
            <w:tcW w:w="2763" w:type="pct"/>
            <w:tcBorders>
              <w:top w:val="nil"/>
              <w:left w:val="nil"/>
              <w:bottom w:val="nil"/>
              <w:right w:val="nil"/>
            </w:tcBorders>
          </w:tcPr>
          <w:p w14:paraId="0257166B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The value takes 1 if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 xml:space="preserve">the resident 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is a CPC member..</w:t>
            </w:r>
          </w:p>
        </w:tc>
      </w:tr>
      <w:tr w:rsidR="00584917" w14:paraId="26E62FD7" w14:textId="77777777" w:rsidTr="00337226">
        <w:tblPrEx>
          <w:tblBorders>
            <w:bottom w:val="single" w:sz="6" w:space="0" w:color="auto"/>
          </w:tblBorders>
        </w:tblPrEx>
        <w:trPr>
          <w:trHeight w:val="20"/>
          <w:jc w:val="center"/>
        </w:trPr>
        <w:tc>
          <w:tcPr>
            <w:tcW w:w="1684" w:type="pct"/>
            <w:tcBorders>
              <w:top w:val="nil"/>
              <w:left w:val="nil"/>
              <w:bottom w:val="nil"/>
              <w:right w:val="nil"/>
            </w:tcBorders>
          </w:tcPr>
          <w:p w14:paraId="41E0333A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The residents health conditions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</w:tcPr>
          <w:p w14:paraId="511A0013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  <w:t>Health</w:t>
            </w:r>
          </w:p>
        </w:tc>
        <w:tc>
          <w:tcPr>
            <w:tcW w:w="2763" w:type="pct"/>
            <w:tcBorders>
              <w:top w:val="nil"/>
              <w:left w:val="nil"/>
              <w:bottom w:val="nil"/>
              <w:right w:val="nil"/>
            </w:tcBorders>
          </w:tcPr>
          <w:p w14:paraId="6D81C818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The responses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include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c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omplete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ly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unhealthy, r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elatively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unhealthy, generally healthy, r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elatively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healthy c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ompletely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healthy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, with assigning values ranging from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5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 to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1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, respectively</w:t>
            </w:r>
          </w:p>
        </w:tc>
      </w:tr>
      <w:tr w:rsidR="00584917" w14:paraId="55FAC371" w14:textId="77777777" w:rsidTr="00337226">
        <w:tblPrEx>
          <w:tblBorders>
            <w:bottom w:val="single" w:sz="6" w:space="0" w:color="auto"/>
          </w:tblBorders>
        </w:tblPrEx>
        <w:trPr>
          <w:trHeight w:val="20"/>
          <w:jc w:val="center"/>
        </w:trPr>
        <w:tc>
          <w:tcPr>
            <w:tcW w:w="1684" w:type="pct"/>
            <w:tcBorders>
              <w:top w:val="nil"/>
              <w:left w:val="nil"/>
              <w:bottom w:val="nil"/>
              <w:right w:val="nil"/>
            </w:tcBorders>
          </w:tcPr>
          <w:p w14:paraId="67C60CF7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The residents age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</w:tcPr>
          <w:p w14:paraId="33EC52F9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Italic" w:hAnsi="Times New Roman Italic" w:cs="Times New Roman Italic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Age</w:t>
            </w:r>
          </w:p>
        </w:tc>
        <w:tc>
          <w:tcPr>
            <w:tcW w:w="2763" w:type="pct"/>
            <w:tcBorders>
              <w:top w:val="nil"/>
              <w:left w:val="nil"/>
              <w:bottom w:val="nil"/>
              <w:right w:val="nil"/>
            </w:tcBorders>
          </w:tcPr>
          <w:p w14:paraId="0C37DBDF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It equals 2012 minus the year of the birth</w:t>
            </w:r>
          </w:p>
        </w:tc>
      </w:tr>
      <w:tr w:rsidR="00584917" w14:paraId="69FFBBDD" w14:textId="77777777" w:rsidTr="00337226">
        <w:tblPrEx>
          <w:tblBorders>
            <w:bottom w:val="single" w:sz="6" w:space="0" w:color="auto"/>
          </w:tblBorders>
        </w:tblPrEx>
        <w:trPr>
          <w:trHeight w:val="20"/>
          <w:jc w:val="center"/>
        </w:trPr>
        <w:tc>
          <w:tcPr>
            <w:tcW w:w="1684" w:type="pct"/>
            <w:tcBorders>
              <w:top w:val="nil"/>
              <w:left w:val="nil"/>
              <w:bottom w:val="nil"/>
              <w:right w:val="nil"/>
            </w:tcBorders>
          </w:tcPr>
          <w:p w14:paraId="1028A031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The residents working conditions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</w:tcPr>
          <w:p w14:paraId="01963EFD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Italic" w:hAnsi="Times New Roman Italic" w:cs="Times New Roman Italic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Job</w:t>
            </w:r>
          </w:p>
        </w:tc>
        <w:tc>
          <w:tcPr>
            <w:tcW w:w="2763" w:type="pct"/>
            <w:tcBorders>
              <w:top w:val="nil"/>
              <w:left w:val="nil"/>
              <w:bottom w:val="nil"/>
              <w:right w:val="nil"/>
            </w:tcBorders>
          </w:tcPr>
          <w:p w14:paraId="7BFB1273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The value takes 1 if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 xml:space="preserve">the resident 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is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hired by a firm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>.</w:t>
            </w:r>
          </w:p>
        </w:tc>
      </w:tr>
      <w:tr w:rsidR="00584917" w14:paraId="54C39A07" w14:textId="77777777" w:rsidTr="00337226">
        <w:tblPrEx>
          <w:tblBorders>
            <w:bottom w:val="single" w:sz="6" w:space="0" w:color="auto"/>
          </w:tblBorders>
        </w:tblPrEx>
        <w:trPr>
          <w:trHeight w:val="20"/>
          <w:jc w:val="center"/>
        </w:trPr>
        <w:tc>
          <w:tcPr>
            <w:tcW w:w="168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D6FCDB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The residents marriage status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AF22CA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Italic" w:hAnsi="Times New Roman Italic" w:cs="Times New Roman Italic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Italic" w:hAnsi="Times New Roman Italic" w:cs="Times New Roman Italic" w:hint="eastAsia"/>
                <w:i/>
                <w:iCs/>
                <w:color w:val="000000" w:themeColor="text1"/>
                <w:kern w:val="0"/>
                <w:sz w:val="20"/>
                <w:szCs w:val="20"/>
              </w:rPr>
              <w:t>Marriage</w:t>
            </w:r>
          </w:p>
        </w:tc>
        <w:tc>
          <w:tcPr>
            <w:tcW w:w="276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D6994B" w14:textId="77777777" w:rsidR="00584917" w:rsidRDefault="00584917" w:rsidP="00337226">
            <w:pPr>
              <w:autoSpaceDE w:val="0"/>
              <w:autoSpaceDN w:val="0"/>
              <w:adjustRightInd w:val="0"/>
              <w:snapToGrid w:val="0"/>
              <w:contextualSpacing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20"/>
                <w:szCs w:val="20"/>
              </w:rPr>
              <w:t xml:space="preserve">The value takes 1 if </w:t>
            </w:r>
            <w:r>
              <w:rPr>
                <w:rFonts w:ascii="Times New Roman Regular" w:hAnsi="Times New Roman Regular" w:cs="Times New Roman Regular" w:hint="eastAsia"/>
                <w:color w:val="000000" w:themeColor="text1"/>
                <w:kern w:val="0"/>
                <w:sz w:val="20"/>
                <w:szCs w:val="20"/>
              </w:rPr>
              <w:t>the resident has a spouse at present or had a spouse ever.</w:t>
            </w:r>
          </w:p>
        </w:tc>
      </w:tr>
    </w:tbl>
    <w:p w14:paraId="6EF8D8D4" w14:textId="77777777" w:rsidR="00584917" w:rsidRDefault="00584917" w:rsidP="00584917">
      <w:pPr>
        <w:spacing w:line="360" w:lineRule="auto"/>
        <w:jc w:val="left"/>
        <w:rPr>
          <w:rFonts w:ascii="Times New Roman Bold" w:hAnsi="Times New Roman Bold" w:cs="Times New Roman Bold"/>
          <w:b/>
          <w:bCs/>
          <w:sz w:val="24"/>
        </w:rPr>
      </w:pPr>
    </w:p>
    <w:p w14:paraId="451ED433" w14:textId="77777777" w:rsidR="00207679" w:rsidRDefault="00207679"/>
    <w:sectPr w:rsidR="00207679" w:rsidSect="00584917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1" w:usb3="00000000" w:csb0="400001BF" w:csb1="DFF7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Times New Roman Italic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5E6BA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FA5D13E" wp14:editId="17592AB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A3387F" w14:textId="77777777" w:rsidR="00000000" w:rsidRDefault="00000000">
                          <w:pPr>
                            <w:pStyle w:val="Foo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A5D13E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BA3387F" w14:textId="77777777" w:rsidR="00000000" w:rsidRDefault="00000000">
                    <w:pPr>
                      <w:pStyle w:val="Footer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917"/>
    <w:rsid w:val="00207679"/>
    <w:rsid w:val="0058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FE603"/>
  <w15:chartTrackingRefBased/>
  <w15:docId w15:val="{08929C7B-7B26-4317-9B16-2693132E0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917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491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491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491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491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491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491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491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491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491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49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49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49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49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49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49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49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49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49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491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49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491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49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491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49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491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49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491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49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491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58491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584917"/>
    <w:rPr>
      <w:rFonts w:eastAsiaTheme="minorEastAsia"/>
      <w:sz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2161</Characters>
  <Application>Microsoft Office Word</Application>
  <DocSecurity>0</DocSecurity>
  <Lines>18</Lines>
  <Paragraphs>5</Paragraphs>
  <ScaleCrop>false</ScaleCrop>
  <Company>Springer Nature</Company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2024-05-31T11:54:00Z</dcterms:created>
  <dcterms:modified xsi:type="dcterms:W3CDTF">2024-05-31T11:54:00Z</dcterms:modified>
</cp:coreProperties>
</file>