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widowControl w:val="0"/>
        <w:spacing w:line="240" w:lineRule="auto"/>
        <w:ind w:left="384.00000000000006"/>
        <w:rPr>
          <w:rFonts w:ascii="Times New Roman" w:cs="Times New Roman" w:eastAsia="Times New Roman" w:hAnsi="Times New Roman"/>
        </w:rPr>
        <w:sectPr>
          <w:pgSz w:h="12240" w:w="15840" w:orient="landscape"/>
          <w:pgMar w:bottom="1440.0000000000002" w:top="1440.0000000000002" w:left="1440.0000000000002" w:right="1440.0000000000002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Appendix - Study Characteristics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Table 3: Included Study Characteristics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510.0" w:type="dxa"/>
        <w:jc w:val="left"/>
        <w:tblInd w:w="384.0000000000000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80"/>
        <w:gridCol w:w="5100"/>
        <w:gridCol w:w="675"/>
        <w:gridCol w:w="1365"/>
        <w:gridCol w:w="1605"/>
        <w:gridCol w:w="2385"/>
        <w:tblGridChange w:id="0">
          <w:tblGrid>
            <w:gridCol w:w="1380"/>
            <w:gridCol w:w="5100"/>
            <w:gridCol w:w="675"/>
            <w:gridCol w:w="1365"/>
            <w:gridCol w:w="1605"/>
            <w:gridCol w:w="23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Author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Title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Year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Country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Study Design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Journal / Source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Ardern et al. [</w:t>
            </w: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12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BAck in the Game (BANG) - A smartphone application to help athletes return to sport following anterior cruciate ligament reconstruction: Protocol for a multi-centre, randomised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Kingdom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Randomised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BMC Musculoskeletal Disorders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Cascio et al. [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13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Return to play after anterior cruciate ligament reconstruction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Clinics in Sports Medicine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deMille et al. [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14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Performance: Bridging the Gap After ACL Surgery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Current Reviews in Musculoskeletal Medicine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Elabd et al. [</w:t>
            </w: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15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Functional outcomes of a criterion-based rehabilitation protocol for anterior cruciate ligament reconstruction in amateur athletes: A randomised clinical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Kingdom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Randomised Clinical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Journal of Bodywork and Movement Therapies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Ellman et al. [</w:t>
            </w: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16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Return to play following anterior cruciate ligament reconstruction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Journal of the American Academy of Orthopaedic Surgeons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Goodstadt et al. [</w:t>
            </w: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17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Functional testing to determine readiness to discontinue brace use, one year after acl reconstruction.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Cross-sectional Study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 Journal of Sports Physical Therapy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Joreitz et al. [</w:t>
            </w: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18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Patient-Specific and Surgery-Specific factors that affect Return to Sport after ACL Reconstruction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 Journal of Sports Physical Therapy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Karavatas et al. [</w:t>
            </w: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19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Current criteria for return to play after anterior cruciate ligament reconstruction: An evidence-based 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Hong Kong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Annals of Translational Medicine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Kyritsis et al. [</w:t>
            </w: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20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Return to the Field for Football (Soccer) After Anterior Cruciate Ligament Reconstruction: Guidelines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Qatar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Book Chapter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Springer-Verlag Berlin Heidelberg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Malempati et al. [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21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Current rehabilitation concepts for anterior cruciate ligament surgery in athletes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Clinical Commentary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Orthopedics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Nyland et al. [</w:t>
            </w: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22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Return to Play Decision-Making Following Anterior Cruciate Ligament Reconstruction: Multi-Factor Considerations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Springer-Verlag Berlin Heidelberg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Panariello et al. [</w:t>
            </w:r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23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Rehabilitation and Return to Play Following Anterior Cruciate Ligament Reconstruction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Commentary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Operative Techniques in Sports Medicine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Ptasinski et al. [</w:t>
            </w: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24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Returning Athletes to Sports Following Anterior Cruciate Ligament Tears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Current Reviews in Musculoskeletal Medicine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Tilton et al. 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[</w:t>
            </w:r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25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Criteria for Return to Play After Anterior Cruciate Ligament Reconstruction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Book Chapter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Elsevier ClinicalKey Books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Waters et al. [</w:t>
            </w:r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rtl w:val="0"/>
                </w:rPr>
                <w:t xml:space="preserve">26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Suggestions from the field for return to sports participation following anterior cruciate ligament reconstruction: Basketball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United States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Literature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Journal of Orthopaedic and Sports Physical Therapy</w:t>
            </w:r>
          </w:p>
        </w:tc>
      </w:tr>
    </w:tbl>
    <w:p w:rsidR="00000000" w:rsidDel="00000000" w:rsidP="00000000" w:rsidRDefault="00000000" w:rsidRPr="00000000" w14:paraId="00000067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spacing w:line="240" w:lineRule="auto"/>
        <w:rPr>
          <w:rFonts w:ascii="Times New Roman" w:cs="Times New Roman" w:eastAsia="Times New Roman" w:hAnsi="Times New Roman"/>
        </w:rPr>
        <w:sectPr>
          <w:type w:val="nextPage"/>
          <w:pgSz w:h="12240" w:w="15840" w:orient="landscape"/>
          <w:pgMar w:bottom="1440.0000000000002" w:top="1440.0000000000002" w:left="1440.0000000000002" w:right="1440.0000000000002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widowControl w:val="0"/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sectPr>
      <w:type w:val="continuous"/>
      <w:pgSz w:h="12240" w:w="15840" w:orient="landscape"/>
      <w:pgMar w:bottom="1440.0000000000002" w:top="1440.0000000000002" w:left="1440.0000000000002" w:right="1440.0000000000002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30" TargetMode="External"/><Relationship Id="rId11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1" TargetMode="External"/><Relationship Id="rId10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0" TargetMode="External"/><Relationship Id="rId13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3" TargetMode="External"/><Relationship Id="rId12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2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19" TargetMode="External"/><Relationship Id="rId15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5" TargetMode="External"/><Relationship Id="rId14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4" TargetMode="External"/><Relationship Id="rId17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7" TargetMode="External"/><Relationship Id="rId16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6" TargetMode="External"/><Relationship Id="rId5" Type="http://schemas.openxmlformats.org/officeDocument/2006/relationships/styles" Target="styles.xml"/><Relationship Id="rId19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9" TargetMode="External"/><Relationship Id="rId6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16" TargetMode="External"/><Relationship Id="rId18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28" TargetMode="External"/><Relationship Id="rId7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17" TargetMode="External"/><Relationship Id="rId8" Type="http://schemas.openxmlformats.org/officeDocument/2006/relationships/hyperlink" Target="https://outlook.office.com/owa/wopi/files/3493bff0-1afc-4d0d-a81c-e30f1e2609d3@mcmaster.ca/AAMkADM0OTNiZmYwLTFhZmMtNGQwZC1hODFjLWUzMGYxZTI2MDlkMwBGAAAAAAA7.mE5ieGpQLIK8X4-gOpiBwBtCKGkQs11QYY9E9T9QYBfAAAAAAEMAABtCKGkQs11QYY9E9T9QYBfAAULO.xuAAABEgAQAIcd6XZ6JUJEkq2Hrtm1tMI=_TaE3Ecdx3AgBAQAAAAA=/WOPIServiceId_FP_EXCHANGE_ORGID/WOPIUserId_22178aa4-f1c8-456f-8406-4c05e6ee6e1d/VarunJain_Examining%20RTP%20protocols%20using%20the%20ICF_PR.docx#_bookmark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