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C61" w14:textId="77777777" w:rsidR="006626BE" w:rsidRPr="001A6561" w:rsidRDefault="006626BE" w:rsidP="006626BE">
      <w:pPr>
        <w:widowControl/>
        <w:spacing w:line="360" w:lineRule="auto"/>
        <w:contextualSpacing/>
        <w:jc w:val="both"/>
        <w:rPr>
          <w:rFonts w:eastAsiaTheme="minorHAnsi" w:cs="Times New Roman"/>
          <w:color w:val="000000" w:themeColor="text1"/>
          <w:sz w:val="24"/>
          <w:szCs w:val="24"/>
        </w:rPr>
      </w:pPr>
      <w:r w:rsidRPr="006626BE">
        <w:rPr>
          <w:rFonts w:eastAsiaTheme="minorHAnsi" w:cs="Times New Roman" w:hint="eastAsia"/>
          <w:b/>
          <w:bCs/>
          <w:color w:val="000000" w:themeColor="text1"/>
          <w:sz w:val="24"/>
          <w:szCs w:val="24"/>
        </w:rPr>
        <w:t>Supplementary T</w:t>
      </w:r>
      <w:r w:rsidRPr="006626BE">
        <w:rPr>
          <w:rFonts w:eastAsiaTheme="minorHAnsi" w:cs="Times New Roman"/>
          <w:b/>
          <w:bCs/>
          <w:color w:val="000000" w:themeColor="text1"/>
          <w:sz w:val="24"/>
          <w:szCs w:val="24"/>
        </w:rPr>
        <w:t xml:space="preserve">able 1 </w:t>
      </w:r>
      <w:r w:rsidRPr="001A6561">
        <w:rPr>
          <w:rFonts w:eastAsiaTheme="minorHAnsi" w:cs="Times New Roman"/>
          <w:color w:val="000000" w:themeColor="text1"/>
          <w:sz w:val="24"/>
          <w:szCs w:val="24"/>
        </w:rPr>
        <w:t>The clinical characteristics and the concomitant drugs at baseline in unadjusted model and in the PS matching model in the CCA set that included 165 patients in each group (SGLT2i-preceding and GLP1Ra-preceding group)</w:t>
      </w:r>
    </w:p>
    <w:p w14:paraId="178E8471" w14:textId="77777777" w:rsidR="006626BE" w:rsidRPr="001A6561" w:rsidRDefault="006626BE" w:rsidP="006626BE">
      <w:pPr>
        <w:widowControl/>
        <w:spacing w:line="360" w:lineRule="auto"/>
        <w:contextualSpacing/>
        <w:jc w:val="both"/>
        <w:rPr>
          <w:rFonts w:eastAsiaTheme="minorHAnsi" w:cs="Times New Roman"/>
          <w:color w:val="000000" w:themeColor="text1"/>
          <w:sz w:val="24"/>
          <w:szCs w:val="24"/>
        </w:rPr>
      </w:pPr>
    </w:p>
    <w:tbl>
      <w:tblPr>
        <w:tblW w:w="10348" w:type="dxa"/>
        <w:tblInd w:w="-56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1418"/>
        <w:gridCol w:w="1417"/>
        <w:gridCol w:w="851"/>
        <w:gridCol w:w="1417"/>
        <w:gridCol w:w="1418"/>
        <w:gridCol w:w="1559"/>
      </w:tblGrid>
      <w:tr w:rsidR="006626BE" w:rsidRPr="006626BE" w14:paraId="0847FDCF" w14:textId="77777777" w:rsidTr="006626BE">
        <w:trPr>
          <w:trHeight w:val="26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B964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1EB1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Unadjusted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52A3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0B3A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PS-matching</w:t>
            </w:r>
          </w:p>
        </w:tc>
      </w:tr>
      <w:tr w:rsidR="006626BE" w:rsidRPr="006626BE" w14:paraId="0D9849C2" w14:textId="77777777" w:rsidTr="006626BE">
        <w:trPr>
          <w:trHeight w:val="415"/>
        </w:trPr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0AB4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72AF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GLP1Ra-preceded group, N=296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828B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SGLT2i-preceded group, N=234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EA5E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0972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GLP1Ra-preceded group, N=165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4223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SGLT2i-preceded group, N=165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075E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Standardized difference</w:t>
            </w:r>
          </w:p>
        </w:tc>
      </w:tr>
      <w:tr w:rsidR="006626BE" w:rsidRPr="006626BE" w14:paraId="0E3A41E3" w14:textId="77777777" w:rsidTr="006626BE">
        <w:trPr>
          <w:trHeight w:val="169"/>
        </w:trPr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2505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Age (year-old)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13B0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55.8±13.7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1529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56.6±12.7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9E0F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0.50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83E7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57.2±14.3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15A2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57.9±13.3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5CA53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0.05</w:t>
            </w:r>
          </w:p>
        </w:tc>
      </w:tr>
      <w:tr w:rsidR="006626BE" w:rsidRPr="006626BE" w14:paraId="033E2EF8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E695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Sex (female (%))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B500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126 (46%)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AAD8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108 (43%)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F233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6469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69 (42%)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F4B2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78 (47%)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2DC6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0.11</w:t>
            </w:r>
          </w:p>
        </w:tc>
      </w:tr>
      <w:tr w:rsidR="006626BE" w:rsidRPr="006626BE" w14:paraId="44A322B9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C818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The history of DM &gt;10 years (%)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158E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232 (84%)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B9BD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190 (75%)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6C8E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6522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133 (81%)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BB01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131 (79%)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016A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6626BE" w:rsidRPr="006626BE" w14:paraId="2516DD3D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7E37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BW (kg)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DC79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79.4±19.8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E954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79.9±18.2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7222E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0FA4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80.0±18.6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DC51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78.5±18.2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EDAA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0.08</w:t>
            </w:r>
          </w:p>
        </w:tc>
      </w:tr>
      <w:tr w:rsidR="006626BE" w:rsidRPr="006626BE" w14:paraId="76D3EA1D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229D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BMI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C6EF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29.7±5.9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A647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29.7±5.7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D9F9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06D0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29.8±5.4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455A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29.5±5.6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7B26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0.06</w:t>
            </w:r>
          </w:p>
        </w:tc>
      </w:tr>
      <w:tr w:rsidR="006626BE" w:rsidRPr="006626BE" w14:paraId="7242ED98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94C6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SBP (mmHg)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5CF0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132.6±18.1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4532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136.0±18.3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6D28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8BE8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134.9±18.9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1D6D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135.1±19.2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C173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6626BE" w:rsidRPr="006626BE" w14:paraId="1D499309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1D9F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DBP (mmHg)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42C1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76.8±12.0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CCAF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78.7±13.3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2762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BF15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77.7±12.2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6666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77.7±13.8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3686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6626BE" w:rsidRPr="006626BE" w14:paraId="5205E8A4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A82A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MAP (mmHg)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33E5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95.4±12.5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AC11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97.8±13.4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E0EA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6110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96.7±12.7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9633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96.8±14.0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FE4B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6626BE" w:rsidRPr="006626BE" w14:paraId="240A4502" w14:textId="77777777" w:rsidTr="006626BE">
        <w:trPr>
          <w:trHeight w:val="29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AC33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HbA</w:t>
            </w: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  <w:vertAlign w:val="subscript"/>
              </w:rPr>
              <w:t xml:space="preserve">1c </w:t>
            </w: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(mmol/mol (%))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F83B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72.6±18.0</w:t>
            </w:r>
          </w:p>
          <w:p w14:paraId="33CE18C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(8.8±1.6)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9040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70.5±17.6</w:t>
            </w:r>
          </w:p>
          <w:p w14:paraId="7D3B43F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(8.6±1.6)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A93D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6CC4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71.8±17.6</w:t>
            </w:r>
          </w:p>
          <w:p w14:paraId="26071DC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(8.7±1.6)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E234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72.5±18.6</w:t>
            </w:r>
          </w:p>
          <w:p w14:paraId="0B6D09C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(8.8±1.7)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DEC9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0.04</w:t>
            </w:r>
          </w:p>
        </w:tc>
      </w:tr>
      <w:tr w:rsidR="006626BE" w:rsidRPr="006626BE" w14:paraId="0DA763C1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623C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eGFR (mL/min/1.73m</w:t>
            </w: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7A97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79.4±29.9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E079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78.2±25.7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5E3E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4E9A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77.6±28.8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4E2F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76.3±25.9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3282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0.05</w:t>
            </w:r>
          </w:p>
        </w:tc>
      </w:tr>
      <w:tr w:rsidR="006626BE" w:rsidRPr="006626BE" w14:paraId="574A467A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A922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AST(IU/mL)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6582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29.1±17.4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0DCE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29.5±20.2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6A89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E5E3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28.4±16.7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0D75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27.2±15.1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123E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0.08</w:t>
            </w:r>
          </w:p>
        </w:tc>
      </w:tr>
      <w:tr w:rsidR="006626BE" w:rsidRPr="006626BE" w14:paraId="0196775F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EAB0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ALT(IU/mL)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5382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37.4±29.2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780C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36.9±29.8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58D3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684B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36.3±28.2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E3A3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35.5±29.9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D4D9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6626BE" w:rsidRPr="006626BE" w14:paraId="35F98EEF" w14:textId="77777777" w:rsidTr="006626BE">
        <w:trPr>
          <w:trHeight w:val="1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E1F0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Platelet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8124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24.6±7.2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1F38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24.5±7.5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7A84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EDCD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24.6±7.0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A2CE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24.9±7.9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9276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0.04</w:t>
            </w:r>
          </w:p>
        </w:tc>
      </w:tr>
      <w:tr w:rsidR="006626BE" w:rsidRPr="006626BE" w14:paraId="6F35E5E2" w14:textId="77777777" w:rsidTr="006626BE">
        <w:trPr>
          <w:trHeight w:val="1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D2BA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Fib-4 index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1AFA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1.25±0.76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C02F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1.29±0.80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A962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EF02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1.26±0.67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07C9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1.24±0.68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84D9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6626BE" w:rsidRPr="006626BE" w14:paraId="314241AB" w14:textId="77777777" w:rsidTr="006626BE">
        <w:trPr>
          <w:trHeight w:val="28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1003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Duration of the preceding treatment (month)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32F2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31.2±22.4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4C2D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23.6±14.2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36A2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C2EE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24.6±17.6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08B3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24.6±14.5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8BC0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6626BE" w:rsidRPr="006626BE" w14:paraId="6BD51698" w14:textId="77777777" w:rsidTr="006626BE">
        <w:trPr>
          <w:trHeight w:val="28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E10E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Duration of the combination treatment (month)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AD78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39.2±18.7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AB0E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28.7±3.6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07DF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DE2A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32.4±14.7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CB37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31.9±14.1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E198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0.04</w:t>
            </w:r>
          </w:p>
        </w:tc>
      </w:tr>
      <w:tr w:rsidR="006626BE" w:rsidRPr="006626BE" w14:paraId="3B69D656" w14:textId="77777777" w:rsidTr="006626BE">
        <w:trPr>
          <w:trHeight w:val="1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0AFE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Total duration of the study (month)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9970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70.4±6.3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3940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52.4±5.7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38C8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27CF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57.0±19.5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107D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56.6±15.1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6A37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0.02</w:t>
            </w:r>
          </w:p>
        </w:tc>
      </w:tr>
      <w:tr w:rsidR="006626BE" w:rsidRPr="006626BE" w14:paraId="571D747A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06D5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Concomitant medications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09DF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8FF5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9B5E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B4496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705F7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A2AE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</w:p>
        </w:tc>
      </w:tr>
      <w:tr w:rsidR="006626BE" w:rsidRPr="006626BE" w14:paraId="2E96379F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A56D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Sulphonyl urea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367B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95 (34%)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F25A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76 (30%)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57F9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DB07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45 (29%)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74D1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54 (33%)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594B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0.12</w:t>
            </w:r>
          </w:p>
        </w:tc>
      </w:tr>
      <w:tr w:rsidR="006626BE" w:rsidRPr="006626BE" w14:paraId="6583C6CA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0A93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Metformin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7EC9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139 (50%)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BEEE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154 (61%)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9584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D854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93 (56%)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DA4B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92 (56%)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4F0B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6626BE" w:rsidRPr="006626BE" w14:paraId="77CB70DC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E2E9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Insulin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D3BD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115 (42%)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D14F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109 (43%)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A6FF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5686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73 (44%)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45C2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75 (46%)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FA78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0.02</w:t>
            </w:r>
          </w:p>
        </w:tc>
      </w:tr>
      <w:tr w:rsidR="006626BE" w:rsidRPr="006626BE" w14:paraId="794ADABD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5A16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Pioglitazone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CF10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28 (10%)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6D3B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47 (19%)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4BBD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809D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25 (15%)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D6C6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28 (17%)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5286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0.05</w:t>
            </w:r>
          </w:p>
        </w:tc>
      </w:tr>
      <w:tr w:rsidR="006626BE" w:rsidRPr="006626BE" w14:paraId="5359CC13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68C2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αGI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AB76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31 (11%)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B26C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46 (18%)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BDF9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D4CE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23 (14%)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C9B8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30 (18%)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760C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0.12</w:t>
            </w:r>
          </w:p>
        </w:tc>
      </w:tr>
      <w:tr w:rsidR="006626BE" w:rsidRPr="006626BE" w14:paraId="424A8A89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6DDC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Glinide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7E6B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12 (4%)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A4A1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14 (6%)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8AE1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AA2F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11 (7%)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B6B1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11 (7%)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877D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</w:t>
            </w:r>
          </w:p>
        </w:tc>
      </w:tr>
      <w:tr w:rsidR="006626BE" w:rsidRPr="006626BE" w14:paraId="255EE52D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1874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RAS inhibitor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FA30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141 (51%)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D530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137 (54%)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607B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37DE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91 (55%)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0FE9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85 (52%)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50A7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0.07</w:t>
            </w:r>
          </w:p>
        </w:tc>
      </w:tr>
      <w:tr w:rsidR="006626BE" w:rsidRPr="006626BE" w14:paraId="792900CB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AAB8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CCB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2BB5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107 (39%)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926D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97 (38%)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4993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7B8C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67 (41%)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7F77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68 (41%)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E70C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6626BE" w:rsidRPr="006626BE" w14:paraId="442499AC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053A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  <w:lang w:val="el-GR"/>
              </w:rPr>
              <w:t>Β</w:t>
            </w: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 xml:space="preserve"> blocker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6DBD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44 (16%)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D296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38 (15%)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9AA1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ECFC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24 (15%)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5F19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22 (13%)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10D3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0.04</w:t>
            </w:r>
          </w:p>
        </w:tc>
      </w:tr>
      <w:tr w:rsidR="006626BE" w:rsidRPr="006626BE" w14:paraId="20604A4B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8393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MRB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7FC1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12 (4%)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F345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11 (4%)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868C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7FBA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 (5%)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DDDF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 (5%)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9B56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</w:t>
            </w:r>
          </w:p>
        </w:tc>
      </w:tr>
      <w:tr w:rsidR="006626BE" w:rsidRPr="006626BE" w14:paraId="68F821E5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EE2F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Thiazide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698D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25 (9%)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1576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 (4%)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2DD3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D55C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 (4%)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19CF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9 (6%)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FCDD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0.06</w:t>
            </w:r>
          </w:p>
        </w:tc>
      </w:tr>
      <w:tr w:rsidR="006626BE" w:rsidRPr="006626BE" w14:paraId="220582FD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92CF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Loop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F440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19 (7%)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22FF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12 (5%)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5F12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0BB9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7 (4%)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9243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 (5%)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FFB3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0.03</w:t>
            </w:r>
          </w:p>
        </w:tc>
      </w:tr>
      <w:tr w:rsidR="006626BE" w:rsidRPr="006626BE" w14:paraId="3F844E3A" w14:textId="77777777" w:rsidTr="006626BE">
        <w:trPr>
          <w:trHeight w:val="16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EF01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both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Statin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E57F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135 (49%)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1408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131 (52%)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52B7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09B4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86 (52%)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24EC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84 (51%)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533E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6"/>
                <w:szCs w:val="16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6"/>
                <w:szCs w:val="16"/>
              </w:rPr>
              <w:t>0.02</w:t>
            </w:r>
          </w:p>
        </w:tc>
      </w:tr>
    </w:tbl>
    <w:p w14:paraId="51B9DAD7" w14:textId="77777777" w:rsidR="006626BE" w:rsidRPr="001A6561" w:rsidRDefault="006626BE" w:rsidP="006626BE">
      <w:pPr>
        <w:widowControl/>
        <w:spacing w:line="360" w:lineRule="auto"/>
        <w:contextualSpacing/>
        <w:jc w:val="both"/>
        <w:rPr>
          <w:rFonts w:eastAsiaTheme="minorHAnsi" w:cs="Times New Roman"/>
          <w:color w:val="000000" w:themeColor="text1"/>
          <w:sz w:val="24"/>
          <w:szCs w:val="24"/>
        </w:rPr>
      </w:pPr>
    </w:p>
    <w:p w14:paraId="620D46CA" w14:textId="77777777" w:rsidR="006626BE" w:rsidRPr="001A6561" w:rsidRDefault="006626BE" w:rsidP="006626BE">
      <w:pPr>
        <w:spacing w:line="240" w:lineRule="auto"/>
        <w:rPr>
          <w:rFonts w:eastAsiaTheme="minorHAnsi" w:cs="Times New Roman"/>
          <w:color w:val="000000" w:themeColor="text1"/>
          <w:sz w:val="24"/>
          <w:szCs w:val="24"/>
        </w:rPr>
      </w:pPr>
      <w:r w:rsidRPr="001A6561">
        <w:rPr>
          <w:rFonts w:eastAsiaTheme="minorHAnsi" w:cs="Times New Roman"/>
          <w:color w:val="000000" w:themeColor="text1"/>
          <w:sz w:val="24"/>
          <w:szCs w:val="24"/>
        </w:rPr>
        <w:t xml:space="preserve">Values are </w:t>
      </w:r>
      <w:proofErr w:type="spellStart"/>
      <w:r w:rsidRPr="001A6561">
        <w:rPr>
          <w:rFonts w:eastAsiaTheme="minorHAnsi" w:cs="Times New Roman"/>
          <w:color w:val="000000" w:themeColor="text1"/>
          <w:sz w:val="24"/>
          <w:szCs w:val="24"/>
        </w:rPr>
        <w:t>mean±SD</w:t>
      </w:r>
      <w:proofErr w:type="spellEnd"/>
      <w:r w:rsidRPr="001A6561">
        <w:rPr>
          <w:rFonts w:eastAsiaTheme="minorHAnsi" w:cs="Times New Roman"/>
          <w:color w:val="000000" w:themeColor="text1"/>
          <w:sz w:val="24"/>
          <w:szCs w:val="24"/>
        </w:rPr>
        <w:t xml:space="preserve"> or n/total n (%). P values by unpaired t-test or *chi-square test </w:t>
      </w:r>
    </w:p>
    <w:p w14:paraId="3261A7AC" w14:textId="77777777" w:rsidR="006626BE" w:rsidRPr="001A6561" w:rsidRDefault="006626BE" w:rsidP="006626BE">
      <w:pPr>
        <w:widowControl/>
        <w:spacing w:line="240" w:lineRule="auto"/>
        <w:rPr>
          <w:rFonts w:cs="Times New Roman"/>
          <w:color w:val="000000" w:themeColor="text1"/>
          <w:sz w:val="24"/>
          <w:szCs w:val="24"/>
        </w:rPr>
      </w:pPr>
      <w:r w:rsidRPr="001A6561">
        <w:rPr>
          <w:rFonts w:ascii="Segoe UI Symbol" w:eastAsiaTheme="minorHAnsi" w:hAnsi="Segoe UI Symbol" w:cs="Segoe UI Symbol"/>
          <w:color w:val="000000" w:themeColor="text1"/>
          <w:sz w:val="24"/>
          <w:szCs w:val="24"/>
        </w:rPr>
        <w:t>☨</w:t>
      </w:r>
      <w:r w:rsidRPr="001A6561">
        <w:rPr>
          <w:rFonts w:cs="Times New Roman"/>
          <w:color w:val="000000" w:themeColor="text1"/>
          <w:sz w:val="24"/>
          <w:szCs w:val="24"/>
        </w:rPr>
        <w:t>Calculated number of subjects after weighting</w:t>
      </w:r>
    </w:p>
    <w:p w14:paraId="269F1D4B" w14:textId="58ED92D4" w:rsidR="006626BE" w:rsidRPr="006626BE" w:rsidRDefault="006626BE" w:rsidP="006626BE">
      <w:pPr>
        <w:spacing w:line="240" w:lineRule="auto"/>
        <w:rPr>
          <w:rFonts w:eastAsiaTheme="minorHAnsi" w:cs="Times New Roman" w:hint="eastAsia"/>
          <w:color w:val="000000" w:themeColor="text1"/>
          <w:spacing w:val="-2"/>
          <w:position w:val="-2"/>
          <w:sz w:val="24"/>
          <w:szCs w:val="24"/>
        </w:rPr>
      </w:pPr>
      <w:r w:rsidRPr="001A6561">
        <w:rPr>
          <w:rFonts w:eastAsiaTheme="minorHAnsi" w:cs="Times New Roman"/>
          <w:color w:val="000000" w:themeColor="text1"/>
          <w:spacing w:val="-2"/>
          <w:position w:val="-2"/>
          <w:sz w:val="24"/>
          <w:szCs w:val="24"/>
        </w:rPr>
        <w:t xml:space="preserve">Abbreviation; αGI, alpha glucosidase inhibitor; ATE, </w:t>
      </w:r>
      <w:r w:rsidRPr="001A6561">
        <w:rPr>
          <w:rFonts w:cs="Times New Roman"/>
          <w:color w:val="000000" w:themeColor="text1"/>
          <w:sz w:val="24"/>
          <w:szCs w:val="24"/>
        </w:rPr>
        <w:t>average treatment effect;</w:t>
      </w:r>
      <w:r w:rsidRPr="001A6561">
        <w:rPr>
          <w:rFonts w:eastAsiaTheme="minorHAnsi" w:cs="Times New Roman"/>
          <w:color w:val="000000" w:themeColor="text1"/>
          <w:spacing w:val="-2"/>
          <w:position w:val="-2"/>
          <w:sz w:val="24"/>
          <w:szCs w:val="24"/>
        </w:rPr>
        <w:t xml:space="preserve"> BMI, body mass index; BW, body weight; DBP, diastolic blood pressure; CCB, calcium channel blocker; DM, diabetes mellitus; eGFR, estimated glomerular filtration; FAS, full analysis set; GLP1Ra, glucagon-like peptide 1 receptor agonist; HbA1c, glycated hemoglobin A1c; IPW, inverse provability weighting; LNACR, </w:t>
      </w:r>
      <w:bookmarkStart w:id="0" w:name="_Hlk31243812"/>
      <w:r w:rsidRPr="001A6561">
        <w:rPr>
          <w:rFonts w:eastAsiaTheme="minorHAnsi" w:cs="Times New Roman"/>
          <w:color w:val="000000" w:themeColor="text1"/>
          <w:spacing w:val="-2"/>
          <w:position w:val="-2"/>
          <w:sz w:val="24"/>
          <w:szCs w:val="24"/>
        </w:rPr>
        <w:t>logarithmic value of urine albumin-to- creatinine ratio</w:t>
      </w:r>
      <w:bookmarkEnd w:id="0"/>
      <w:r w:rsidRPr="001A6561">
        <w:rPr>
          <w:rFonts w:eastAsiaTheme="minorHAnsi" w:cs="Times New Roman"/>
          <w:color w:val="000000" w:themeColor="text1"/>
          <w:spacing w:val="-2"/>
          <w:position w:val="-2"/>
          <w:sz w:val="24"/>
          <w:szCs w:val="24"/>
        </w:rPr>
        <w:t>; MAP, mean arterial pressure; MI, multiple imputation; MRB, mineral corticoid receptor blocker; PS, propensity score; RAS, renin-angiotensin system inhibitor; SBP, systolic blood pressure; SGLT2i, sodium-glucose co-transporter inhibitor</w:t>
      </w:r>
      <w:bookmarkStart w:id="1" w:name="_Hlk141579196"/>
    </w:p>
    <w:p w14:paraId="41338290" w14:textId="77777777" w:rsidR="006626BE" w:rsidRPr="001A6561" w:rsidRDefault="006626BE" w:rsidP="006626BE">
      <w:pPr>
        <w:widowControl/>
        <w:spacing w:line="360" w:lineRule="auto"/>
        <w:contextualSpacing/>
        <w:jc w:val="both"/>
        <w:rPr>
          <w:rFonts w:eastAsiaTheme="minorHAnsi" w:cs="Times New Roman"/>
          <w:color w:val="000000" w:themeColor="text1"/>
          <w:sz w:val="24"/>
          <w:szCs w:val="24"/>
        </w:rPr>
      </w:pPr>
      <w:r w:rsidRPr="006626BE">
        <w:rPr>
          <w:rFonts w:eastAsiaTheme="minorHAnsi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</w:t>
      </w:r>
      <w:r w:rsidRPr="006626BE">
        <w:rPr>
          <w:rFonts w:eastAsiaTheme="minorHAnsi" w:cs="Times New Roman" w:hint="eastAsia"/>
          <w:b/>
          <w:bCs/>
          <w:color w:val="000000" w:themeColor="text1"/>
          <w:sz w:val="24"/>
          <w:szCs w:val="24"/>
        </w:rPr>
        <w:t>T</w:t>
      </w:r>
      <w:r w:rsidRPr="006626BE">
        <w:rPr>
          <w:rFonts w:eastAsiaTheme="minorHAnsi" w:cs="Times New Roman"/>
          <w:b/>
          <w:bCs/>
          <w:color w:val="000000" w:themeColor="text1"/>
          <w:sz w:val="24"/>
          <w:szCs w:val="24"/>
        </w:rPr>
        <w:t>able 2</w:t>
      </w:r>
      <w:r w:rsidRPr="001A6561">
        <w:rPr>
          <w:rFonts w:eastAsiaTheme="minorHAnsi" w:cs="Times New Roman"/>
          <w:color w:val="000000" w:themeColor="text1"/>
          <w:sz w:val="24"/>
          <w:szCs w:val="24"/>
        </w:rPr>
        <w:t xml:space="preserve"> Changed in the liver functions in the PS matching model in the CCA set</w:t>
      </w:r>
    </w:p>
    <w:bookmarkEnd w:id="1"/>
    <w:tbl>
      <w:tblPr>
        <w:tblW w:w="10214" w:type="dxa"/>
        <w:tblInd w:w="-100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8"/>
        <w:gridCol w:w="1017"/>
        <w:gridCol w:w="1017"/>
        <w:gridCol w:w="1128"/>
        <w:gridCol w:w="1017"/>
        <w:gridCol w:w="1017"/>
        <w:gridCol w:w="1128"/>
        <w:gridCol w:w="1017"/>
        <w:gridCol w:w="1017"/>
        <w:gridCol w:w="1128"/>
      </w:tblGrid>
      <w:tr w:rsidR="006626BE" w:rsidRPr="006626BE" w14:paraId="098EC221" w14:textId="77777777" w:rsidTr="006626BE">
        <w:trPr>
          <w:trHeight w:val="105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24B09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080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98833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FIB-4 index</w:t>
            </w:r>
          </w:p>
        </w:tc>
        <w:tc>
          <w:tcPr>
            <w:tcW w:w="3081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EF1C3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AST</w:t>
            </w:r>
          </w:p>
        </w:tc>
        <w:tc>
          <w:tcPr>
            <w:tcW w:w="3081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1A432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 w:hint="eastAsia"/>
                <w:color w:val="000000" w:themeColor="text1"/>
                <w:sz w:val="18"/>
                <w:szCs w:val="18"/>
              </w:rPr>
              <w:t>A</w:t>
            </w: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LT</w:t>
            </w:r>
          </w:p>
        </w:tc>
      </w:tr>
      <w:tr w:rsidR="006626BE" w:rsidRPr="006626BE" w14:paraId="72E32880" w14:textId="77777777" w:rsidTr="006626BE">
        <w:trPr>
          <w:trHeight w:val="209"/>
        </w:trPr>
        <w:tc>
          <w:tcPr>
            <w:tcW w:w="9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A1DB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13CCE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baseline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A798D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addition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9E9C4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final observation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65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baseline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78775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addition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6875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final observation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01F1E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baseline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AB50EA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addition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4BFAD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="Meiryo UI" w:cs="Times New Roman"/>
                <w:color w:val="000000" w:themeColor="text1"/>
                <w:sz w:val="18"/>
                <w:szCs w:val="18"/>
              </w:rPr>
              <w:t>At the final observation</w:t>
            </w:r>
          </w:p>
        </w:tc>
      </w:tr>
      <w:tr w:rsidR="006626BE" w:rsidRPr="006626BE" w14:paraId="14681F3F" w14:textId="77777777" w:rsidTr="006626BE">
        <w:trPr>
          <w:trHeight w:val="183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95B668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SGLT2</w:t>
            </w:r>
            <w:r w:rsidRPr="006626BE">
              <w:rPr>
                <w:rFonts w:eastAsiaTheme="minorHAnsi" w:cs="Times New Roman" w:hint="eastAsia"/>
                <w:color w:val="000000" w:themeColor="text1"/>
                <w:sz w:val="18"/>
                <w:szCs w:val="18"/>
              </w:rPr>
              <w:t>i</w:t>
            </w: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-preceding group (n=165)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8369A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1.24±0.68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791C83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1.34±0.85</w:t>
            </w:r>
          </w:p>
        </w:tc>
        <w:tc>
          <w:tcPr>
            <w:tcW w:w="109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47965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1.36±0.79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5F961F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27.2±15.1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0EE92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25.6±12.2</w:t>
            </w:r>
          </w:p>
        </w:tc>
        <w:tc>
          <w:tcPr>
            <w:tcW w:w="109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14198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24.9±13.4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23E9AB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35.5±29.9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C8239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30.8±22.2</w:t>
            </w:r>
          </w:p>
        </w:tc>
        <w:tc>
          <w:tcPr>
            <w:tcW w:w="109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0ACD0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28.9±19.5</w:t>
            </w:r>
          </w:p>
        </w:tc>
      </w:tr>
      <w:tr w:rsidR="006626BE" w:rsidRPr="006626BE" w14:paraId="27D6A682" w14:textId="77777777" w:rsidTr="006626BE">
        <w:trPr>
          <w:trHeight w:val="183"/>
        </w:trPr>
        <w:tc>
          <w:tcPr>
            <w:tcW w:w="9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8372F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GLP1Ra-preceding group</w:t>
            </w:r>
          </w:p>
          <w:p w14:paraId="42DEB86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(n=165)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57B0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1.26±0.67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5D57B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1.31±0.71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FAECB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1.36±0.72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57C4E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28.4±16.7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28BF96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29.6±17.6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4A9AC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25.0±14.1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20DAD4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36.3±28.2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77A745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37.6±29.5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8DB01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29.3±20.2</w:t>
            </w:r>
          </w:p>
        </w:tc>
      </w:tr>
      <w:tr w:rsidR="006626BE" w:rsidRPr="006626BE" w14:paraId="765B5C5C" w14:textId="77777777" w:rsidTr="006626BE">
        <w:trPr>
          <w:trHeight w:val="13"/>
        </w:trPr>
        <w:tc>
          <w:tcPr>
            <w:tcW w:w="9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BE877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p-value</w:t>
            </w:r>
          </w:p>
          <w:p w14:paraId="5860C470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 w:hint="eastAsia"/>
                <w:color w:val="000000" w:themeColor="text1"/>
                <w:sz w:val="18"/>
                <w:szCs w:val="18"/>
              </w:rPr>
              <w:t xml:space="preserve">by </w:t>
            </w: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paired t-test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5CEA9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A1280E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8A829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0.998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BFDAA7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341AAC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F028C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0.97</w:t>
            </w:r>
          </w:p>
        </w:tc>
        <w:tc>
          <w:tcPr>
            <w:tcW w:w="99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5A2519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4E2E1D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4BD5F2" w14:textId="77777777" w:rsidR="006626BE" w:rsidRPr="006626BE" w:rsidRDefault="006626BE" w:rsidP="00201B68">
            <w:pPr>
              <w:widowControl/>
              <w:spacing w:line="200" w:lineRule="exact"/>
              <w:contextualSpacing/>
              <w:jc w:val="center"/>
              <w:rPr>
                <w:rFonts w:eastAsiaTheme="minorHAnsi" w:cs="Times New Roman"/>
                <w:color w:val="000000" w:themeColor="text1"/>
                <w:sz w:val="18"/>
                <w:szCs w:val="18"/>
              </w:rPr>
            </w:pPr>
            <w:r w:rsidRPr="006626BE">
              <w:rPr>
                <w:rFonts w:eastAsiaTheme="minorHAnsi" w:cs="Times New Roman"/>
                <w:color w:val="000000" w:themeColor="text1"/>
                <w:sz w:val="18"/>
                <w:szCs w:val="18"/>
              </w:rPr>
              <w:t>0.87</w:t>
            </w:r>
          </w:p>
        </w:tc>
      </w:tr>
    </w:tbl>
    <w:p w14:paraId="29F31F26" w14:textId="77777777" w:rsidR="006626BE" w:rsidRPr="001A6561" w:rsidRDefault="006626BE" w:rsidP="006626BE">
      <w:pPr>
        <w:widowControl/>
        <w:spacing w:line="360" w:lineRule="auto"/>
        <w:contextualSpacing/>
        <w:jc w:val="both"/>
        <w:rPr>
          <w:rFonts w:eastAsiaTheme="minorHAnsi" w:cs="Times New Roman"/>
          <w:color w:val="000000" w:themeColor="text1"/>
          <w:sz w:val="24"/>
          <w:szCs w:val="24"/>
        </w:rPr>
      </w:pPr>
    </w:p>
    <w:p w14:paraId="646675AC" w14:textId="77777777" w:rsidR="00B5190A" w:rsidRDefault="00B5190A"/>
    <w:sectPr w:rsidR="00B5190A" w:rsidSect="00B257E4">
      <w:type w:val="continuous"/>
      <w:pgSz w:w="11909" w:h="16834" w:code="9"/>
      <w:pgMar w:top="1440" w:right="1440" w:bottom="851" w:left="1440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rawingGridHorizontalSpacing w:val="13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6BE"/>
    <w:rsid w:val="00566C28"/>
    <w:rsid w:val="006626BE"/>
    <w:rsid w:val="006E41E5"/>
    <w:rsid w:val="0078748C"/>
    <w:rsid w:val="00A843DD"/>
    <w:rsid w:val="00B257E4"/>
    <w:rsid w:val="00B5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F418B3"/>
  <w15:chartTrackingRefBased/>
  <w15:docId w15:val="{34D358F8-E1CF-40C5-A1D8-85246B02E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6BE"/>
    <w:pPr>
      <w:widowControl w:val="0"/>
      <w:spacing w:line="480" w:lineRule="auto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564</Words>
  <Characters>3219</Characters>
  <Application>Microsoft Office Word</Application>
  <DocSecurity>0</DocSecurity>
  <Lines>26</Lines>
  <Paragraphs>7</Paragraphs>
  <ScaleCrop>false</ScaleCrop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　一雄</dc:creator>
  <cp:keywords/>
  <dc:description/>
  <cp:lastModifiedBy>小林　一雄</cp:lastModifiedBy>
  <cp:revision>1</cp:revision>
  <dcterms:created xsi:type="dcterms:W3CDTF">2024-03-29T15:53:00Z</dcterms:created>
  <dcterms:modified xsi:type="dcterms:W3CDTF">2024-03-29T15:55:00Z</dcterms:modified>
</cp:coreProperties>
</file>