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72E" w:rsidRDefault="0072772E" w:rsidP="00784106">
      <w:pPr>
        <w:rPr>
          <w:rFonts w:ascii="Times New Roman" w:hAnsi="Times New Roman"/>
          <w:b/>
          <w:bCs/>
          <w:sz w:val="24"/>
          <w:szCs w:val="24"/>
        </w:rPr>
      </w:pPr>
      <w:r w:rsidRPr="0073409D">
        <w:rPr>
          <w:rFonts w:ascii="Times New Roman" w:hAnsi="Times New Roman"/>
          <w:b/>
          <w:bCs/>
          <w:sz w:val="24"/>
          <w:szCs w:val="24"/>
        </w:rPr>
        <w:t>Supplementary figures</w:t>
      </w:r>
    </w:p>
    <w:p w:rsidR="00E95DD0" w:rsidRDefault="00E95DD0" w:rsidP="00784106">
      <w:pPr>
        <w:rPr>
          <w:rFonts w:ascii="Times New Roman" w:hAnsi="Times New Roman"/>
          <w:b/>
          <w:bCs/>
          <w:sz w:val="24"/>
          <w:szCs w:val="24"/>
        </w:rPr>
      </w:pPr>
    </w:p>
    <w:p w:rsidR="00E95DD0" w:rsidRPr="0073409D" w:rsidRDefault="00E95DD0" w:rsidP="00784106">
      <w:pPr>
        <w:rPr>
          <w:rFonts w:ascii="Times New Roman" w:hAnsi="Times New Roman"/>
          <w:b/>
          <w:bCs/>
          <w:sz w:val="24"/>
          <w:szCs w:val="24"/>
        </w:rPr>
      </w:pPr>
      <w:r w:rsidRPr="00E95DD0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4572000" cy="5302250"/>
            <wp:effectExtent l="0" t="0" r="0" b="0"/>
            <wp:docPr id="1" name="图片 1" descr="C:\Users\Administrator\Desktop\投稿\图\补充图\SF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投稿\图\补充图\SF-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30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136" w:rsidRPr="00BB4D00" w:rsidRDefault="00F84587" w:rsidP="00784106">
      <w:pPr>
        <w:rPr>
          <w:rFonts w:ascii="Times New Roman" w:hAnsi="Times New Roman"/>
          <w:b/>
          <w:bCs/>
          <w:sz w:val="24"/>
          <w:szCs w:val="24"/>
        </w:rPr>
      </w:pPr>
      <w:r w:rsidRPr="000077A5">
        <w:rPr>
          <w:rFonts w:ascii="Arial" w:hAnsi="Arial" w:cs="Arial"/>
          <w:b/>
          <w:sz w:val="18"/>
          <w:szCs w:val="18"/>
        </w:rPr>
        <w:t>Figure S1.</w:t>
      </w:r>
      <w:r w:rsidRPr="000077A5">
        <w:rPr>
          <w:rFonts w:ascii="Arial" w:hAnsi="Arial" w:cs="Arial"/>
          <w:sz w:val="18"/>
          <w:szCs w:val="18"/>
        </w:rPr>
        <w:t xml:space="preserve"> Establishment of the NASH mouse model. Wild-type C57BL6/J mice were subjected to NCD and WD diets for 18 weeks. (</w:t>
      </w:r>
      <w:r w:rsidR="00BB4D00">
        <w:rPr>
          <w:rFonts w:ascii="Arial" w:hAnsi="Arial" w:cs="Arial"/>
          <w:sz w:val="18"/>
          <w:szCs w:val="18"/>
        </w:rPr>
        <w:t>A</w:t>
      </w:r>
      <w:r w:rsidRPr="000077A5">
        <w:rPr>
          <w:rFonts w:ascii="Arial" w:hAnsi="Arial" w:cs="Arial"/>
          <w:sz w:val="18"/>
          <w:szCs w:val="18"/>
        </w:rPr>
        <w:t>) Mouse body weight. (</w:t>
      </w:r>
      <w:r w:rsidR="00BB4D00">
        <w:rPr>
          <w:rFonts w:ascii="Arial" w:hAnsi="Arial" w:cs="Arial"/>
          <w:sz w:val="18"/>
          <w:szCs w:val="18"/>
        </w:rPr>
        <w:t>B</w:t>
      </w:r>
      <w:r w:rsidRPr="000077A5">
        <w:rPr>
          <w:rFonts w:ascii="Arial" w:hAnsi="Arial" w:cs="Arial"/>
          <w:sz w:val="18"/>
          <w:szCs w:val="18"/>
        </w:rPr>
        <w:t>) Liver wet weight of mice. (</w:t>
      </w:r>
      <w:r w:rsidR="00BB4D00">
        <w:rPr>
          <w:rFonts w:ascii="Arial" w:hAnsi="Arial" w:cs="Arial"/>
          <w:sz w:val="18"/>
          <w:szCs w:val="18"/>
        </w:rPr>
        <w:t>C</w:t>
      </w:r>
      <w:r w:rsidRPr="000077A5">
        <w:rPr>
          <w:rFonts w:ascii="Arial" w:hAnsi="Arial" w:cs="Arial"/>
          <w:sz w:val="18"/>
          <w:szCs w:val="18"/>
        </w:rPr>
        <w:t>) Glucose tolerance and insulin tolerance tests in mice. (</w:t>
      </w:r>
      <w:r w:rsidR="00BB4D00">
        <w:rPr>
          <w:rFonts w:ascii="Arial" w:hAnsi="Arial" w:cs="Arial"/>
          <w:sz w:val="18"/>
          <w:szCs w:val="18"/>
        </w:rPr>
        <w:t>D</w:t>
      </w:r>
      <w:r w:rsidRPr="000077A5">
        <w:rPr>
          <w:rFonts w:ascii="Arial" w:hAnsi="Arial" w:cs="Arial"/>
          <w:sz w:val="18"/>
          <w:szCs w:val="18"/>
        </w:rPr>
        <w:t>) Serum ALT and AST levels in mice. (</w:t>
      </w:r>
      <w:r w:rsidR="00BB4D00">
        <w:rPr>
          <w:rFonts w:ascii="Arial" w:hAnsi="Arial" w:cs="Arial"/>
          <w:sz w:val="18"/>
          <w:szCs w:val="18"/>
        </w:rPr>
        <w:t>E</w:t>
      </w:r>
      <w:r w:rsidRPr="000077A5">
        <w:rPr>
          <w:rFonts w:ascii="Arial" w:hAnsi="Arial" w:cs="Arial"/>
          <w:sz w:val="18"/>
          <w:szCs w:val="18"/>
        </w:rPr>
        <w:t xml:space="preserve">) Representative H&amp;E and Masson's trichrome staining of liver sections (200×). Data are presented as the mean ± SEM. n = 6-8 mice/group. </w:t>
      </w:r>
      <w:r w:rsidRPr="000077A5">
        <w:rPr>
          <w:rFonts w:ascii="Arial" w:hAnsi="Arial" w:cs="Arial"/>
          <w:sz w:val="18"/>
          <w:szCs w:val="18"/>
          <w:vertAlign w:val="superscript"/>
        </w:rPr>
        <w:t>*</w:t>
      </w:r>
      <w:r w:rsidRPr="000077A5">
        <w:rPr>
          <w:rFonts w:ascii="Arial" w:hAnsi="Arial" w:cs="Arial"/>
          <w:sz w:val="18"/>
          <w:szCs w:val="18"/>
        </w:rPr>
        <w:t xml:space="preserve">p &lt; .05, </w:t>
      </w:r>
      <w:r w:rsidRPr="000077A5">
        <w:rPr>
          <w:rFonts w:ascii="Arial" w:hAnsi="Arial" w:cs="Arial"/>
          <w:sz w:val="18"/>
          <w:szCs w:val="18"/>
          <w:vertAlign w:val="superscript"/>
        </w:rPr>
        <w:t>**</w:t>
      </w:r>
      <w:r w:rsidRPr="000077A5">
        <w:rPr>
          <w:rFonts w:ascii="Arial" w:hAnsi="Arial" w:cs="Arial"/>
          <w:sz w:val="18"/>
          <w:szCs w:val="18"/>
        </w:rPr>
        <w:t xml:space="preserve">p &lt; .01, </w:t>
      </w:r>
      <w:r w:rsidRPr="000077A5">
        <w:rPr>
          <w:rFonts w:ascii="Arial" w:hAnsi="Arial" w:cs="Arial"/>
          <w:sz w:val="18"/>
          <w:szCs w:val="18"/>
          <w:vertAlign w:val="superscript"/>
        </w:rPr>
        <w:t>***</w:t>
      </w:r>
      <w:r w:rsidRPr="000077A5">
        <w:rPr>
          <w:rFonts w:ascii="Arial" w:hAnsi="Arial" w:cs="Arial"/>
          <w:sz w:val="18"/>
          <w:szCs w:val="18"/>
        </w:rPr>
        <w:t xml:space="preserve">P &lt; .001, </w:t>
      </w:r>
      <w:r w:rsidRPr="000077A5">
        <w:rPr>
          <w:rFonts w:ascii="Arial" w:hAnsi="Arial" w:cs="Arial"/>
          <w:sz w:val="18"/>
          <w:szCs w:val="18"/>
          <w:vertAlign w:val="superscript"/>
        </w:rPr>
        <w:t>****</w:t>
      </w:r>
      <w:r w:rsidRPr="000077A5">
        <w:rPr>
          <w:rFonts w:ascii="Arial" w:hAnsi="Arial" w:cs="Arial"/>
          <w:sz w:val="18"/>
          <w:szCs w:val="18"/>
        </w:rPr>
        <w:t>P &lt; .0001 vs the designated two groups.</w:t>
      </w:r>
    </w:p>
    <w:p w:rsidR="002540C9" w:rsidRDefault="002540C9" w:rsidP="00784106">
      <w:pPr>
        <w:rPr>
          <w:rFonts w:ascii="Times New Roman" w:hAnsi="Times New Roman"/>
          <w:b/>
          <w:bCs/>
          <w:sz w:val="24"/>
          <w:szCs w:val="24"/>
        </w:rPr>
      </w:pPr>
    </w:p>
    <w:p w:rsidR="00E95DD0" w:rsidRPr="00BA65A2" w:rsidRDefault="00E95DD0" w:rsidP="00784106">
      <w:pPr>
        <w:rPr>
          <w:rFonts w:ascii="Times New Roman" w:hAnsi="Times New Roman" w:hint="eastAsia"/>
          <w:b/>
          <w:bCs/>
          <w:sz w:val="24"/>
          <w:szCs w:val="24"/>
        </w:rPr>
      </w:pPr>
      <w:r w:rsidRPr="00E95DD0"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4451350" cy="2832100"/>
            <wp:effectExtent l="0" t="0" r="6350" b="6350"/>
            <wp:docPr id="2" name="图片 2" descr="C:\Users\Administrator\Desktop\投稿\图\补充图\SF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投稿\图\补充图\SF-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AA4" w:rsidRPr="000077A5" w:rsidRDefault="00EB3FD5" w:rsidP="00784106">
      <w:pPr>
        <w:jc w:val="left"/>
        <w:rPr>
          <w:rFonts w:ascii="Arial" w:hAnsi="Arial" w:cs="Arial"/>
          <w:sz w:val="18"/>
          <w:szCs w:val="18"/>
        </w:rPr>
      </w:pPr>
      <w:r w:rsidRPr="000077A5">
        <w:rPr>
          <w:rFonts w:ascii="Arial" w:hAnsi="Arial" w:cs="Arial"/>
          <w:b/>
          <w:sz w:val="18"/>
          <w:szCs w:val="18"/>
        </w:rPr>
        <w:t>Figure S2.</w:t>
      </w:r>
      <w:r w:rsidRPr="000077A5">
        <w:rPr>
          <w:rFonts w:ascii="Arial" w:hAnsi="Arial" w:cs="Arial"/>
          <w:sz w:val="18"/>
          <w:szCs w:val="18"/>
        </w:rPr>
        <w:t xml:space="preserve"> Inc</w:t>
      </w:r>
      <w:r w:rsidR="00C11051">
        <w:rPr>
          <w:rFonts w:ascii="Arial" w:hAnsi="Arial" w:cs="Arial"/>
          <w:sz w:val="18"/>
          <w:szCs w:val="18"/>
        </w:rPr>
        <w:t xml:space="preserve">reased cholesterol accumulation </w:t>
      </w:r>
      <w:r w:rsidRPr="000077A5">
        <w:rPr>
          <w:rFonts w:ascii="Arial" w:hAnsi="Arial" w:cs="Arial"/>
          <w:sz w:val="18"/>
          <w:szCs w:val="18"/>
        </w:rPr>
        <w:t>in vitro NASH cell model. HepG2 cells induced with 1mM FFA for 24 hours to establish the in vitro cellular model. (</w:t>
      </w:r>
      <w:r w:rsidR="000A7EF1">
        <w:rPr>
          <w:rFonts w:ascii="Arial" w:hAnsi="Arial" w:cs="Arial"/>
          <w:sz w:val="18"/>
          <w:szCs w:val="18"/>
        </w:rPr>
        <w:t>A</w:t>
      </w:r>
      <w:r w:rsidRPr="000077A5">
        <w:rPr>
          <w:rFonts w:ascii="Arial" w:hAnsi="Arial" w:cs="Arial"/>
          <w:sz w:val="18"/>
          <w:szCs w:val="18"/>
        </w:rPr>
        <w:t>) Measurement of cellular TC and FC content. (</w:t>
      </w:r>
      <w:r w:rsidR="000A7EF1">
        <w:rPr>
          <w:rFonts w:ascii="Arial" w:hAnsi="Arial" w:cs="Arial"/>
          <w:sz w:val="18"/>
          <w:szCs w:val="18"/>
        </w:rPr>
        <w:t>B</w:t>
      </w:r>
      <w:r w:rsidRPr="000077A5">
        <w:rPr>
          <w:rFonts w:ascii="Arial" w:hAnsi="Arial" w:cs="Arial"/>
          <w:sz w:val="18"/>
          <w:szCs w:val="18"/>
        </w:rPr>
        <w:t>) Representative cellular Filipin staining illustrating cellular membrane FC ac</w:t>
      </w:r>
      <w:r w:rsidR="00911526">
        <w:rPr>
          <w:rFonts w:ascii="Arial" w:hAnsi="Arial" w:cs="Arial"/>
          <w:sz w:val="18"/>
          <w:szCs w:val="18"/>
        </w:rPr>
        <w:t xml:space="preserve">cumulation (scale bars, 20 μm). </w:t>
      </w:r>
      <w:r w:rsidRPr="000077A5">
        <w:rPr>
          <w:rFonts w:ascii="Arial" w:hAnsi="Arial" w:cs="Arial"/>
          <w:sz w:val="18"/>
          <w:szCs w:val="18"/>
        </w:rPr>
        <w:t xml:space="preserve">Data are presented as the mean ± SEM. n = 3 independent experiments. </w:t>
      </w:r>
      <w:r w:rsidRPr="000077A5">
        <w:rPr>
          <w:rFonts w:ascii="Arial" w:hAnsi="Arial" w:cs="Arial"/>
          <w:sz w:val="18"/>
          <w:szCs w:val="18"/>
          <w:vertAlign w:val="superscript"/>
        </w:rPr>
        <w:t>*</w:t>
      </w:r>
      <w:r w:rsidRPr="000077A5">
        <w:rPr>
          <w:rFonts w:ascii="Arial" w:hAnsi="Arial" w:cs="Arial"/>
          <w:sz w:val="18"/>
          <w:szCs w:val="18"/>
        </w:rPr>
        <w:t xml:space="preserve">p &lt; .05, </w:t>
      </w:r>
      <w:r w:rsidRPr="000077A5">
        <w:rPr>
          <w:rFonts w:ascii="Arial" w:hAnsi="Arial" w:cs="Arial"/>
          <w:sz w:val="18"/>
          <w:szCs w:val="18"/>
          <w:vertAlign w:val="superscript"/>
        </w:rPr>
        <w:t>**</w:t>
      </w:r>
      <w:r w:rsidRPr="000077A5">
        <w:rPr>
          <w:rFonts w:ascii="Arial" w:hAnsi="Arial" w:cs="Arial"/>
          <w:sz w:val="18"/>
          <w:szCs w:val="18"/>
        </w:rPr>
        <w:t xml:space="preserve">p &lt; .01, </w:t>
      </w:r>
      <w:r w:rsidRPr="000077A5">
        <w:rPr>
          <w:rFonts w:ascii="Arial" w:hAnsi="Arial" w:cs="Arial"/>
          <w:sz w:val="18"/>
          <w:szCs w:val="18"/>
          <w:vertAlign w:val="superscript"/>
        </w:rPr>
        <w:t>****</w:t>
      </w:r>
      <w:r w:rsidRPr="000077A5">
        <w:rPr>
          <w:rFonts w:ascii="Arial" w:hAnsi="Arial" w:cs="Arial"/>
          <w:sz w:val="18"/>
          <w:szCs w:val="18"/>
        </w:rPr>
        <w:t>P &lt; .0001 vs the designated two groups.</w:t>
      </w:r>
    </w:p>
    <w:p w:rsidR="002F49E7" w:rsidRDefault="002F49E7" w:rsidP="00784106">
      <w:pPr>
        <w:rPr>
          <w:rFonts w:ascii="Times New Roman" w:hAnsi="Times New Roman"/>
          <w:b/>
          <w:bCs/>
          <w:sz w:val="24"/>
          <w:szCs w:val="24"/>
        </w:rPr>
      </w:pPr>
    </w:p>
    <w:p w:rsidR="00E95DD0" w:rsidRDefault="00E95DD0" w:rsidP="00784106">
      <w:pPr>
        <w:rPr>
          <w:rFonts w:ascii="Times New Roman" w:hAnsi="Times New Roman" w:hint="eastAsia"/>
          <w:b/>
          <w:bCs/>
          <w:sz w:val="24"/>
          <w:szCs w:val="24"/>
        </w:rPr>
      </w:pPr>
      <w:r w:rsidRPr="00E95DD0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4343400" cy="3619500"/>
            <wp:effectExtent l="0" t="0" r="0" b="0"/>
            <wp:docPr id="3" name="图片 3" descr="C:\Users\Administrator\Desktop\投稿\图\补充图\SF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投稿\图\补充图\SF-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644" w:rsidRPr="00B40867" w:rsidRDefault="003D685A" w:rsidP="00784106">
      <w:pPr>
        <w:jc w:val="left"/>
        <w:rPr>
          <w:rFonts w:ascii="Arial" w:hAnsi="Arial" w:cs="Arial"/>
          <w:sz w:val="18"/>
          <w:szCs w:val="18"/>
        </w:rPr>
      </w:pPr>
      <w:r w:rsidRPr="00B40867">
        <w:rPr>
          <w:rFonts w:ascii="Arial" w:hAnsi="Arial" w:cs="Arial"/>
          <w:b/>
          <w:sz w:val="18"/>
          <w:szCs w:val="18"/>
        </w:rPr>
        <w:t>Figure S3.</w:t>
      </w:r>
      <w:r w:rsidRPr="00B40867">
        <w:rPr>
          <w:rFonts w:ascii="Arial" w:hAnsi="Arial" w:cs="Arial"/>
          <w:sz w:val="18"/>
          <w:szCs w:val="18"/>
        </w:rPr>
        <w:t xml:space="preserve"> MST1 </w:t>
      </w:r>
      <w:r w:rsidR="00876688" w:rsidRPr="00B40867">
        <w:rPr>
          <w:rFonts w:ascii="Arial" w:hAnsi="Arial" w:cs="Arial"/>
          <w:sz w:val="18"/>
          <w:szCs w:val="18"/>
        </w:rPr>
        <w:t>d</w:t>
      </w:r>
      <w:r w:rsidRPr="00B40867">
        <w:rPr>
          <w:rFonts w:ascii="Arial" w:hAnsi="Arial" w:cs="Arial"/>
          <w:sz w:val="18"/>
          <w:szCs w:val="18"/>
        </w:rPr>
        <w:t xml:space="preserve">eficiency </w:t>
      </w:r>
      <w:r w:rsidR="00876688" w:rsidRPr="00B40867">
        <w:rPr>
          <w:rFonts w:ascii="Arial" w:hAnsi="Arial" w:cs="Arial"/>
          <w:sz w:val="18"/>
          <w:szCs w:val="18"/>
        </w:rPr>
        <w:t>r</w:t>
      </w:r>
      <w:r w:rsidRPr="00B40867">
        <w:rPr>
          <w:rFonts w:ascii="Arial" w:hAnsi="Arial" w:cs="Arial"/>
          <w:sz w:val="18"/>
          <w:szCs w:val="18"/>
        </w:rPr>
        <w:t xml:space="preserve">esults in </w:t>
      </w:r>
      <w:r w:rsidR="00876688" w:rsidRPr="00B40867">
        <w:rPr>
          <w:rFonts w:ascii="Arial" w:hAnsi="Arial" w:cs="Arial"/>
          <w:sz w:val="18"/>
          <w:szCs w:val="18"/>
        </w:rPr>
        <w:t>h</w:t>
      </w:r>
      <w:r w:rsidRPr="00B40867">
        <w:rPr>
          <w:rFonts w:ascii="Arial" w:hAnsi="Arial" w:cs="Arial"/>
          <w:sz w:val="18"/>
          <w:szCs w:val="18"/>
        </w:rPr>
        <w:t xml:space="preserve">epatic </w:t>
      </w:r>
      <w:r w:rsidR="00876688" w:rsidRPr="00B40867">
        <w:rPr>
          <w:rFonts w:ascii="Arial" w:hAnsi="Arial" w:cs="Arial"/>
          <w:sz w:val="18"/>
          <w:szCs w:val="18"/>
        </w:rPr>
        <w:t>c</w:t>
      </w:r>
      <w:r w:rsidRPr="00B40867">
        <w:rPr>
          <w:rFonts w:ascii="Arial" w:hAnsi="Arial" w:cs="Arial"/>
          <w:sz w:val="18"/>
          <w:szCs w:val="18"/>
        </w:rPr>
        <w:t xml:space="preserve">holesterol </w:t>
      </w:r>
      <w:r w:rsidR="00876688" w:rsidRPr="00B40867">
        <w:rPr>
          <w:rFonts w:ascii="Arial" w:hAnsi="Arial" w:cs="Arial"/>
          <w:sz w:val="18"/>
          <w:szCs w:val="18"/>
        </w:rPr>
        <w:t>a</w:t>
      </w:r>
      <w:r w:rsidRPr="00B40867">
        <w:rPr>
          <w:rFonts w:ascii="Arial" w:hAnsi="Arial" w:cs="Arial"/>
          <w:sz w:val="18"/>
          <w:szCs w:val="18"/>
        </w:rPr>
        <w:t xml:space="preserve">ccumulation and </w:t>
      </w:r>
      <w:r w:rsidR="00876688" w:rsidRPr="00B40867">
        <w:rPr>
          <w:rFonts w:ascii="Arial" w:hAnsi="Arial" w:cs="Arial"/>
          <w:sz w:val="18"/>
          <w:szCs w:val="18"/>
        </w:rPr>
        <w:t>l</w:t>
      </w:r>
      <w:r w:rsidRPr="00B40867">
        <w:rPr>
          <w:rFonts w:ascii="Arial" w:hAnsi="Arial" w:cs="Arial"/>
          <w:sz w:val="18"/>
          <w:szCs w:val="18"/>
        </w:rPr>
        <w:t xml:space="preserve">iver </w:t>
      </w:r>
      <w:r w:rsidR="00876688" w:rsidRPr="00B40867">
        <w:rPr>
          <w:rFonts w:ascii="Arial" w:hAnsi="Arial" w:cs="Arial"/>
          <w:sz w:val="18"/>
          <w:szCs w:val="18"/>
        </w:rPr>
        <w:t>i</w:t>
      </w:r>
      <w:r w:rsidRPr="00B40867">
        <w:rPr>
          <w:rFonts w:ascii="Arial" w:hAnsi="Arial" w:cs="Arial"/>
          <w:sz w:val="18"/>
          <w:szCs w:val="18"/>
        </w:rPr>
        <w:t xml:space="preserve">njury; AMPK </w:t>
      </w:r>
      <w:r w:rsidR="00FC78AC" w:rsidRPr="00B40867">
        <w:rPr>
          <w:rFonts w:ascii="Arial" w:hAnsi="Arial" w:cs="Arial"/>
          <w:sz w:val="18"/>
          <w:szCs w:val="18"/>
        </w:rPr>
        <w:t>a</w:t>
      </w:r>
      <w:r w:rsidRPr="00B40867">
        <w:rPr>
          <w:rFonts w:ascii="Arial" w:hAnsi="Arial" w:cs="Arial"/>
          <w:sz w:val="18"/>
          <w:szCs w:val="18"/>
        </w:rPr>
        <w:t xml:space="preserve">ctivation </w:t>
      </w:r>
      <w:r w:rsidR="00FC78AC" w:rsidRPr="00B40867">
        <w:rPr>
          <w:rFonts w:ascii="Arial" w:hAnsi="Arial" w:cs="Arial"/>
          <w:sz w:val="18"/>
          <w:szCs w:val="18"/>
        </w:rPr>
        <w:t>i</w:t>
      </w:r>
      <w:r w:rsidRPr="00B40867">
        <w:rPr>
          <w:rFonts w:ascii="Arial" w:hAnsi="Arial" w:cs="Arial"/>
          <w:sz w:val="18"/>
          <w:szCs w:val="18"/>
        </w:rPr>
        <w:t xml:space="preserve">mproves </w:t>
      </w:r>
      <w:r w:rsidR="00FC78AC" w:rsidRPr="00B40867">
        <w:rPr>
          <w:rFonts w:ascii="Arial" w:hAnsi="Arial" w:cs="Arial"/>
          <w:sz w:val="18"/>
          <w:szCs w:val="18"/>
        </w:rPr>
        <w:t>l</w:t>
      </w:r>
      <w:r w:rsidRPr="00B40867">
        <w:rPr>
          <w:rFonts w:ascii="Arial" w:hAnsi="Arial" w:cs="Arial"/>
          <w:sz w:val="18"/>
          <w:szCs w:val="18"/>
        </w:rPr>
        <w:t xml:space="preserve">iver </w:t>
      </w:r>
      <w:r w:rsidR="00FC78AC" w:rsidRPr="00B40867">
        <w:rPr>
          <w:rFonts w:ascii="Arial" w:hAnsi="Arial" w:cs="Arial"/>
          <w:sz w:val="18"/>
          <w:szCs w:val="18"/>
        </w:rPr>
        <w:lastRenderedPageBreak/>
        <w:t>i</w:t>
      </w:r>
      <w:r w:rsidRPr="00B40867">
        <w:rPr>
          <w:rFonts w:ascii="Arial" w:hAnsi="Arial" w:cs="Arial"/>
          <w:sz w:val="18"/>
          <w:szCs w:val="18"/>
        </w:rPr>
        <w:t>njury. MST1 KO mice were fed either NCD or WD diets for 16 weeks, after which one group of MST1 KO mice received AICAR treatment for 2 weeks. (</w:t>
      </w:r>
      <w:r w:rsidR="00964963">
        <w:rPr>
          <w:rFonts w:ascii="Arial" w:hAnsi="Arial" w:cs="Arial"/>
          <w:sz w:val="18"/>
          <w:szCs w:val="18"/>
        </w:rPr>
        <w:t>A</w:t>
      </w:r>
      <w:r w:rsidRPr="00B40867">
        <w:rPr>
          <w:rFonts w:ascii="Arial" w:hAnsi="Arial" w:cs="Arial"/>
          <w:sz w:val="18"/>
          <w:szCs w:val="18"/>
        </w:rPr>
        <w:t>) Mouse body weight. (</w:t>
      </w:r>
      <w:r w:rsidR="00964963">
        <w:rPr>
          <w:rFonts w:ascii="Arial" w:hAnsi="Arial" w:cs="Arial"/>
          <w:sz w:val="18"/>
          <w:szCs w:val="18"/>
        </w:rPr>
        <w:t>B</w:t>
      </w:r>
      <w:r w:rsidRPr="00B40867">
        <w:rPr>
          <w:rFonts w:ascii="Arial" w:hAnsi="Arial" w:cs="Arial"/>
          <w:sz w:val="18"/>
          <w:szCs w:val="18"/>
        </w:rPr>
        <w:t>) Liver wet weight. (</w:t>
      </w:r>
      <w:r w:rsidR="00964963">
        <w:rPr>
          <w:rFonts w:ascii="Arial" w:hAnsi="Arial" w:cs="Arial"/>
          <w:sz w:val="18"/>
          <w:szCs w:val="18"/>
        </w:rPr>
        <w:t>C</w:t>
      </w:r>
      <w:r w:rsidRPr="00B40867">
        <w:rPr>
          <w:rFonts w:ascii="Arial" w:hAnsi="Arial" w:cs="Arial"/>
          <w:sz w:val="18"/>
          <w:szCs w:val="18"/>
        </w:rPr>
        <w:t xml:space="preserve">) Serum ALT and AST levels. Data are presented as the mean ± SEM. n = 6 mice/group. </w:t>
      </w:r>
      <w:r w:rsidRPr="00B40867">
        <w:rPr>
          <w:rFonts w:ascii="Arial" w:hAnsi="Arial" w:cs="Arial"/>
          <w:sz w:val="18"/>
          <w:szCs w:val="18"/>
          <w:vertAlign w:val="superscript"/>
        </w:rPr>
        <w:t>*</w:t>
      </w:r>
      <w:r w:rsidRPr="00B40867">
        <w:rPr>
          <w:rFonts w:ascii="Arial" w:hAnsi="Arial" w:cs="Arial"/>
          <w:sz w:val="18"/>
          <w:szCs w:val="18"/>
        </w:rPr>
        <w:t xml:space="preserve">p &lt; .05, </w:t>
      </w:r>
      <w:r w:rsidRPr="00B40867">
        <w:rPr>
          <w:rFonts w:ascii="Arial" w:hAnsi="Arial" w:cs="Arial"/>
          <w:sz w:val="18"/>
          <w:szCs w:val="18"/>
          <w:vertAlign w:val="superscript"/>
        </w:rPr>
        <w:t>**</w:t>
      </w:r>
      <w:r w:rsidRPr="00B40867">
        <w:rPr>
          <w:rFonts w:ascii="Arial" w:hAnsi="Arial" w:cs="Arial"/>
          <w:sz w:val="18"/>
          <w:szCs w:val="18"/>
        </w:rPr>
        <w:t xml:space="preserve">p &lt; .01, </w:t>
      </w:r>
      <w:r w:rsidRPr="00B40867">
        <w:rPr>
          <w:rFonts w:ascii="Arial" w:hAnsi="Arial" w:cs="Arial"/>
          <w:sz w:val="18"/>
          <w:szCs w:val="18"/>
          <w:vertAlign w:val="superscript"/>
        </w:rPr>
        <w:t>***</w:t>
      </w:r>
      <w:r w:rsidRPr="00B40867">
        <w:rPr>
          <w:rFonts w:ascii="Arial" w:hAnsi="Arial" w:cs="Arial"/>
          <w:sz w:val="18"/>
          <w:szCs w:val="18"/>
        </w:rPr>
        <w:t>P &lt; .001</w:t>
      </w:r>
      <w:r w:rsidR="00CB143E">
        <w:rPr>
          <w:rFonts w:ascii="Arial" w:hAnsi="Arial" w:cs="Arial"/>
          <w:sz w:val="18"/>
          <w:szCs w:val="18"/>
        </w:rPr>
        <w:t>,</w:t>
      </w:r>
      <w:r w:rsidR="00CB143E" w:rsidRPr="00CB143E">
        <w:t xml:space="preserve"> </w:t>
      </w:r>
      <w:r w:rsidR="00CB143E" w:rsidRPr="00CB143E">
        <w:rPr>
          <w:rFonts w:ascii="Arial" w:hAnsi="Arial" w:cs="Arial"/>
          <w:sz w:val="18"/>
          <w:szCs w:val="18"/>
        </w:rPr>
        <w:t>****P &lt; .0001</w:t>
      </w:r>
      <w:r w:rsidRPr="00B40867">
        <w:rPr>
          <w:rFonts w:ascii="Arial" w:hAnsi="Arial" w:cs="Arial"/>
          <w:sz w:val="18"/>
          <w:szCs w:val="18"/>
        </w:rPr>
        <w:t xml:space="preserve"> vs the designated two groups.</w:t>
      </w:r>
    </w:p>
    <w:p w:rsidR="00680F39" w:rsidRDefault="00680F39" w:rsidP="00784106">
      <w:pPr>
        <w:rPr>
          <w:rFonts w:ascii="Times New Roman" w:hAnsi="Times New Roman"/>
          <w:b/>
          <w:bCs/>
          <w:sz w:val="24"/>
          <w:szCs w:val="24"/>
        </w:rPr>
      </w:pPr>
    </w:p>
    <w:p w:rsidR="00E95DD0" w:rsidRDefault="00E95DD0" w:rsidP="00784106">
      <w:pPr>
        <w:rPr>
          <w:rFonts w:ascii="Times New Roman" w:hAnsi="Times New Roman" w:hint="eastAsia"/>
          <w:b/>
          <w:bCs/>
          <w:sz w:val="24"/>
          <w:szCs w:val="24"/>
        </w:rPr>
      </w:pPr>
      <w:r w:rsidRPr="00E95DD0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4756150" cy="5638800"/>
            <wp:effectExtent l="0" t="0" r="6350" b="0"/>
            <wp:docPr id="4" name="图片 4" descr="C:\Users\Administrator\Desktop\投稿\图\补充图\SF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投稿\图\补充图\SF-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15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9E7" w:rsidRPr="00AC019A" w:rsidRDefault="00D36782" w:rsidP="00784106">
      <w:pPr>
        <w:jc w:val="left"/>
        <w:rPr>
          <w:rFonts w:ascii="Arial" w:hAnsi="Arial" w:cs="Arial"/>
          <w:bCs/>
          <w:sz w:val="18"/>
          <w:szCs w:val="18"/>
        </w:rPr>
      </w:pPr>
      <w:r w:rsidRPr="00AC019A">
        <w:rPr>
          <w:rFonts w:ascii="Arial" w:hAnsi="Arial" w:cs="Arial"/>
          <w:b/>
          <w:bCs/>
          <w:sz w:val="18"/>
          <w:szCs w:val="18"/>
        </w:rPr>
        <w:t>Figure S4.</w:t>
      </w:r>
      <w:r w:rsidRPr="00AC019A">
        <w:rPr>
          <w:rFonts w:ascii="Arial" w:hAnsi="Arial" w:cs="Arial"/>
          <w:bCs/>
          <w:sz w:val="18"/>
          <w:szCs w:val="18"/>
        </w:rPr>
        <w:t xml:space="preserve"> Reduced MST1 </w:t>
      </w:r>
      <w:r w:rsidR="00DB2D5F" w:rsidRPr="00AC019A">
        <w:rPr>
          <w:rFonts w:ascii="Arial" w:hAnsi="Arial" w:cs="Arial"/>
          <w:bCs/>
          <w:sz w:val="18"/>
          <w:szCs w:val="18"/>
        </w:rPr>
        <w:t>a</w:t>
      </w:r>
      <w:r w:rsidRPr="00AC019A">
        <w:rPr>
          <w:rFonts w:ascii="Arial" w:hAnsi="Arial" w:cs="Arial"/>
          <w:bCs/>
          <w:sz w:val="18"/>
          <w:szCs w:val="18"/>
        </w:rPr>
        <w:t xml:space="preserve">ctivity in </w:t>
      </w:r>
      <w:r w:rsidR="00DB2D5F" w:rsidRPr="00AC019A">
        <w:rPr>
          <w:rFonts w:ascii="Arial" w:hAnsi="Arial" w:cs="Arial"/>
          <w:bCs/>
          <w:sz w:val="18"/>
          <w:szCs w:val="18"/>
        </w:rPr>
        <w:t>c</w:t>
      </w:r>
      <w:r w:rsidRPr="00AC019A">
        <w:rPr>
          <w:rFonts w:ascii="Arial" w:hAnsi="Arial" w:cs="Arial"/>
          <w:bCs/>
          <w:sz w:val="18"/>
          <w:szCs w:val="18"/>
        </w:rPr>
        <w:t xml:space="preserve">holesterol </w:t>
      </w:r>
      <w:r w:rsidR="00DB2D5F" w:rsidRPr="00AC019A">
        <w:rPr>
          <w:rFonts w:ascii="Arial" w:hAnsi="Arial" w:cs="Arial"/>
          <w:bCs/>
          <w:sz w:val="18"/>
          <w:szCs w:val="18"/>
        </w:rPr>
        <w:t>s</w:t>
      </w:r>
      <w:r w:rsidRPr="00AC019A">
        <w:rPr>
          <w:rFonts w:ascii="Arial" w:hAnsi="Arial" w:cs="Arial"/>
          <w:bCs/>
          <w:sz w:val="18"/>
          <w:szCs w:val="18"/>
        </w:rPr>
        <w:t xml:space="preserve">ynthesis </w:t>
      </w:r>
      <w:r w:rsidR="00DB2D5F" w:rsidRPr="00AC019A">
        <w:rPr>
          <w:rFonts w:ascii="Arial" w:hAnsi="Arial" w:cs="Arial"/>
          <w:bCs/>
          <w:sz w:val="18"/>
          <w:szCs w:val="18"/>
        </w:rPr>
        <w:t>p</w:t>
      </w:r>
      <w:r w:rsidRPr="00AC019A">
        <w:rPr>
          <w:rFonts w:ascii="Arial" w:hAnsi="Arial" w:cs="Arial"/>
          <w:bCs/>
          <w:sz w:val="18"/>
          <w:szCs w:val="18"/>
        </w:rPr>
        <w:t xml:space="preserve">athway </w:t>
      </w:r>
      <w:r w:rsidR="00DB2D5F" w:rsidRPr="00AC019A">
        <w:rPr>
          <w:rFonts w:ascii="Arial" w:hAnsi="Arial" w:cs="Arial"/>
          <w:bCs/>
          <w:sz w:val="18"/>
          <w:szCs w:val="18"/>
        </w:rPr>
        <w:t>e</w:t>
      </w:r>
      <w:r w:rsidRPr="00AC019A">
        <w:rPr>
          <w:rFonts w:ascii="Arial" w:hAnsi="Arial" w:cs="Arial"/>
          <w:bCs/>
          <w:sz w:val="18"/>
          <w:szCs w:val="18"/>
        </w:rPr>
        <w:t xml:space="preserve">xacerbates </w:t>
      </w:r>
      <w:r w:rsidR="00DB2D5F" w:rsidRPr="00AC019A">
        <w:rPr>
          <w:rFonts w:ascii="Arial" w:hAnsi="Arial" w:cs="Arial"/>
          <w:bCs/>
          <w:sz w:val="18"/>
          <w:szCs w:val="18"/>
        </w:rPr>
        <w:t>c</w:t>
      </w:r>
      <w:r w:rsidRPr="00AC019A">
        <w:rPr>
          <w:rFonts w:ascii="Arial" w:hAnsi="Arial" w:cs="Arial"/>
          <w:bCs/>
          <w:sz w:val="18"/>
          <w:szCs w:val="18"/>
        </w:rPr>
        <w:t xml:space="preserve">holesterol </w:t>
      </w:r>
      <w:r w:rsidR="00DB2D5F" w:rsidRPr="00AC019A">
        <w:rPr>
          <w:rFonts w:ascii="Arial" w:hAnsi="Arial" w:cs="Arial"/>
          <w:bCs/>
          <w:sz w:val="18"/>
          <w:szCs w:val="18"/>
        </w:rPr>
        <w:t>a</w:t>
      </w:r>
      <w:r w:rsidRPr="00AC019A">
        <w:rPr>
          <w:rFonts w:ascii="Arial" w:hAnsi="Arial" w:cs="Arial"/>
          <w:bCs/>
          <w:sz w:val="18"/>
          <w:szCs w:val="18"/>
        </w:rPr>
        <w:t xml:space="preserve">ccumulation in NASH </w:t>
      </w:r>
      <w:r w:rsidR="00DB2D5F" w:rsidRPr="00AC019A">
        <w:rPr>
          <w:rFonts w:ascii="Arial" w:hAnsi="Arial" w:cs="Arial"/>
          <w:bCs/>
          <w:sz w:val="18"/>
          <w:szCs w:val="18"/>
        </w:rPr>
        <w:t>h</w:t>
      </w:r>
      <w:r w:rsidRPr="00AC019A">
        <w:rPr>
          <w:rFonts w:ascii="Arial" w:hAnsi="Arial" w:cs="Arial"/>
          <w:bCs/>
          <w:sz w:val="18"/>
          <w:szCs w:val="18"/>
        </w:rPr>
        <w:t xml:space="preserve">epatic </w:t>
      </w:r>
      <w:r w:rsidR="00DB2D5F" w:rsidRPr="00AC019A">
        <w:rPr>
          <w:rFonts w:ascii="Arial" w:hAnsi="Arial" w:cs="Arial"/>
          <w:bCs/>
          <w:sz w:val="18"/>
          <w:szCs w:val="18"/>
        </w:rPr>
        <w:t>c</w:t>
      </w:r>
      <w:r w:rsidRPr="00AC019A">
        <w:rPr>
          <w:rFonts w:ascii="Arial" w:hAnsi="Arial" w:cs="Arial"/>
          <w:bCs/>
          <w:sz w:val="18"/>
          <w:szCs w:val="18"/>
        </w:rPr>
        <w:t>ells. HepG2 cells induced or not induced by FFA were subjected to MST1 silencing using siRNA. (</w:t>
      </w:r>
      <w:r w:rsidR="00784106">
        <w:rPr>
          <w:rFonts w:ascii="Arial" w:hAnsi="Arial" w:cs="Arial"/>
          <w:bCs/>
          <w:sz w:val="18"/>
          <w:szCs w:val="18"/>
        </w:rPr>
        <w:t>A</w:t>
      </w:r>
      <w:r w:rsidRPr="00AC019A">
        <w:rPr>
          <w:rFonts w:ascii="Arial" w:hAnsi="Arial" w:cs="Arial"/>
          <w:bCs/>
          <w:sz w:val="18"/>
          <w:szCs w:val="18"/>
        </w:rPr>
        <w:t>) Immunoblotting and grayscale analysis of n-SREBP2, pre-SREBP2, and MST1 protein expression in non-induced HepG2 cells. (</w:t>
      </w:r>
      <w:r w:rsidR="00784106">
        <w:rPr>
          <w:rFonts w:ascii="Arial" w:hAnsi="Arial" w:cs="Arial"/>
          <w:bCs/>
          <w:sz w:val="18"/>
          <w:szCs w:val="18"/>
        </w:rPr>
        <w:t>B</w:t>
      </w:r>
      <w:r w:rsidRPr="00AC019A">
        <w:rPr>
          <w:rFonts w:ascii="Arial" w:hAnsi="Arial" w:cs="Arial"/>
          <w:bCs/>
          <w:sz w:val="18"/>
          <w:szCs w:val="18"/>
        </w:rPr>
        <w:t>) mRNA expression levels of MST1, SREBP2, HMGGCR, and HMGCS1 in non-induced HepG2 cells. (</w:t>
      </w:r>
      <w:r w:rsidR="00784106">
        <w:rPr>
          <w:rFonts w:ascii="Arial" w:hAnsi="Arial" w:cs="Arial"/>
          <w:bCs/>
          <w:sz w:val="18"/>
          <w:szCs w:val="18"/>
        </w:rPr>
        <w:t>C</w:t>
      </w:r>
      <w:r w:rsidRPr="00AC019A">
        <w:rPr>
          <w:rFonts w:ascii="Arial" w:hAnsi="Arial" w:cs="Arial"/>
          <w:bCs/>
          <w:sz w:val="18"/>
          <w:szCs w:val="18"/>
        </w:rPr>
        <w:t xml:space="preserve">) Immunoblotting and grayscale analysis of n-SREBP2, pre-SREBP2, and MST1 protein expression in FFA-induced HepG2 </w:t>
      </w:r>
      <w:r w:rsidRPr="00AC019A">
        <w:rPr>
          <w:rFonts w:ascii="Arial" w:hAnsi="Arial" w:cs="Arial"/>
          <w:bCs/>
          <w:sz w:val="18"/>
          <w:szCs w:val="18"/>
        </w:rPr>
        <w:lastRenderedPageBreak/>
        <w:t>cells. (</w:t>
      </w:r>
      <w:r w:rsidR="00784106">
        <w:rPr>
          <w:rFonts w:ascii="Arial" w:hAnsi="Arial" w:cs="Arial"/>
          <w:bCs/>
          <w:sz w:val="18"/>
          <w:szCs w:val="18"/>
        </w:rPr>
        <w:t>D</w:t>
      </w:r>
      <w:r w:rsidRPr="00AC019A">
        <w:rPr>
          <w:rFonts w:ascii="Arial" w:hAnsi="Arial" w:cs="Arial"/>
          <w:bCs/>
          <w:sz w:val="18"/>
          <w:szCs w:val="18"/>
        </w:rPr>
        <w:t>) mRNA expression levels of MST1, SREBP2, HMGGCR, and HMGCS1 in FFA-induced HepG2 cells. (</w:t>
      </w:r>
      <w:r w:rsidR="00784106">
        <w:rPr>
          <w:rFonts w:ascii="Arial" w:hAnsi="Arial" w:cs="Arial"/>
          <w:bCs/>
          <w:sz w:val="18"/>
          <w:szCs w:val="18"/>
        </w:rPr>
        <w:t>E</w:t>
      </w:r>
      <w:r w:rsidR="0024446A">
        <w:rPr>
          <w:rFonts w:ascii="Arial" w:hAnsi="Arial" w:cs="Arial"/>
          <w:bCs/>
          <w:sz w:val="18"/>
          <w:szCs w:val="18"/>
        </w:rPr>
        <w:t xml:space="preserve">) </w:t>
      </w:r>
      <w:r w:rsidRPr="00AC019A">
        <w:rPr>
          <w:rFonts w:ascii="Arial" w:hAnsi="Arial" w:cs="Arial"/>
          <w:bCs/>
          <w:sz w:val="18"/>
          <w:szCs w:val="18"/>
        </w:rPr>
        <w:t>Measurement of TC and FC content in the NASH cell model. (</w:t>
      </w:r>
      <w:r w:rsidR="00784106">
        <w:rPr>
          <w:rFonts w:ascii="Arial" w:hAnsi="Arial" w:cs="Arial"/>
          <w:bCs/>
          <w:sz w:val="18"/>
          <w:szCs w:val="18"/>
        </w:rPr>
        <w:t>F</w:t>
      </w:r>
      <w:r w:rsidRPr="00AC019A">
        <w:rPr>
          <w:rFonts w:ascii="Arial" w:hAnsi="Arial" w:cs="Arial"/>
          <w:bCs/>
          <w:sz w:val="18"/>
          <w:szCs w:val="18"/>
        </w:rPr>
        <w:t xml:space="preserve">) Representative Filipin staining displaying FC deposition in the </w:t>
      </w:r>
      <w:r w:rsidR="000C5100">
        <w:rPr>
          <w:rFonts w:ascii="Arial" w:hAnsi="Arial" w:cs="Arial"/>
          <w:bCs/>
          <w:sz w:val="18"/>
          <w:szCs w:val="18"/>
        </w:rPr>
        <w:t>NASH cell model (scale bars, 20</w:t>
      </w:r>
      <w:r w:rsidR="001F706D">
        <w:rPr>
          <w:rFonts w:ascii="Arial" w:hAnsi="Arial" w:cs="Arial"/>
          <w:bCs/>
          <w:sz w:val="18"/>
          <w:szCs w:val="18"/>
        </w:rPr>
        <w:t xml:space="preserve"> </w:t>
      </w:r>
      <w:r w:rsidRPr="00AC019A">
        <w:rPr>
          <w:rFonts w:ascii="Arial" w:hAnsi="Arial" w:cs="Arial"/>
          <w:bCs/>
          <w:sz w:val="18"/>
          <w:szCs w:val="18"/>
        </w:rPr>
        <w:t xml:space="preserve">μm). Data are presented as the mean ± SEM. Data represent 3 independent experiments. </w:t>
      </w:r>
      <w:r w:rsidRPr="00AC019A">
        <w:rPr>
          <w:rFonts w:ascii="Arial" w:hAnsi="Arial" w:cs="Arial"/>
          <w:bCs/>
          <w:sz w:val="18"/>
          <w:szCs w:val="18"/>
          <w:vertAlign w:val="superscript"/>
        </w:rPr>
        <w:t>*</w:t>
      </w:r>
      <w:r w:rsidRPr="00AC019A">
        <w:rPr>
          <w:rFonts w:ascii="Arial" w:hAnsi="Arial" w:cs="Arial"/>
          <w:bCs/>
          <w:sz w:val="18"/>
          <w:szCs w:val="18"/>
        </w:rPr>
        <w:t xml:space="preserve">p &lt; .05, </w:t>
      </w:r>
      <w:r w:rsidRPr="00AC019A">
        <w:rPr>
          <w:rFonts w:ascii="Arial" w:hAnsi="Arial" w:cs="Arial"/>
          <w:bCs/>
          <w:sz w:val="18"/>
          <w:szCs w:val="18"/>
          <w:vertAlign w:val="superscript"/>
        </w:rPr>
        <w:t>**</w:t>
      </w:r>
      <w:r w:rsidRPr="00AC019A">
        <w:rPr>
          <w:rFonts w:ascii="Arial" w:hAnsi="Arial" w:cs="Arial"/>
          <w:bCs/>
          <w:sz w:val="18"/>
          <w:szCs w:val="18"/>
        </w:rPr>
        <w:t xml:space="preserve">p &lt; .01, </w:t>
      </w:r>
      <w:r w:rsidRPr="00AC019A">
        <w:rPr>
          <w:rFonts w:ascii="Arial" w:hAnsi="Arial" w:cs="Arial"/>
          <w:bCs/>
          <w:sz w:val="18"/>
          <w:szCs w:val="18"/>
          <w:vertAlign w:val="superscript"/>
        </w:rPr>
        <w:t>***</w:t>
      </w:r>
      <w:r w:rsidRPr="00AC019A">
        <w:rPr>
          <w:rFonts w:ascii="Arial" w:hAnsi="Arial" w:cs="Arial"/>
          <w:bCs/>
          <w:sz w:val="18"/>
          <w:szCs w:val="18"/>
        </w:rPr>
        <w:t xml:space="preserve">P &lt; .001, </w:t>
      </w:r>
      <w:r w:rsidRPr="00AC019A">
        <w:rPr>
          <w:rFonts w:ascii="Arial" w:hAnsi="Arial" w:cs="Arial"/>
          <w:bCs/>
          <w:sz w:val="18"/>
          <w:szCs w:val="18"/>
          <w:vertAlign w:val="superscript"/>
        </w:rPr>
        <w:t>****</w:t>
      </w:r>
      <w:r w:rsidRPr="00AC019A">
        <w:rPr>
          <w:rFonts w:ascii="Arial" w:hAnsi="Arial" w:cs="Arial"/>
          <w:bCs/>
          <w:sz w:val="18"/>
          <w:szCs w:val="18"/>
        </w:rPr>
        <w:t>P &lt; .0001 vs the designated two groups.</w:t>
      </w:r>
    </w:p>
    <w:p w:rsidR="001E24AD" w:rsidRDefault="001E24AD" w:rsidP="00784106">
      <w:pPr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E95DD0" w:rsidRDefault="00E95DD0" w:rsidP="00784106">
      <w:pPr>
        <w:jc w:val="left"/>
        <w:rPr>
          <w:rFonts w:ascii="Times New Roman" w:hAnsi="Times New Roman" w:hint="eastAsia"/>
          <w:b/>
          <w:bCs/>
          <w:sz w:val="24"/>
          <w:szCs w:val="24"/>
        </w:rPr>
      </w:pPr>
      <w:r w:rsidRPr="00E95DD0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4292600" cy="3048000"/>
            <wp:effectExtent l="0" t="0" r="0" b="0"/>
            <wp:docPr id="5" name="图片 5" descr="C:\Users\Administrator\Desktop\投稿\图\补充图\SF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投稿\图\补充图\SF-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24AD" w:rsidRPr="00B555F3" w:rsidRDefault="001E24AD" w:rsidP="00784106">
      <w:pPr>
        <w:jc w:val="left"/>
        <w:rPr>
          <w:rFonts w:ascii="Arial" w:hAnsi="Arial" w:cs="Arial"/>
          <w:bCs/>
          <w:sz w:val="18"/>
          <w:szCs w:val="18"/>
        </w:rPr>
      </w:pPr>
      <w:r w:rsidRPr="00321FAB">
        <w:rPr>
          <w:rFonts w:ascii="Arial" w:hAnsi="Arial" w:cs="Arial"/>
          <w:b/>
          <w:bCs/>
          <w:sz w:val="18"/>
          <w:szCs w:val="18"/>
        </w:rPr>
        <w:t>Figure S5</w:t>
      </w:r>
      <w:r w:rsidRPr="00B555F3">
        <w:rPr>
          <w:rFonts w:ascii="Arial" w:hAnsi="Arial" w:cs="Arial"/>
          <w:bCs/>
          <w:sz w:val="18"/>
          <w:szCs w:val="18"/>
        </w:rPr>
        <w:t>.</w:t>
      </w:r>
      <w:r w:rsidR="00B555F3" w:rsidRPr="00B555F3">
        <w:t xml:space="preserve"> </w:t>
      </w:r>
      <w:r w:rsidR="00B555F3" w:rsidRPr="00B555F3">
        <w:rPr>
          <w:rFonts w:ascii="Arial" w:hAnsi="Arial" w:cs="Arial"/>
          <w:bCs/>
          <w:sz w:val="18"/>
          <w:szCs w:val="18"/>
        </w:rPr>
        <w:t>MST1 is capable of ameliorating hepatic cholesterol deposition. C57BL/6J mice were fed a Western diet for 16 weeks, followed by treatment with an MST1-overexpressing lentivirus. (</w:t>
      </w:r>
      <w:r w:rsidR="00784106">
        <w:rPr>
          <w:rFonts w:ascii="Arial" w:hAnsi="Arial" w:cs="Arial"/>
          <w:bCs/>
          <w:sz w:val="18"/>
          <w:szCs w:val="18"/>
        </w:rPr>
        <w:t>A</w:t>
      </w:r>
      <w:r w:rsidR="00B555F3" w:rsidRPr="00B555F3">
        <w:rPr>
          <w:rFonts w:ascii="Arial" w:hAnsi="Arial" w:cs="Arial"/>
          <w:bCs/>
          <w:sz w:val="18"/>
          <w:szCs w:val="18"/>
        </w:rPr>
        <w:t>) Western blot and</w:t>
      </w:r>
      <w:r w:rsidR="00C56283" w:rsidRPr="00C56283">
        <w:t xml:space="preserve"> </w:t>
      </w:r>
      <w:r w:rsidR="00C56283" w:rsidRPr="00C56283">
        <w:rPr>
          <w:rFonts w:ascii="Arial" w:hAnsi="Arial" w:cs="Arial"/>
          <w:bCs/>
          <w:sz w:val="18"/>
          <w:szCs w:val="18"/>
        </w:rPr>
        <w:t>densitometry analysis</w:t>
      </w:r>
      <w:r w:rsidR="00B555F3" w:rsidRPr="00B555F3">
        <w:rPr>
          <w:rFonts w:ascii="Arial" w:hAnsi="Arial" w:cs="Arial"/>
          <w:bCs/>
          <w:sz w:val="18"/>
          <w:szCs w:val="18"/>
        </w:rPr>
        <w:t xml:space="preserve"> revealed the expression levels of MST1 in the livers of WD-fed mice. (</w:t>
      </w:r>
      <w:r w:rsidR="00784106">
        <w:rPr>
          <w:rFonts w:ascii="Arial" w:hAnsi="Arial" w:cs="Arial"/>
          <w:bCs/>
          <w:sz w:val="18"/>
          <w:szCs w:val="18"/>
        </w:rPr>
        <w:t>B</w:t>
      </w:r>
      <w:r w:rsidR="00B555F3" w:rsidRPr="00B555F3">
        <w:rPr>
          <w:rFonts w:ascii="Arial" w:hAnsi="Arial" w:cs="Arial"/>
          <w:bCs/>
          <w:sz w:val="18"/>
          <w:szCs w:val="18"/>
        </w:rPr>
        <w:t>) Changes in body weight of the mice. (</w:t>
      </w:r>
      <w:r w:rsidR="00784106">
        <w:rPr>
          <w:rFonts w:ascii="Arial" w:hAnsi="Arial" w:cs="Arial"/>
          <w:bCs/>
          <w:sz w:val="18"/>
          <w:szCs w:val="18"/>
        </w:rPr>
        <w:t>C</w:t>
      </w:r>
      <w:r w:rsidR="00B555F3" w:rsidRPr="00B555F3">
        <w:rPr>
          <w:rFonts w:ascii="Arial" w:hAnsi="Arial" w:cs="Arial"/>
          <w:bCs/>
          <w:sz w:val="18"/>
          <w:szCs w:val="18"/>
        </w:rPr>
        <w:t xml:space="preserve">) Wet liver weight of the mice. </w:t>
      </w:r>
      <w:r w:rsidR="002E136F" w:rsidRPr="00B555F3">
        <w:rPr>
          <w:rFonts w:ascii="Arial" w:hAnsi="Arial" w:cs="Arial"/>
          <w:bCs/>
          <w:sz w:val="18"/>
          <w:szCs w:val="18"/>
        </w:rPr>
        <w:t>Data are presented as the mean ± S</w:t>
      </w:r>
      <w:r w:rsidR="000F0A43" w:rsidRPr="00B555F3">
        <w:rPr>
          <w:rFonts w:ascii="Arial" w:hAnsi="Arial" w:cs="Arial"/>
          <w:bCs/>
          <w:sz w:val="18"/>
          <w:szCs w:val="18"/>
        </w:rPr>
        <w:t xml:space="preserve">EM. n = 6 mice/group. *p &lt; .05 </w:t>
      </w:r>
      <w:r w:rsidR="002E136F" w:rsidRPr="00B555F3">
        <w:rPr>
          <w:rFonts w:ascii="Arial" w:hAnsi="Arial" w:cs="Arial"/>
          <w:bCs/>
          <w:sz w:val="18"/>
          <w:szCs w:val="18"/>
        </w:rPr>
        <w:t>vs the designated two groups.</w:t>
      </w:r>
    </w:p>
    <w:sectPr w:rsidR="001E24AD" w:rsidRPr="00B555F3" w:rsidSect="00F426E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598" w:rsidRDefault="00CE1598" w:rsidP="0072772E">
      <w:pPr>
        <w:spacing w:after="0" w:line="240" w:lineRule="auto"/>
      </w:pPr>
      <w:r>
        <w:separator/>
      </w:r>
    </w:p>
  </w:endnote>
  <w:endnote w:type="continuationSeparator" w:id="0">
    <w:p w:rsidR="00CE1598" w:rsidRDefault="00CE1598" w:rsidP="00727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o-Regular">
    <w:altName w:val="Times New Roman"/>
    <w:panose1 w:val="00000000000000000000"/>
    <w:charset w:val="00"/>
    <w:family w:val="roman"/>
    <w:notTrueType/>
    <w:pitch w:val="default"/>
  </w:font>
  <w:font w:name="STIX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598" w:rsidRDefault="00CE1598" w:rsidP="0072772E">
      <w:pPr>
        <w:spacing w:after="0" w:line="240" w:lineRule="auto"/>
      </w:pPr>
      <w:r>
        <w:separator/>
      </w:r>
    </w:p>
  </w:footnote>
  <w:footnote w:type="continuationSeparator" w:id="0">
    <w:p w:rsidR="00CE1598" w:rsidRDefault="00CE1598" w:rsidP="00727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D6B"/>
    <w:rsid w:val="000077A5"/>
    <w:rsid w:val="00034B6B"/>
    <w:rsid w:val="00042BFD"/>
    <w:rsid w:val="00062CEB"/>
    <w:rsid w:val="00097340"/>
    <w:rsid w:val="000A35F4"/>
    <w:rsid w:val="000A6217"/>
    <w:rsid w:val="000A7EF1"/>
    <w:rsid w:val="000C5100"/>
    <w:rsid w:val="000F0A43"/>
    <w:rsid w:val="000F42D2"/>
    <w:rsid w:val="00133CE8"/>
    <w:rsid w:val="00142B19"/>
    <w:rsid w:val="00160891"/>
    <w:rsid w:val="00166928"/>
    <w:rsid w:val="00167BA8"/>
    <w:rsid w:val="00172378"/>
    <w:rsid w:val="001872F9"/>
    <w:rsid w:val="001A1FC8"/>
    <w:rsid w:val="001A2F02"/>
    <w:rsid w:val="001A7E13"/>
    <w:rsid w:val="001D360F"/>
    <w:rsid w:val="001D3C72"/>
    <w:rsid w:val="001E24AD"/>
    <w:rsid w:val="001E4DA3"/>
    <w:rsid w:val="001F706D"/>
    <w:rsid w:val="002308CE"/>
    <w:rsid w:val="0024446A"/>
    <w:rsid w:val="0025214E"/>
    <w:rsid w:val="002540C9"/>
    <w:rsid w:val="00255383"/>
    <w:rsid w:val="002C284E"/>
    <w:rsid w:val="002E00D0"/>
    <w:rsid w:val="002E136F"/>
    <w:rsid w:val="002F49E7"/>
    <w:rsid w:val="00321FAB"/>
    <w:rsid w:val="0032551D"/>
    <w:rsid w:val="00344E20"/>
    <w:rsid w:val="00347D53"/>
    <w:rsid w:val="00353F5D"/>
    <w:rsid w:val="00381A40"/>
    <w:rsid w:val="00385406"/>
    <w:rsid w:val="00387BA3"/>
    <w:rsid w:val="003A4644"/>
    <w:rsid w:val="003A5AFB"/>
    <w:rsid w:val="003C384C"/>
    <w:rsid w:val="003D685A"/>
    <w:rsid w:val="00410E60"/>
    <w:rsid w:val="00434785"/>
    <w:rsid w:val="00461DFB"/>
    <w:rsid w:val="00473F55"/>
    <w:rsid w:val="00482CC3"/>
    <w:rsid w:val="004A40E9"/>
    <w:rsid w:val="004A56C2"/>
    <w:rsid w:val="004B23AA"/>
    <w:rsid w:val="004B7F5F"/>
    <w:rsid w:val="004D242A"/>
    <w:rsid w:val="005362F6"/>
    <w:rsid w:val="005A65BC"/>
    <w:rsid w:val="005C1CB6"/>
    <w:rsid w:val="005D3B06"/>
    <w:rsid w:val="005E3EF6"/>
    <w:rsid w:val="00600802"/>
    <w:rsid w:val="00625BE9"/>
    <w:rsid w:val="0064405D"/>
    <w:rsid w:val="00650D74"/>
    <w:rsid w:val="006712FF"/>
    <w:rsid w:val="00680F39"/>
    <w:rsid w:val="00690E60"/>
    <w:rsid w:val="00693B36"/>
    <w:rsid w:val="006C03B8"/>
    <w:rsid w:val="00707AA4"/>
    <w:rsid w:val="007163E8"/>
    <w:rsid w:val="0072772E"/>
    <w:rsid w:val="007463E6"/>
    <w:rsid w:val="007565D9"/>
    <w:rsid w:val="00784106"/>
    <w:rsid w:val="007845AE"/>
    <w:rsid w:val="00796109"/>
    <w:rsid w:val="007A049D"/>
    <w:rsid w:val="007B0DB9"/>
    <w:rsid w:val="007B1953"/>
    <w:rsid w:val="007C0B24"/>
    <w:rsid w:val="007E0225"/>
    <w:rsid w:val="00802F3E"/>
    <w:rsid w:val="00824136"/>
    <w:rsid w:val="00830077"/>
    <w:rsid w:val="00842CA2"/>
    <w:rsid w:val="0085658C"/>
    <w:rsid w:val="00876688"/>
    <w:rsid w:val="008813F6"/>
    <w:rsid w:val="00896E2E"/>
    <w:rsid w:val="008B0B95"/>
    <w:rsid w:val="008C3173"/>
    <w:rsid w:val="008D358A"/>
    <w:rsid w:val="00900BD8"/>
    <w:rsid w:val="00911526"/>
    <w:rsid w:val="00930089"/>
    <w:rsid w:val="00930EC2"/>
    <w:rsid w:val="009414A6"/>
    <w:rsid w:val="00962A0F"/>
    <w:rsid w:val="00963243"/>
    <w:rsid w:val="00964963"/>
    <w:rsid w:val="00967377"/>
    <w:rsid w:val="009B128E"/>
    <w:rsid w:val="009C6465"/>
    <w:rsid w:val="009D5DC1"/>
    <w:rsid w:val="009E3677"/>
    <w:rsid w:val="009E545E"/>
    <w:rsid w:val="009F773F"/>
    <w:rsid w:val="00A13B0C"/>
    <w:rsid w:val="00A2054D"/>
    <w:rsid w:val="00A21120"/>
    <w:rsid w:val="00A25695"/>
    <w:rsid w:val="00A26650"/>
    <w:rsid w:val="00AA12E8"/>
    <w:rsid w:val="00AC019A"/>
    <w:rsid w:val="00AC1398"/>
    <w:rsid w:val="00AF7A64"/>
    <w:rsid w:val="00B1215D"/>
    <w:rsid w:val="00B40867"/>
    <w:rsid w:val="00B46529"/>
    <w:rsid w:val="00B47F8E"/>
    <w:rsid w:val="00B53863"/>
    <w:rsid w:val="00B555F3"/>
    <w:rsid w:val="00B609F0"/>
    <w:rsid w:val="00BA2934"/>
    <w:rsid w:val="00BA65A2"/>
    <w:rsid w:val="00BB4D00"/>
    <w:rsid w:val="00BE3389"/>
    <w:rsid w:val="00BE39A3"/>
    <w:rsid w:val="00C07911"/>
    <w:rsid w:val="00C11051"/>
    <w:rsid w:val="00C1407F"/>
    <w:rsid w:val="00C41349"/>
    <w:rsid w:val="00C54263"/>
    <w:rsid w:val="00C56283"/>
    <w:rsid w:val="00C70F14"/>
    <w:rsid w:val="00CB143E"/>
    <w:rsid w:val="00CB6CD6"/>
    <w:rsid w:val="00CC248A"/>
    <w:rsid w:val="00CC49CA"/>
    <w:rsid w:val="00CE05D2"/>
    <w:rsid w:val="00CE1598"/>
    <w:rsid w:val="00CE5076"/>
    <w:rsid w:val="00CE5FAE"/>
    <w:rsid w:val="00D36782"/>
    <w:rsid w:val="00D47BDD"/>
    <w:rsid w:val="00D85DFA"/>
    <w:rsid w:val="00DB2742"/>
    <w:rsid w:val="00DB2D5F"/>
    <w:rsid w:val="00DB5527"/>
    <w:rsid w:val="00DC2362"/>
    <w:rsid w:val="00DC7D6B"/>
    <w:rsid w:val="00DF0455"/>
    <w:rsid w:val="00DF43E4"/>
    <w:rsid w:val="00E012BC"/>
    <w:rsid w:val="00E26C1D"/>
    <w:rsid w:val="00E5206D"/>
    <w:rsid w:val="00E90E51"/>
    <w:rsid w:val="00E9214E"/>
    <w:rsid w:val="00E95DD0"/>
    <w:rsid w:val="00EB3FD5"/>
    <w:rsid w:val="00EB6697"/>
    <w:rsid w:val="00EC744A"/>
    <w:rsid w:val="00EF0328"/>
    <w:rsid w:val="00EF71D8"/>
    <w:rsid w:val="00EF7C22"/>
    <w:rsid w:val="00F406A9"/>
    <w:rsid w:val="00F426E5"/>
    <w:rsid w:val="00F42D52"/>
    <w:rsid w:val="00F84587"/>
    <w:rsid w:val="00FA6476"/>
    <w:rsid w:val="00FB0B74"/>
    <w:rsid w:val="00FC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D76F1"/>
  <w15:chartTrackingRefBased/>
  <w15:docId w15:val="{198F7270-A4DF-4AC6-81D2-1B328CB5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72E"/>
    <w:pPr>
      <w:widowControl w:val="0"/>
      <w:spacing w:after="120" w:line="36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77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772E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772E"/>
    <w:rPr>
      <w:sz w:val="18"/>
      <w:szCs w:val="18"/>
    </w:rPr>
  </w:style>
  <w:style w:type="character" w:customStyle="1" w:styleId="fontstyle01">
    <w:name w:val="fontstyle01"/>
    <w:basedOn w:val="a0"/>
    <w:rsid w:val="00353F5D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353F5D"/>
    <w:rPr>
      <w:rFonts w:ascii="STIX-Regular" w:hAnsi="STIX-Regular" w:hint="default"/>
      <w:b w:val="0"/>
      <w:bCs w:val="0"/>
      <w:i w:val="0"/>
      <w:iCs w:val="0"/>
      <w:color w:val="24202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4</Pages>
  <Words>431</Words>
  <Characters>2458</Characters>
  <Application>Microsoft Office Word</Application>
  <DocSecurity>0</DocSecurity>
  <Lines>20</Lines>
  <Paragraphs>5</Paragraphs>
  <ScaleCrop>false</ScaleCrop>
  <Company>Microsoft</Company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143</cp:revision>
  <dcterms:created xsi:type="dcterms:W3CDTF">2023-12-18T10:21:00Z</dcterms:created>
  <dcterms:modified xsi:type="dcterms:W3CDTF">2024-05-19T05:46:00Z</dcterms:modified>
</cp:coreProperties>
</file>