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CBC0A4" w14:textId="77777777" w:rsidR="00A942B6" w:rsidRDefault="00A942B6" w:rsidP="00A942B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 legend</w:t>
      </w:r>
    </w:p>
    <w:p w14:paraId="5CAA1789" w14:textId="77777777" w:rsidR="00A942B6" w:rsidRDefault="00A942B6" w:rsidP="00A942B6">
      <w:pPr>
        <w:spacing w:line="480" w:lineRule="auto"/>
        <w:rPr>
          <w:rFonts w:ascii="Times New Roman" w:hAnsi="Times New Roman" w:cs="Times New Roman"/>
          <w:iCs/>
          <w:sz w:val="22"/>
        </w:rPr>
      </w:pPr>
      <w:r>
        <w:rPr>
          <w:rFonts w:ascii="Times New Roman" w:hAnsi="Times New Roman" w:cs="Times New Roman"/>
          <w:iCs/>
          <w:sz w:val="22"/>
        </w:rPr>
        <w:t>Supplementary Fig. 1. Heatmap of the top 25 abundant species distribution between two groups.</w:t>
      </w:r>
    </w:p>
    <w:p w14:paraId="0455D94F" w14:textId="77777777" w:rsidR="00A942B6" w:rsidRDefault="00A942B6" w:rsidP="00A942B6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Supplementary Fig.2. Population genetic structure of </w:t>
      </w:r>
      <w:r>
        <w:rPr>
          <w:rFonts w:ascii="Times New Roman" w:hAnsi="Times New Roman" w:cs="Times New Roman"/>
          <w:i/>
          <w:iCs/>
          <w:sz w:val="22"/>
        </w:rPr>
        <w:t>Escherichia coli</w:t>
      </w:r>
      <w:r>
        <w:rPr>
          <w:rFonts w:ascii="Times New Roman" w:hAnsi="Times New Roman" w:cs="Times New Roman"/>
          <w:sz w:val="22"/>
        </w:rPr>
        <w:t xml:space="preserve"> and </w:t>
      </w:r>
      <w:proofErr w:type="spellStart"/>
      <w:r>
        <w:rPr>
          <w:rFonts w:ascii="Times New Roman" w:hAnsi="Times New Roman" w:cs="Times New Roman"/>
          <w:i/>
          <w:iCs/>
          <w:sz w:val="22"/>
        </w:rPr>
        <w:t>Veillonella</w:t>
      </w:r>
      <w:proofErr w:type="spellEnd"/>
      <w:r>
        <w:rPr>
          <w:rFonts w:ascii="Times New Roman" w:hAnsi="Times New Roman" w:cs="Times New Roman"/>
          <w:i/>
          <w:iCs/>
          <w:sz w:val="22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2"/>
        </w:rPr>
        <w:t>parvula</w:t>
      </w:r>
      <w:proofErr w:type="spellEnd"/>
      <w:r>
        <w:rPr>
          <w:rFonts w:ascii="Times New Roman" w:hAnsi="Times New Roman" w:cs="Times New Roman"/>
          <w:i/>
          <w:iCs/>
          <w:sz w:val="22"/>
        </w:rPr>
        <w:t>.</w:t>
      </w:r>
    </w:p>
    <w:p w14:paraId="6C7E6CCF" w14:textId="77777777" w:rsidR="00A942B6" w:rsidRDefault="00A942B6" w:rsidP="00A942B6">
      <w:pPr>
        <w:spacing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 w:val="22"/>
        </w:rPr>
        <w:t>Supplementary Fig. 3. Different co-expressed human transcript modules between AD and healthy controls. A)</w:t>
      </w:r>
      <w:r>
        <w:rPr>
          <w:rFonts w:ascii="Times New Roman" w:hAnsi="Times New Roman" w:cs="Times New Roman"/>
          <w:szCs w:val="20"/>
        </w:rPr>
        <w:t xml:space="preserve"> </w:t>
      </w:r>
      <w:r>
        <w:rPr>
          <w:rFonts w:ascii="Times New Roman" w:hAnsi="Times New Roman" w:cs="Times New Roman"/>
          <w:sz w:val="22"/>
        </w:rPr>
        <w:t>WGCNA analysis for identifying transcript modules. The transcript module dendrogram was generated based on the scale-free fit index and mean connectivity cut-off. B)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sz w:val="22"/>
        </w:rPr>
        <w:t>Gene modules differentially expressed between AD and healthy controls were assessed using the Wilcoxon rank-sum test (</w:t>
      </w:r>
      <w:r>
        <w:rPr>
          <w:rFonts w:ascii="Times New Roman" w:hAnsi="Times New Roman" w:cs="Times New Roman"/>
          <w:i/>
          <w:iCs/>
          <w:sz w:val="22"/>
        </w:rPr>
        <w:t>P</w:t>
      </w:r>
      <w:r>
        <w:rPr>
          <w:rFonts w:ascii="Times New Roman" w:hAnsi="Times New Roman" w:cs="Times New Roman"/>
          <w:sz w:val="22"/>
        </w:rPr>
        <w:t xml:space="preserve"> &lt; 0.05). The top ten enrichment pathways are ranked by </w:t>
      </w:r>
      <w:r>
        <w:rPr>
          <w:rFonts w:ascii="Times New Roman" w:hAnsi="Times New Roman" w:cs="Times New Roman"/>
          <w:i/>
          <w:iCs/>
          <w:sz w:val="22"/>
        </w:rPr>
        <w:t>P</w:t>
      </w:r>
      <w:r>
        <w:rPr>
          <w:rFonts w:ascii="Times New Roman" w:hAnsi="Times New Roman" w:cs="Times New Roman"/>
          <w:sz w:val="22"/>
        </w:rPr>
        <w:t xml:space="preserve"> value,</w:t>
      </w:r>
      <w:r>
        <w:rPr>
          <w:rFonts w:ascii="Segoe UI" w:hAnsi="Segoe UI" w:cs="Segoe UI"/>
          <w:color w:val="0D0D0D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with the significance of the pathway annotated at </w:t>
      </w:r>
      <w:r>
        <w:rPr>
          <w:rFonts w:ascii="Times New Roman" w:hAnsi="Times New Roman" w:cs="Times New Roman"/>
          <w:i/>
          <w:iCs/>
          <w:sz w:val="22"/>
        </w:rPr>
        <w:t>q</w:t>
      </w:r>
      <w:r>
        <w:rPr>
          <w:rFonts w:ascii="Times New Roman" w:hAnsi="Times New Roman" w:cs="Times New Roman"/>
          <w:sz w:val="22"/>
        </w:rPr>
        <w:t xml:space="preserve"> &lt; 0.05.</w:t>
      </w:r>
    </w:p>
    <w:p w14:paraId="49213B7B" w14:textId="77777777" w:rsidR="00A942B6" w:rsidRDefault="00A942B6" w:rsidP="00A942B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Table legend</w:t>
      </w:r>
    </w:p>
    <w:p w14:paraId="1AF3C84F" w14:textId="77777777" w:rsidR="00A942B6" w:rsidRDefault="00A942B6" w:rsidP="00A942B6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Supplementary Table 1. Characteristics of the study population</w:t>
      </w:r>
    </w:p>
    <w:p w14:paraId="15584463" w14:textId="77777777" w:rsidR="00A942B6" w:rsidRDefault="00A942B6" w:rsidP="00A942B6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Supplementary Table 2. Sample </w:t>
      </w:r>
      <w:proofErr w:type="gramStart"/>
      <w:r>
        <w:rPr>
          <w:rFonts w:ascii="Times New Roman" w:hAnsi="Times New Roman" w:cs="Times New Roman"/>
          <w:sz w:val="22"/>
        </w:rPr>
        <w:t>characteristics</w:t>
      </w:r>
      <w:proofErr w:type="gramEnd"/>
    </w:p>
    <w:p w14:paraId="76443A97" w14:textId="77777777" w:rsidR="00A942B6" w:rsidRDefault="00A942B6" w:rsidP="00A942B6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Supplementary Table 3. Microbial species correlation with diversity indices </w:t>
      </w:r>
    </w:p>
    <w:p w14:paraId="3288AEA3" w14:textId="77777777" w:rsidR="00A942B6" w:rsidRDefault="00A942B6" w:rsidP="00A942B6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Supplementary Table 4. Correlated metabolites by B. longum subclade</w:t>
      </w:r>
    </w:p>
    <w:p w14:paraId="40A07FC0" w14:textId="77777777" w:rsidR="00A942B6" w:rsidRDefault="00A942B6" w:rsidP="00A942B6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Supplementary Table 5. Statistics of metagenomic sequence</w:t>
      </w:r>
    </w:p>
    <w:p w14:paraId="6851CF1A" w14:textId="77777777" w:rsidR="00A942B6" w:rsidRDefault="00A942B6" w:rsidP="00A942B6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Supplementary Table 6. Microbial species abundance table</w:t>
      </w:r>
    </w:p>
    <w:p w14:paraId="2582F6EF" w14:textId="77777777" w:rsidR="00A942B6" w:rsidRDefault="00A942B6" w:rsidP="00A942B6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Supplementary Table 7. Microbial diversity</w:t>
      </w:r>
    </w:p>
    <w:p w14:paraId="2C47E42D" w14:textId="77777777" w:rsidR="00A942B6" w:rsidRDefault="00A942B6" w:rsidP="00A942B6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Supplementary Table 8. Host transcript chip data </w:t>
      </w:r>
      <w:proofErr w:type="gramStart"/>
      <w:r>
        <w:rPr>
          <w:rFonts w:ascii="Times New Roman" w:hAnsi="Times New Roman" w:cs="Times New Roman"/>
          <w:sz w:val="22"/>
        </w:rPr>
        <w:t>table</w:t>
      </w:r>
      <w:proofErr w:type="gramEnd"/>
    </w:p>
    <w:p w14:paraId="5D095269" w14:textId="77777777" w:rsidR="00A942B6" w:rsidRDefault="00A942B6" w:rsidP="00A942B6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Supplementary Table 9. Untargeted metabolome data table</w:t>
      </w:r>
    </w:p>
    <w:p w14:paraId="49AB6B99" w14:textId="77777777" w:rsidR="00A942B6" w:rsidRDefault="00A942B6" w:rsidP="00A942B6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Supplementary Table 10. Pearson residuals for microbial species</w:t>
      </w:r>
    </w:p>
    <w:p w14:paraId="504BA42C" w14:textId="77777777" w:rsidR="00A942B6" w:rsidRDefault="00A942B6" w:rsidP="00A942B6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Supplementary Table 11. Pearson residuals for host transcriptome</w:t>
      </w:r>
    </w:p>
    <w:p w14:paraId="00E612CA" w14:textId="77777777" w:rsidR="00A942B6" w:rsidRDefault="00A942B6" w:rsidP="00A942B6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lastRenderedPageBreak/>
        <w:t>Supplementary Table 12. Pearson residuals for metabolome</w:t>
      </w:r>
    </w:p>
    <w:p w14:paraId="156B8AF4" w14:textId="77777777" w:rsidR="00A942B6" w:rsidRDefault="00A942B6" w:rsidP="00A942B6">
      <w:pPr>
        <w:widowControl/>
        <w:wordWrap/>
        <w:autoSpaceDE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Text legend</w:t>
      </w:r>
    </w:p>
    <w:p w14:paraId="59BE75A0" w14:textId="77777777" w:rsidR="00A942B6" w:rsidRDefault="00A942B6" w:rsidP="00A942B6">
      <w:pPr>
        <w:widowControl/>
        <w:wordWrap/>
        <w:autoSpaceDE/>
        <w:spacing w:line="480" w:lineRule="auto"/>
        <w:rPr>
          <w:rFonts w:ascii="Times New Roman" w:hAnsi="Times New Roman" w:cs="Times New Roman"/>
          <w:b/>
          <w:bCs/>
          <w:sz w:val="24"/>
          <w:szCs w:val="32"/>
          <w:shd w:val="clear" w:color="auto" w:fill="FFFFFF"/>
        </w:rPr>
      </w:pPr>
      <w:r>
        <w:rPr>
          <w:rFonts w:ascii="Times New Roman" w:hAnsi="Times New Roman" w:cs="Times New Roman"/>
          <w:sz w:val="22"/>
        </w:rPr>
        <w:t>Supplementary Text: Co-expressed human transcript module changes in atopic dermatitis</w:t>
      </w:r>
    </w:p>
    <w:p w14:paraId="537497F1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2B6"/>
    <w:rsid w:val="005374DE"/>
    <w:rsid w:val="00871FE1"/>
    <w:rsid w:val="00A317A3"/>
    <w:rsid w:val="00A942B6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E3571"/>
  <w15:chartTrackingRefBased/>
  <w15:docId w15:val="{D11E0EB1-4E41-485D-856F-7B19CDC89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42B6"/>
    <w:pPr>
      <w:widowControl w:val="0"/>
      <w:wordWrap w:val="0"/>
      <w:autoSpaceDE w:val="0"/>
      <w:autoSpaceDN w:val="0"/>
      <w:spacing w:line="256" w:lineRule="auto"/>
      <w:jc w:val="both"/>
    </w:pPr>
    <w:rPr>
      <w:rFonts w:eastAsiaTheme="minorEastAsia"/>
      <w:sz w:val="20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42B6"/>
    <w:pPr>
      <w:keepNext/>
      <w:keepLines/>
      <w:widowControl/>
      <w:wordWrap/>
      <w:autoSpaceDE/>
      <w:autoSpaceDN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42B6"/>
    <w:pPr>
      <w:keepNext/>
      <w:keepLines/>
      <w:widowControl/>
      <w:wordWrap/>
      <w:autoSpaceDE/>
      <w:autoSpaceDN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42B6"/>
    <w:pPr>
      <w:keepNext/>
      <w:keepLines/>
      <w:widowControl/>
      <w:wordWrap/>
      <w:autoSpaceDE/>
      <w:autoSpaceDN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42B6"/>
    <w:pPr>
      <w:keepNext/>
      <w:keepLines/>
      <w:widowControl/>
      <w:wordWrap/>
      <w:autoSpaceDE/>
      <w:autoSpaceDN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42B6"/>
    <w:pPr>
      <w:keepNext/>
      <w:keepLines/>
      <w:widowControl/>
      <w:wordWrap/>
      <w:autoSpaceDE/>
      <w:autoSpaceDN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42B6"/>
    <w:pPr>
      <w:keepNext/>
      <w:keepLines/>
      <w:widowControl/>
      <w:wordWrap/>
      <w:autoSpaceDE/>
      <w:autoSpaceDN/>
      <w:spacing w:before="40" w:after="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42B6"/>
    <w:pPr>
      <w:keepNext/>
      <w:keepLines/>
      <w:widowControl/>
      <w:wordWrap/>
      <w:autoSpaceDE/>
      <w:autoSpaceDN/>
      <w:spacing w:before="40" w:after="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42B6"/>
    <w:pPr>
      <w:keepNext/>
      <w:keepLines/>
      <w:widowControl/>
      <w:wordWrap/>
      <w:autoSpaceDE/>
      <w:autoSpaceDN/>
      <w:spacing w:after="0"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42B6"/>
    <w:pPr>
      <w:keepNext/>
      <w:keepLines/>
      <w:widowControl/>
      <w:wordWrap/>
      <w:autoSpaceDE/>
      <w:autoSpaceDN/>
      <w:spacing w:after="0"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42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42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42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42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42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42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42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42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42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42B6"/>
    <w:pPr>
      <w:widowControl/>
      <w:wordWrap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942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42B6"/>
    <w:pPr>
      <w:widowControl/>
      <w:numPr>
        <w:ilvl w:val="1"/>
      </w:numPr>
      <w:wordWrap/>
      <w:autoSpaceDE/>
      <w:autoSpaceDN/>
      <w:spacing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942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42B6"/>
    <w:pPr>
      <w:widowControl/>
      <w:wordWrap/>
      <w:autoSpaceDE/>
      <w:autoSpaceDN/>
      <w:spacing w:before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942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42B6"/>
    <w:pPr>
      <w:widowControl/>
      <w:wordWrap/>
      <w:autoSpaceDE/>
      <w:autoSpaceDN/>
      <w:spacing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942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42B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42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42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8903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236</Words>
  <Characters>1346</Characters>
  <Application>Microsoft Office Word</Application>
  <DocSecurity>0</DocSecurity>
  <Lines>11</Lines>
  <Paragraphs>3</Paragraphs>
  <ScaleCrop>false</ScaleCrop>
  <Company>Springer Nature</Company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2024-06-18T10:49:00Z</dcterms:created>
  <dcterms:modified xsi:type="dcterms:W3CDTF">2024-06-18T10:50:00Z</dcterms:modified>
</cp:coreProperties>
</file>