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2595880"/>
            <wp:effectExtent l="0" t="0" r="3810" b="7620"/>
            <wp:docPr id="6" name="图片 6" descr="add file 1四腔 室间隔测量示意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add file 1四腔 室间隔测量示意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9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宋体" w:cs="Times New Roman"/>
          <w:lang w:val="en-US" w:eastAsia="zh-CN"/>
        </w:rPr>
      </w:pPr>
      <w:bookmarkStart w:id="0" w:name="_GoBack"/>
      <w:r>
        <w:rPr>
          <w:rFonts w:hint="default" w:ascii="Times New Roman" w:hAnsi="Times New Roman" w:cs="Times New Roman" w:eastAsiaTheme="minorEastAsia"/>
          <w:b/>
          <w:bCs/>
          <w:lang w:eastAsia="zh-CN"/>
        </w:rPr>
        <w:t>Additional fle1</w:t>
      </w:r>
      <w:r>
        <w:rPr>
          <w:rFonts w:hint="default" w:ascii="Times New Roman" w:hAnsi="Times New Roman" w:cs="Times New Roman"/>
          <w:b/>
          <w:bCs/>
          <w:lang w:eastAsia="zh-CN"/>
        </w:rPr>
        <w:t>：</w:t>
      </w:r>
      <w:bookmarkEnd w:id="0"/>
      <w:r>
        <w:rPr>
          <w:rFonts w:hint="default" w:ascii="Times New Roman" w:hAnsi="Times New Roman" w:cs="Times New Roman"/>
          <w:lang w:eastAsia="zh-CN"/>
        </w:rPr>
        <w:t>The IVS thickness was measured on each patient's CMR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lang w:eastAsia="zh-CN"/>
        </w:rPr>
        <w:t>using the four-chamber long-axis view at the midway</w:t>
      </w:r>
      <w:r>
        <w:rPr>
          <w:rFonts w:hint="eastAsia" w:ascii="Times New Roman" w:hAnsi="Times New Roman" w:cs="Times New Roman"/>
          <w:lang w:val="en-US" w:eastAsia="zh-CN"/>
        </w:rPr>
        <w:t xml:space="preserve"> (A) </w:t>
      </w:r>
      <w:r>
        <w:rPr>
          <w:rFonts w:hint="default" w:ascii="Times New Roman" w:hAnsi="Times New Roman" w:cs="Times New Roman"/>
          <w:lang w:eastAsia="zh-CN"/>
        </w:rPr>
        <w:t>between the base and the apex of the left ventricle</w:t>
      </w:r>
      <w:r>
        <w:rPr>
          <w:rFonts w:hint="eastAsia" w:ascii="Times New Roman" w:hAnsi="Times New Roman" w:cs="Times New Roman"/>
          <w:lang w:val="en-US" w:eastAsia="zh-CN"/>
        </w:rPr>
        <w:t xml:space="preserve"> (B)</w:t>
      </w:r>
      <w:r>
        <w:rPr>
          <w:rFonts w:hint="default" w:ascii="Times New Roman" w:hAnsi="Times New Roman" w:cs="Times New Roman"/>
          <w:lang w:eastAsia="zh-CN"/>
        </w:rPr>
        <w:t xml:space="preserve"> at enddiastole.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szCs w:val="21"/>
        </w:rPr>
        <w:t>IVS,</w:t>
      </w:r>
      <w:r>
        <w:t xml:space="preserve"> </w:t>
      </w:r>
      <w:r>
        <w:rPr>
          <w:rFonts w:ascii="Times New Roman" w:hAnsi="Times New Roman" w:eastAsia="宋体" w:cs="Times New Roman"/>
          <w:szCs w:val="21"/>
        </w:rPr>
        <w:t>interventricular septum</w:t>
      </w:r>
      <w:r>
        <w:rPr>
          <w:rFonts w:hint="eastAsia" w:ascii="Times New Roman" w:hAnsi="Times New Roman" w:eastAsia="宋体" w:cs="Times New Roman"/>
          <w:szCs w:val="21"/>
          <w:lang w:val="en-US" w:eastAsia="zh-CN"/>
        </w:rPr>
        <w:t>.(Cite location: Page 6, line 115)</w:t>
      </w:r>
    </w:p>
    <w:p>
      <w:pPr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Reference: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Siddiqui AM, Samad Z, Crowley ALC, Hakacova N, Harrison JK, Wagner GS: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 Relationships between cardiac magnetic resonance imaging abnormalities in the inter-ventricular septum and Selvester QRS scoring criteria for anterior–septal myocardial infarction in patients with right ventricular volume overload. </w:t>
      </w:r>
      <w:r>
        <w:rPr>
          <w:rFonts w:hint="eastAsia" w:ascii="Times New Roman" w:hAnsi="Times New Roman" w:cs="Times New Roman"/>
          <w:lang w:val="en-US" w:eastAsia="zh-CN"/>
        </w:rPr>
        <w:t>Journal of Electrocardiology 2013, 46(3):256-262.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yOGQ3ZDBmN2UyMGQzYzA5MmYwMWQzMmE4MTNhMDMifQ=="/>
  </w:docVars>
  <w:rsids>
    <w:rsidRoot w:val="5B3E6987"/>
    <w:rsid w:val="24966E02"/>
    <w:rsid w:val="5B3E6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2024-05-18T02:23:00Z</dcterms:created>
  <dc:creator>记幌冻狙嘲</dc:creator>
  <cp:lastModifiedBy>记幌冻狙嘲</cp:lastModifiedBy>
  <dcterms:modified xsi:type="dcterms:W3CDTF">2024-05-18T02:35:02Z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886C8EBCCC1E44E9826889A97AD7D796_11</vt:lpwstr>
  </property>
</Properties>
</file>