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none" w:color="000000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rPr>
          <w:rFonts w:hint="default" w:ascii="Arial Regular" w:hAnsi="Arial Regular" w:eastAsia="宋体" w:cs="Arial Regular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Arial Regular" w:hAnsi="Arial Regular" w:eastAsia="宋体" w:cs="Arial Regular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Appendix C The coefficients of ten</w:t>
      </w:r>
      <w:r>
        <w:rPr>
          <w:rFonts w:hint="default" w:ascii="Arial Regular" w:hAnsi="Arial Regular" w:eastAsia="宋体" w:cs="Arial Regular"/>
          <w:b/>
          <w:bCs/>
          <w:i w:val="0"/>
          <w:iCs w:val="0"/>
          <w:color w:val="000000"/>
          <w:kern w:val="0"/>
          <w:sz w:val="20"/>
          <w:szCs w:val="20"/>
          <w:u w:val="none"/>
          <w:lang w:eastAsia="zh-CN" w:bidi="ar"/>
        </w:rPr>
        <w:t xml:space="preserve"> </w:t>
      </w:r>
      <w:r>
        <w:rPr>
          <w:rFonts w:hint="default" w:ascii="Arial Regular" w:hAnsi="Arial Regular" w:eastAsia="宋体" w:cs="Arial Regular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selected</w:t>
      </w:r>
      <w:r>
        <w:rPr>
          <w:rFonts w:hint="default" w:ascii="Arial Regular" w:hAnsi="Arial Regular" w:eastAsia="宋体" w:cs="Arial Regular"/>
          <w:b/>
          <w:bCs/>
          <w:i w:val="0"/>
          <w:iCs w:val="0"/>
          <w:color w:val="000000"/>
          <w:kern w:val="0"/>
          <w:sz w:val="20"/>
          <w:szCs w:val="20"/>
          <w:u w:val="none"/>
          <w:lang w:eastAsia="zh-CN" w:bidi="ar"/>
        </w:rPr>
        <w:t xml:space="preserve"> </w:t>
      </w:r>
      <w:r>
        <w:rPr>
          <w:rFonts w:hint="default" w:ascii="Arial Regular" w:hAnsi="Arial Regular" w:eastAsia="宋体" w:cs="Arial Regular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features in RF-based PURS model</w:t>
      </w:r>
    </w:p>
    <w:tbl>
      <w:tblPr>
        <w:tblStyle w:val="3"/>
        <w:tblW w:w="0" w:type="auto"/>
        <w:tblInd w:w="0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2"/>
        <w:gridCol w:w="1540"/>
      </w:tblGrid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6982" w:type="dxa"/>
            <w:tcBorders>
              <w:bottom w:val="single" w:color="000000" w:sz="12" w:space="0"/>
            </w:tcBorders>
            <w:noWrap w:val="0"/>
            <w:vAlign w:val="top"/>
          </w:tcPr>
          <w:p>
            <w:pPr>
              <w:spacing w:line="240" w:lineRule="auto"/>
              <w:rPr>
                <w:rFonts w:hint="default" w:ascii="Arial Regular" w:hAnsi="Arial Regular" w:eastAsia="宋体" w:cs="Arial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Features </w:t>
            </w:r>
          </w:p>
        </w:tc>
        <w:tc>
          <w:tcPr>
            <w:tcW w:w="1540" w:type="dxa"/>
            <w:tcBorders>
              <w:bottom w:val="single" w:color="000000" w:sz="12" w:space="0"/>
            </w:tcBorders>
            <w:noWrap w:val="0"/>
            <w:vAlign w:val="top"/>
          </w:tcPr>
          <w:p>
            <w:pPr>
              <w:spacing w:line="240" w:lineRule="auto"/>
              <w:jc w:val="both"/>
              <w:rPr>
                <w:rFonts w:hint="default" w:ascii="Arial Regular" w:hAnsi="Arial Regular" w:eastAsia="宋体" w:cs="Arial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Coef in model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6982" w:type="dxa"/>
            <w:tcBorders>
              <w:top w:val="single" w:color="000000" w:sz="12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Helvetica" w:cs="Arial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Wavelet-LHL_GLSZM_Small Area Emphasis </w:t>
            </w:r>
          </w:p>
        </w:tc>
        <w:tc>
          <w:tcPr>
            <w:tcW w:w="1540" w:type="dxa"/>
            <w:tcBorders>
              <w:top w:val="single" w:color="000000" w:sz="12" w:space="0"/>
              <w:tl2br w:val="nil"/>
              <w:tr2bl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0.914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6982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Helvetica" w:cs="Arial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Wavelet-LHL_GLRLM_Run Entropy </w:t>
            </w:r>
          </w:p>
        </w:tc>
        <w:tc>
          <w:tcPr>
            <w:tcW w:w="154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-0.854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6982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Helvetica" w:cs="Arial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Wavelet-LHL_GLCM_Imc2 </w:t>
            </w:r>
          </w:p>
        </w:tc>
        <w:tc>
          <w:tcPr>
            <w:tcW w:w="154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-0.816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6982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Helvetica" w:cs="Arial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Wavelet-LHH_GLDM_Large Dependence Low Gray Level Emphasis </w:t>
            </w:r>
          </w:p>
        </w:tc>
        <w:tc>
          <w:tcPr>
            <w:tcW w:w="154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-2.181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6982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Arial Regular" w:hAnsi="Arial Regular" w:eastAsia="Helvetica" w:cs="Arial Regular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Arial Regular" w:hAnsi="Arial Regular" w:eastAsia="Helvetica" w:cs="Arial Regular"/>
                <w:color w:val="000000"/>
                <w:kern w:val="0"/>
                <w:sz w:val="18"/>
                <w:szCs w:val="18"/>
                <w:lang w:val="en-US" w:eastAsia="zh-CN" w:bidi="ar"/>
              </w:rPr>
              <w:t>Wavelet-LHL_GLCM_Cluster Tendency</w:t>
            </w:r>
          </w:p>
        </w:tc>
        <w:tc>
          <w:tcPr>
            <w:tcW w:w="154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Arial Regular" w:hAnsi="Arial Regular" w:eastAsia="Helvetica" w:cs="Arial Regular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Arial Regular" w:hAnsi="Arial Regular" w:eastAsia="Helvetica" w:cs="Arial Regular"/>
                <w:color w:val="000000"/>
                <w:kern w:val="0"/>
                <w:sz w:val="18"/>
                <w:szCs w:val="18"/>
                <w:lang w:val="en-US" w:eastAsia="zh-CN" w:bidi="ar"/>
              </w:rPr>
              <w:t>0</w:t>
            </w:r>
            <w:r>
              <w:rPr>
                <w:rFonts w:hint="default" w:ascii="Arial Regular" w:hAnsi="Arial Regular" w:eastAsia="Helvetica" w:cs="Arial Regular"/>
                <w:color w:val="000000"/>
                <w:kern w:val="0"/>
                <w:sz w:val="18"/>
                <w:szCs w:val="18"/>
                <w:lang w:val="en-US" w:eastAsia="zh-Hans" w:bidi="ar"/>
              </w:rPr>
              <w:t>.0</w:t>
            </w:r>
            <w:r>
              <w:rPr>
                <w:rFonts w:hint="default" w:ascii="Arial Regular" w:hAnsi="Arial Regular" w:eastAsia="宋体" w:cs="Arial Regular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  <w:r>
              <w:rPr>
                <w:rFonts w:hint="default" w:ascii="Arial Regular" w:hAnsi="Arial Regular" w:eastAsia="Helvetica" w:cs="Arial Regular"/>
                <w:color w:val="000000"/>
                <w:kern w:val="0"/>
                <w:sz w:val="18"/>
                <w:szCs w:val="18"/>
                <w:lang w:val="en-US" w:eastAsia="zh-Hans" w:bidi="ar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6982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Arial Regular" w:hAnsi="Arial Regular" w:cs="Arial Regular"/>
                <w:sz w:val="18"/>
                <w:szCs w:val="18"/>
              </w:rPr>
            </w:pPr>
            <w:r>
              <w:rPr>
                <w:rFonts w:hint="default" w:ascii="Arial Regular" w:hAnsi="Arial Regular" w:eastAsia="Helvetica" w:cs="Arial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Wavelet-LHH_GLRLM_Run Length Non Uniformity Normalized 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Arial Regular" w:hAnsi="Arial Regular" w:cs="Arial Regular"/>
                <w:sz w:val="18"/>
                <w:szCs w:val="18"/>
              </w:rPr>
            </w:pPr>
            <w:r>
              <w:rPr>
                <w:rFonts w:hint="default" w:ascii="Arial Regular" w:hAnsi="Arial Regular" w:eastAsia="Helvetica" w:cs="Arial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Wavelet-HLH_GLSZM_High Gray Level Zone Emphasis </w:t>
            </w:r>
          </w:p>
          <w:p>
            <w:pPr>
              <w:spacing w:line="240" w:lineRule="auto"/>
              <w:rPr>
                <w:rFonts w:hint="default" w:ascii="Arial Regular" w:hAnsi="Arial Regular" w:eastAsia="Helvetica" w:cs="Arial Regular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Arial Regular" w:hAnsi="Arial Regular" w:eastAsia="Helvetica" w:cs="Arial Regular"/>
                <w:color w:val="000000"/>
                <w:kern w:val="0"/>
                <w:sz w:val="18"/>
                <w:szCs w:val="18"/>
                <w:lang w:val="en-US" w:eastAsia="zh-CN" w:bidi="ar"/>
              </w:rPr>
              <w:t>Wavelet-HHL_GLDM_Small Dependence Emphasis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Arial Regular" w:hAnsi="Arial Regular" w:cs="Arial Regular"/>
                <w:sz w:val="18"/>
                <w:szCs w:val="18"/>
              </w:rPr>
            </w:pPr>
            <w:r>
              <w:rPr>
                <w:rFonts w:hint="default" w:ascii="Arial Regular" w:hAnsi="Arial Regular" w:eastAsia="Helvetica" w:cs="Arial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Wavelet-HHL_GLRLM_Short Run Emphasis 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Arial Regular" w:hAnsi="Arial Regular" w:eastAsia="Helvetica" w:cs="Arial Regular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Arial Regular" w:hAnsi="Arial Regular" w:eastAsia="Helvetica" w:cs="Arial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Wavelet-HHL_GLSZM_Gray Level Non Uniformity Normalized </w:t>
            </w:r>
          </w:p>
        </w:tc>
        <w:tc>
          <w:tcPr>
            <w:tcW w:w="154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Helvetica" w:cs="Arial Regular"/>
                <w:color w:val="000000"/>
                <w:kern w:val="0"/>
                <w:sz w:val="18"/>
                <w:szCs w:val="18"/>
                <w:lang w:val="en-US" w:eastAsia="zh-CN" w:bidi="ar"/>
              </w:rPr>
              <w:t>3.579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Arial Regular" w:hAnsi="Arial Regular" w:cs="Arial Regular"/>
                <w:sz w:val="18"/>
                <w:szCs w:val="18"/>
              </w:rPr>
            </w:pPr>
            <w:r>
              <w:rPr>
                <w:rFonts w:hint="default" w:ascii="Arial Regular" w:hAnsi="Arial Regular" w:eastAsia="Helvetica" w:cs="Arial Regular"/>
                <w:color w:val="000000"/>
                <w:kern w:val="0"/>
                <w:sz w:val="18"/>
                <w:szCs w:val="18"/>
                <w:lang w:val="en-US" w:eastAsia="zh-CN" w:bidi="ar"/>
              </w:rPr>
              <w:t>1.700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Arial Regular" w:hAnsi="Arial Regular" w:cs="Arial Regular"/>
                <w:sz w:val="18"/>
                <w:szCs w:val="18"/>
              </w:rPr>
            </w:pPr>
            <w:r>
              <w:rPr>
                <w:rFonts w:hint="default" w:ascii="Arial Regular" w:hAnsi="Arial Regular" w:eastAsia="Helvetica" w:cs="Arial Regular"/>
                <w:color w:val="000000"/>
                <w:kern w:val="0"/>
                <w:sz w:val="18"/>
                <w:szCs w:val="18"/>
                <w:lang w:val="en-US" w:eastAsia="zh-CN" w:bidi="ar"/>
              </w:rPr>
              <w:t>-3.309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Arial Regular" w:hAnsi="Arial Regular" w:eastAsia="Helvetica" w:cs="Arial Regular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Arial Regular" w:hAnsi="Arial Regular" w:eastAsia="Helvetica" w:cs="Arial Regular"/>
                <w:color w:val="000000"/>
                <w:kern w:val="0"/>
                <w:sz w:val="18"/>
                <w:szCs w:val="18"/>
                <w:lang w:val="en-US" w:eastAsia="zh-CN" w:bidi="ar"/>
              </w:rPr>
              <w:t>0.836</w:t>
            </w:r>
          </w:p>
          <w:p>
            <w:pPr>
              <w:spacing w:line="240" w:lineRule="auto"/>
              <w:jc w:val="center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Helvetica" w:cs="Arial Regular"/>
                <w:color w:val="000000"/>
                <w:kern w:val="0"/>
                <w:sz w:val="18"/>
                <w:szCs w:val="18"/>
                <w:lang w:val="en-US" w:eastAsia="zh-CN" w:bidi="ar"/>
              </w:rPr>
              <w:t>4.492</w:t>
            </w:r>
          </w:p>
        </w:tc>
      </w:tr>
    </w:tbl>
    <w:p>
      <w:pPr>
        <w:spacing w:line="240" w:lineRule="auto"/>
        <w:rPr>
          <w:rFonts w:hint="default" w:ascii="Arial Regular" w:hAnsi="Arial Regular" w:eastAsia="宋体" w:cs="Arial Regular"/>
          <w:b/>
          <w:bCs/>
          <w:i w:val="0"/>
          <w:iCs w:val="0"/>
          <w:color w:val="000000"/>
          <w:kern w:val="0"/>
          <w:sz w:val="20"/>
          <w:szCs w:val="20"/>
          <w:u w:val="none"/>
          <w:lang w:eastAsia="zh-CN" w:bidi="ar"/>
        </w:rPr>
      </w:pPr>
    </w:p>
    <w:p>
      <w:pPr>
        <w:spacing w:line="240" w:lineRule="auto"/>
        <w:rPr>
          <w:rFonts w:hint="default" w:ascii="Arial Regular" w:hAnsi="Arial Regular" w:eastAsia="宋体" w:cs="Arial Regular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Arial Regular" w:hAnsi="Arial Regular" w:eastAsia="宋体" w:cs="Arial Regular"/>
          <w:b/>
          <w:bCs/>
          <w:i w:val="0"/>
          <w:iCs w:val="0"/>
          <w:color w:val="000000"/>
          <w:kern w:val="0"/>
          <w:sz w:val="20"/>
          <w:szCs w:val="20"/>
          <w:u w:val="none"/>
          <w:lang w:eastAsia="zh-CN" w:bidi="ar"/>
        </w:rPr>
        <w:t xml:space="preserve">Appendix </w:t>
      </w:r>
      <w:r>
        <w:rPr>
          <w:rFonts w:hint="default" w:ascii="Arial Regular" w:hAnsi="Arial Regular" w:eastAsia="宋体" w:cs="Arial Regular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D</w:t>
      </w:r>
      <w:r>
        <w:rPr>
          <w:rFonts w:hint="default" w:ascii="Arial Regular" w:hAnsi="Arial Regular" w:eastAsia="宋体" w:cs="Arial Regular"/>
          <w:b/>
          <w:bCs/>
          <w:i w:val="0"/>
          <w:iCs w:val="0"/>
          <w:color w:val="000000"/>
          <w:kern w:val="0"/>
          <w:sz w:val="20"/>
          <w:szCs w:val="20"/>
          <w:u w:val="none"/>
          <w:lang w:eastAsia="zh-CN" w:bidi="ar"/>
        </w:rPr>
        <w:t xml:space="preserve"> The coefficients of </w:t>
      </w:r>
      <w:r>
        <w:rPr>
          <w:rFonts w:hint="default" w:ascii="Arial Regular" w:hAnsi="Arial Regular" w:eastAsia="宋体" w:cs="Arial Regular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seven</w:t>
      </w:r>
      <w:r>
        <w:rPr>
          <w:rFonts w:hint="default" w:ascii="Arial Regular" w:hAnsi="Arial Regular" w:eastAsia="宋体" w:cs="Arial Regular"/>
          <w:b/>
          <w:bCs/>
          <w:i w:val="0"/>
          <w:iCs w:val="0"/>
          <w:color w:val="000000"/>
          <w:kern w:val="0"/>
          <w:sz w:val="20"/>
          <w:szCs w:val="20"/>
          <w:u w:val="none"/>
          <w:lang w:eastAsia="zh-CN" w:bidi="ar"/>
        </w:rPr>
        <w:t xml:space="preserve"> selected features in </w:t>
      </w:r>
      <w:r>
        <w:rPr>
          <w:rFonts w:hint="default" w:ascii="Arial Regular" w:hAnsi="Arial Regular" w:eastAsia="宋体" w:cs="Arial Regular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LR-based PURS model</w:t>
      </w:r>
    </w:p>
    <w:tbl>
      <w:tblPr>
        <w:tblStyle w:val="3"/>
        <w:tblW w:w="5035" w:type="pct"/>
        <w:tblInd w:w="0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7"/>
        <w:gridCol w:w="1595"/>
      </w:tblGrid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4070" w:type="pct"/>
            <w:tcBorders>
              <w:bottom w:val="single" w:color="000000" w:sz="12" w:space="0"/>
            </w:tcBorders>
            <w:noWrap w:val="0"/>
            <w:vAlign w:val="top"/>
          </w:tcPr>
          <w:p>
            <w:pPr>
              <w:spacing w:line="240" w:lineRule="auto"/>
              <w:rPr>
                <w:rFonts w:hint="default" w:ascii="Arial Regular" w:hAnsi="Arial Regular" w:eastAsia="宋体" w:cs="Arial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Features</w:t>
            </w:r>
          </w:p>
        </w:tc>
        <w:tc>
          <w:tcPr>
            <w:tcW w:w="929" w:type="pct"/>
            <w:tcBorders>
              <w:bottom w:val="single" w:color="000000" w:sz="12" w:space="0"/>
            </w:tcBorders>
            <w:noWrap w:val="0"/>
            <w:vAlign w:val="top"/>
          </w:tcPr>
          <w:p>
            <w:pPr>
              <w:spacing w:line="240" w:lineRule="auto"/>
              <w:rPr>
                <w:rFonts w:hint="default" w:ascii="Arial Regular" w:hAnsi="Arial Regular" w:eastAsia="宋体" w:cs="Arial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Coef in model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4070" w:type="pct"/>
            <w:tcBorders>
              <w:top w:val="single" w:color="000000" w:sz="12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Arial Regular" w:hAnsi="Arial Regular" w:cs="Arial Regular"/>
                <w:sz w:val="18"/>
                <w:szCs w:val="18"/>
              </w:rPr>
            </w:pPr>
            <w:r>
              <w:rPr>
                <w:rFonts w:hint="default" w:ascii="Arial Regular" w:hAnsi="Arial Regular" w:eastAsia="Helvetica" w:cs="Arial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Wavelet-LHL_GLRLM_Run Entropy 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Arial Regular" w:hAnsi="Arial Regular" w:eastAsia="Helvetica" w:cs="Arial Regular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Wavelet-HLH_GLSZM_Size Zone Non Uniformity Normalized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Arial Regular" w:hAnsi="Arial Regular" w:cs="Arial Regular"/>
                <w:sz w:val="18"/>
                <w:szCs w:val="18"/>
              </w:rPr>
            </w:pPr>
            <w:r>
              <w:rPr>
                <w:rFonts w:hint="default" w:ascii="Arial Regular" w:hAnsi="Arial Regular" w:eastAsia="Helvetica" w:cs="Arial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Wavelet-LHL_GLCM_Imc2 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Arial Regular" w:hAnsi="Arial Regular" w:cs="Arial Regular"/>
                <w:sz w:val="18"/>
                <w:szCs w:val="18"/>
              </w:rPr>
            </w:pPr>
            <w:r>
              <w:rPr>
                <w:rFonts w:hint="default" w:ascii="Arial Regular" w:hAnsi="Arial Regular" w:eastAsia="Helvetica" w:cs="Arial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Wavelet-HHL_GLDM_Small Dependence Emphasis 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Arial Regular" w:hAnsi="Arial Regular" w:cs="Arial Regular"/>
                <w:sz w:val="18"/>
                <w:szCs w:val="18"/>
              </w:rPr>
            </w:pPr>
            <w:r>
              <w:rPr>
                <w:rFonts w:hint="default" w:ascii="Arial Regular" w:hAnsi="Arial Regular" w:eastAsia="Helvetica" w:cs="Arial Regular"/>
                <w:color w:val="000000"/>
                <w:kern w:val="0"/>
                <w:sz w:val="18"/>
                <w:szCs w:val="18"/>
                <w:lang w:val="en-US" w:eastAsia="zh-CN" w:bidi="ar"/>
              </w:rPr>
              <w:t>Wavelet-</w:t>
            </w:r>
            <w:r>
              <w:rPr>
                <w:rFonts w:hint="eastAsia" w:ascii="Arial Regular" w:hAnsi="Arial Regular" w:eastAsia="Helvetica" w:cs="Arial Regular"/>
                <w:color w:val="000000"/>
                <w:kern w:val="0"/>
                <w:sz w:val="18"/>
                <w:szCs w:val="18"/>
                <w:lang w:val="en-US" w:eastAsia="zh-CN" w:bidi="ar"/>
              </w:rPr>
              <w:t>L</w:t>
            </w:r>
            <w:r>
              <w:rPr>
                <w:rFonts w:hint="default" w:ascii="Arial Regular" w:hAnsi="Arial Regular" w:eastAsia="Helvetica" w:cs="Arial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HL_GLRLM_Short Run Emphasis 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Arial Regular" w:hAnsi="Arial Regular" w:cs="Arial Regular"/>
                <w:sz w:val="18"/>
                <w:szCs w:val="18"/>
              </w:rPr>
            </w:pPr>
            <w:r>
              <w:rPr>
                <w:rFonts w:hint="default" w:ascii="Arial Regular" w:hAnsi="Arial Regular" w:eastAsia="Helvetica" w:cs="Arial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Wavelet-HHL_GLSZM_Gray Level Non Uniformity Normalized </w:t>
            </w:r>
          </w:p>
          <w:p>
            <w:pPr>
              <w:spacing w:line="240" w:lineRule="auto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Helvetica" w:cs="Arial Regular"/>
                <w:color w:val="000000"/>
                <w:kern w:val="0"/>
                <w:sz w:val="18"/>
                <w:szCs w:val="18"/>
                <w:lang w:val="en-US" w:eastAsia="zh-CN" w:bidi="ar"/>
              </w:rPr>
              <w:t>Wavelet-HHH_GLDM_Large Dependence Low Gray Level Emphasis</w:t>
            </w:r>
          </w:p>
        </w:tc>
        <w:tc>
          <w:tcPr>
            <w:tcW w:w="929" w:type="pct"/>
            <w:tcBorders>
              <w:top w:val="single" w:color="000000" w:sz="12" w:space="0"/>
              <w:tl2br w:val="nil"/>
              <w:tr2bl w:val="nil"/>
            </w:tcBorders>
            <w:noWrap w:val="0"/>
            <w:vAlign w:val="top"/>
          </w:tcPr>
          <w:p>
            <w:pPr>
              <w:spacing w:line="240" w:lineRule="auto"/>
              <w:ind w:firstLine="360" w:firstLineChars="200"/>
              <w:jc w:val="left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-2.493</w:t>
            </w:r>
          </w:p>
          <w:p>
            <w:pPr>
              <w:spacing w:line="240" w:lineRule="auto"/>
              <w:ind w:firstLine="360" w:firstLineChars="200"/>
              <w:jc w:val="left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-0.784</w:t>
            </w:r>
          </w:p>
          <w:p>
            <w:pPr>
              <w:spacing w:line="240" w:lineRule="auto"/>
              <w:ind w:firstLine="360" w:firstLineChars="200"/>
              <w:jc w:val="left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-2.479</w:t>
            </w:r>
          </w:p>
          <w:p>
            <w:pPr>
              <w:spacing w:line="240" w:lineRule="auto"/>
              <w:ind w:firstLine="360" w:firstLineChars="200"/>
              <w:jc w:val="left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-1.100</w:t>
            </w:r>
          </w:p>
          <w:p>
            <w:pPr>
              <w:spacing w:line="240" w:lineRule="auto"/>
              <w:ind w:firstLine="360" w:firstLineChars="200"/>
              <w:jc w:val="left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-2.065</w:t>
            </w:r>
          </w:p>
          <w:p>
            <w:pPr>
              <w:spacing w:line="240" w:lineRule="auto"/>
              <w:ind w:firstLine="360" w:firstLineChars="200"/>
              <w:jc w:val="left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1.857</w:t>
            </w:r>
          </w:p>
          <w:p>
            <w:pPr>
              <w:spacing w:line="240" w:lineRule="auto"/>
              <w:ind w:firstLine="360" w:firstLineChars="200"/>
              <w:jc w:val="left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0.855</w:t>
            </w:r>
          </w:p>
        </w:tc>
      </w:tr>
    </w:tbl>
    <w:p>
      <w:pPr>
        <w:spacing w:line="240" w:lineRule="auto"/>
        <w:rPr>
          <w:rFonts w:hint="default" w:ascii="Arial Regular" w:hAnsi="Arial Regular" w:eastAsia="宋体" w:cs="Arial Regular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spacing w:line="240" w:lineRule="auto"/>
        <w:rPr>
          <w:rFonts w:hint="default" w:ascii="Arial Regular" w:hAnsi="Arial Regular" w:eastAsia="宋体" w:cs="Arial Regular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Arial Regular" w:hAnsi="Arial Regular" w:eastAsia="宋体" w:cs="Arial Regular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Appendix E The coefficients of five</w:t>
      </w:r>
      <w:r>
        <w:rPr>
          <w:rFonts w:hint="default" w:ascii="Arial Regular" w:hAnsi="Arial Regular" w:eastAsia="宋体" w:cs="Arial Regular"/>
          <w:b/>
          <w:bCs/>
          <w:i w:val="0"/>
          <w:iCs w:val="0"/>
          <w:color w:val="000000"/>
          <w:kern w:val="0"/>
          <w:sz w:val="20"/>
          <w:szCs w:val="20"/>
          <w:u w:val="none"/>
          <w:lang w:eastAsia="zh-CN" w:bidi="ar"/>
        </w:rPr>
        <w:t xml:space="preserve"> </w:t>
      </w:r>
      <w:r>
        <w:rPr>
          <w:rFonts w:hint="default" w:ascii="Arial Regular" w:hAnsi="Arial Regular" w:eastAsia="宋体" w:cs="Arial Regular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selected</w:t>
      </w:r>
      <w:r>
        <w:rPr>
          <w:rFonts w:hint="default" w:ascii="Arial Regular" w:hAnsi="Arial Regular" w:eastAsia="宋体" w:cs="Arial Regular"/>
          <w:b/>
          <w:bCs/>
          <w:i w:val="0"/>
          <w:iCs w:val="0"/>
          <w:color w:val="000000"/>
          <w:kern w:val="0"/>
          <w:sz w:val="20"/>
          <w:szCs w:val="20"/>
          <w:u w:val="none"/>
          <w:lang w:eastAsia="zh-CN" w:bidi="ar"/>
        </w:rPr>
        <w:t xml:space="preserve"> </w:t>
      </w:r>
      <w:r>
        <w:rPr>
          <w:rFonts w:hint="default" w:ascii="Arial Regular" w:hAnsi="Arial Regular" w:eastAsia="宋体" w:cs="Arial Regular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features in Adaboost-based PURS model </w:t>
      </w:r>
      <w:bookmarkStart w:id="0" w:name="_GoBack"/>
      <w:bookmarkEnd w:id="0"/>
    </w:p>
    <w:tbl>
      <w:tblPr>
        <w:tblStyle w:val="3"/>
        <w:tblW w:w="8522" w:type="dxa"/>
        <w:tblInd w:w="0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2"/>
        <w:gridCol w:w="1540"/>
      </w:tblGrid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6982" w:type="dxa"/>
            <w:tcBorders>
              <w:bottom w:val="single" w:color="000000" w:sz="12" w:space="0"/>
            </w:tcBorders>
            <w:noWrap w:val="0"/>
            <w:vAlign w:val="top"/>
          </w:tcPr>
          <w:p>
            <w:pPr>
              <w:spacing w:line="240" w:lineRule="auto"/>
              <w:rPr>
                <w:rFonts w:hint="default" w:ascii="Arial Regular" w:hAnsi="Arial Regular" w:eastAsia="宋体" w:cs="Arial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Features</w:t>
            </w:r>
          </w:p>
        </w:tc>
        <w:tc>
          <w:tcPr>
            <w:tcW w:w="1540" w:type="dxa"/>
            <w:tcBorders>
              <w:bottom w:val="single" w:color="000000" w:sz="12" w:space="0"/>
            </w:tcBorders>
            <w:noWrap w:val="0"/>
            <w:vAlign w:val="top"/>
          </w:tcPr>
          <w:p>
            <w:pPr>
              <w:spacing w:line="240" w:lineRule="auto"/>
              <w:rPr>
                <w:rFonts w:hint="default" w:ascii="Arial Regular" w:hAnsi="Arial Regular" w:eastAsia="宋体" w:cs="Arial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Coef in model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3" w:hRule="atLeast"/>
        </w:trPr>
        <w:tc>
          <w:tcPr>
            <w:tcW w:w="6982" w:type="dxa"/>
            <w:tcBorders>
              <w:top w:val="single" w:color="000000" w:sz="12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Helvetica" w:cs="Arial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Wavelet-HHH_GLDM_Large Dependence Low Gray Level Emphasis </w:t>
            </w:r>
          </w:p>
        </w:tc>
        <w:tc>
          <w:tcPr>
            <w:tcW w:w="1540" w:type="dxa"/>
            <w:tcBorders>
              <w:top w:val="single" w:color="000000" w:sz="12" w:space="0"/>
              <w:tl2br w:val="nil"/>
              <w:tr2bl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  <w:t>0.415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64" w:hRule="atLeast"/>
        </w:trPr>
        <w:tc>
          <w:tcPr>
            <w:tcW w:w="6982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Arial Regular" w:hAnsi="Arial Regular" w:cs="Arial Regular"/>
                <w:sz w:val="18"/>
                <w:szCs w:val="18"/>
              </w:rPr>
            </w:pPr>
            <w:r>
              <w:rPr>
                <w:rFonts w:hint="default" w:ascii="Arial Regular" w:hAnsi="Arial Regular" w:eastAsia="Helvetica" w:cs="Arial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Wavelet-LHL_GLRLM_Run Entropy 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Arial Regular" w:hAnsi="Arial Regular" w:cs="Arial Regular"/>
                <w:sz w:val="18"/>
                <w:szCs w:val="18"/>
              </w:rPr>
            </w:pPr>
            <w:r>
              <w:rPr>
                <w:rFonts w:hint="default" w:ascii="Arial Regular" w:hAnsi="Arial Regular" w:eastAsia="Helvetica" w:cs="Arial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Wavelet-HLH_GLSZM_High Gray Level Zone Emphasis 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Arial Regular" w:hAnsi="Arial Regular" w:eastAsia="Helvetica" w:cs="Arial Regular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Arial Regular" w:hAnsi="Arial Regular" w:eastAsia="Helvetica" w:cs="Arial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Wavelet-HHL_GLRLM_Short Run Emphasis 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Arial Regular" w:hAnsi="Arial Regular" w:eastAsia="Helvetica" w:cs="Arial Regular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Arial Regular" w:hAnsi="Arial Regular" w:eastAsia="Helvetica" w:cs="Arial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Wavelet-HHL_GLDM_Small Dependence Emphasis </w:t>
            </w:r>
          </w:p>
        </w:tc>
        <w:tc>
          <w:tcPr>
            <w:tcW w:w="154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.576</w:t>
            </w:r>
          </w:p>
          <w:p>
            <w:pPr>
              <w:spacing w:line="240" w:lineRule="auto"/>
              <w:jc w:val="center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-2.083</w:t>
            </w:r>
          </w:p>
          <w:p>
            <w:pPr>
              <w:spacing w:line="240" w:lineRule="auto"/>
              <w:jc w:val="center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-2.531</w:t>
            </w:r>
          </w:p>
          <w:p>
            <w:pPr>
              <w:spacing w:line="240" w:lineRule="auto"/>
              <w:jc w:val="center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Helvetica" w:cs="Arial Regular"/>
                <w:color w:val="000000"/>
                <w:kern w:val="0"/>
                <w:sz w:val="18"/>
                <w:szCs w:val="18"/>
                <w:lang w:val="en-US" w:eastAsia="zh-CN" w:bidi="ar"/>
              </w:rPr>
              <w:t>-3.309</w:t>
            </w:r>
          </w:p>
        </w:tc>
      </w:tr>
    </w:tbl>
    <w:p>
      <w:pPr>
        <w:spacing w:line="240" w:lineRule="auto"/>
        <w:rPr>
          <w:rFonts w:hint="default" w:ascii="Arial Regular" w:hAnsi="Arial Regular" w:cs="Arial Regular"/>
          <w:b/>
          <w:color w:val="000000"/>
          <w:kern w:val="0"/>
          <w:sz w:val="20"/>
          <w:szCs w:val="20"/>
        </w:rPr>
      </w:pPr>
    </w:p>
    <w:p>
      <w:pPr>
        <w:spacing w:line="240" w:lineRule="auto"/>
        <w:rPr>
          <w:rFonts w:hint="default" w:ascii="Arial Regular" w:hAnsi="Arial Regular" w:eastAsia="宋体" w:cs="Arial Regular"/>
          <w:b w:val="0"/>
          <w:bCs w:val="0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Arial Regular" w:hAnsi="Arial Regular" w:cs="Arial Regular"/>
          <w:b/>
          <w:color w:val="000000"/>
          <w:kern w:val="0"/>
          <w:sz w:val="20"/>
          <w:szCs w:val="20"/>
        </w:rPr>
        <w:t xml:space="preserve">Appendix </w:t>
      </w:r>
      <w:r>
        <w:rPr>
          <w:rFonts w:hint="default" w:ascii="Arial Regular" w:hAnsi="Arial Regular" w:cs="Arial Regular"/>
          <w:b/>
          <w:color w:val="000000"/>
          <w:kern w:val="0"/>
          <w:sz w:val="20"/>
          <w:szCs w:val="20"/>
          <w:lang w:val="en-US"/>
        </w:rPr>
        <w:t>F</w:t>
      </w:r>
      <w:r>
        <w:rPr>
          <w:rFonts w:hint="default" w:ascii="Arial Regular" w:hAnsi="Arial Regular" w:cs="Arial Regular"/>
          <w:bCs/>
          <w:color w:val="000000"/>
          <w:kern w:val="0"/>
          <w:sz w:val="20"/>
          <w:szCs w:val="20"/>
        </w:rPr>
        <w:t xml:space="preserve"> </w:t>
      </w:r>
      <w:r>
        <w:rPr>
          <w:rFonts w:hint="default" w:ascii="Arial Regular" w:hAnsi="Arial Regular" w:eastAsia="Arial" w:cs="Arial Regular"/>
          <w:b/>
          <w:bCs/>
          <w:spacing w:val="-1"/>
          <w:sz w:val="20"/>
          <w:szCs w:val="20"/>
        </w:rPr>
        <w:t xml:space="preserve">The coefficients of </w:t>
      </w:r>
      <w:r>
        <w:rPr>
          <w:rFonts w:hint="default" w:ascii="Arial Regular" w:hAnsi="Arial Regular" w:eastAsia="Arial" w:cs="Arial Regular"/>
          <w:b/>
          <w:bCs/>
          <w:spacing w:val="-1"/>
          <w:sz w:val="20"/>
          <w:szCs w:val="20"/>
          <w:lang w:val="en-US"/>
        </w:rPr>
        <w:t xml:space="preserve">three </w:t>
      </w:r>
      <w:r>
        <w:rPr>
          <w:rFonts w:hint="default" w:ascii="Arial Regular" w:hAnsi="Arial Regular" w:eastAsia="Arial" w:cs="Arial Regular"/>
          <w:b/>
          <w:bCs/>
          <w:spacing w:val="-1"/>
          <w:sz w:val="20"/>
          <w:szCs w:val="20"/>
        </w:rPr>
        <w:t xml:space="preserve">selected features in </w:t>
      </w:r>
      <w:r>
        <w:rPr>
          <w:rFonts w:hint="default" w:ascii="Arial Regular" w:hAnsi="Arial Regular" w:eastAsia="宋体" w:cs="Arial Regular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SVM-based PURS model</w:t>
      </w:r>
    </w:p>
    <w:tbl>
      <w:tblPr>
        <w:tblStyle w:val="3"/>
        <w:tblW w:w="8522" w:type="dxa"/>
        <w:tblInd w:w="0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7"/>
        <w:gridCol w:w="1625"/>
      </w:tblGrid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6897" w:type="dxa"/>
            <w:tcBorders>
              <w:bottom w:val="single" w:color="000000" w:sz="12" w:space="0"/>
            </w:tcBorders>
            <w:noWrap w:val="0"/>
            <w:vAlign w:val="top"/>
          </w:tcPr>
          <w:p>
            <w:pPr>
              <w:spacing w:line="240" w:lineRule="auto"/>
              <w:rPr>
                <w:rFonts w:hint="default" w:ascii="Arial Regular" w:hAnsi="Arial Regular" w:eastAsia="宋体" w:cs="Arial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Features</w:t>
            </w:r>
          </w:p>
        </w:tc>
        <w:tc>
          <w:tcPr>
            <w:tcW w:w="1625" w:type="dxa"/>
            <w:tcBorders>
              <w:bottom w:val="single" w:color="000000" w:sz="12" w:space="0"/>
            </w:tcBorders>
            <w:noWrap w:val="0"/>
            <w:vAlign w:val="top"/>
          </w:tcPr>
          <w:p>
            <w:pPr>
              <w:spacing w:line="240" w:lineRule="auto"/>
              <w:rPr>
                <w:rFonts w:hint="default" w:ascii="Arial Regular" w:hAnsi="Arial Regular" w:eastAsia="宋体" w:cs="Arial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Coef in model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6897" w:type="dxa"/>
            <w:tcBorders>
              <w:top w:val="single" w:color="000000" w:sz="12" w:space="0"/>
              <w:tl2br w:val="nil"/>
              <w:tr2bl w:val="nil"/>
            </w:tcBorders>
            <w:noWrap w:val="0"/>
            <w:vAlign w:val="top"/>
          </w:tcPr>
          <w:p>
            <w:pPr>
              <w:spacing w:line="240" w:lineRule="auto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Helvetica" w:cs="Arial Regular"/>
                <w:color w:val="000000"/>
                <w:kern w:val="0"/>
                <w:sz w:val="18"/>
                <w:szCs w:val="18"/>
                <w:lang w:val="en-US" w:eastAsia="zh-CN" w:bidi="ar"/>
              </w:rPr>
              <w:t>Wavelet-HHL_GLRLM_Short Run Emphasis</w:t>
            </w:r>
          </w:p>
        </w:tc>
        <w:tc>
          <w:tcPr>
            <w:tcW w:w="1625" w:type="dxa"/>
            <w:tcBorders>
              <w:top w:val="single" w:color="000000" w:sz="12" w:space="0"/>
              <w:tl2br w:val="nil"/>
              <w:tr2bl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Hans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0</w:t>
            </w: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  <w:t>.</w:t>
            </w: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Hans" w:bidi="ar"/>
              </w:rPr>
              <w:t>0</w:t>
            </w: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  <w:t>7</w:t>
            </w: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Hans" w:bidi="ar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68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240" w:lineRule="auto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W</w:t>
            </w: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avelet-LLL_</w:t>
            </w: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GLSZM</w:t>
            </w: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_</w:t>
            </w:r>
            <w:r>
              <w:rPr>
                <w:rFonts w:hint="default" w:ascii="Arial Regular" w:hAnsi="Arial Regular" w:eastAsia="Arial" w:cs="Arial Regular"/>
                <w:b w:val="0"/>
                <w:bCs w:val="0"/>
                <w:spacing w:val="-1"/>
                <w:sz w:val="18"/>
                <w:szCs w:val="18"/>
              </w:rPr>
              <w:t>High</w:t>
            </w:r>
            <w:r>
              <w:rPr>
                <w:rFonts w:hint="default" w:ascii="Arial Regular" w:hAnsi="Arial Regular" w:eastAsia="宋体" w:cs="Arial Regular"/>
                <w:b w:val="0"/>
                <w:bCs w:val="0"/>
                <w:spacing w:val="-1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Arial Regular" w:hAnsi="Arial Regular" w:eastAsia="Arial" w:cs="Arial Regular"/>
                <w:b w:val="0"/>
                <w:bCs w:val="0"/>
                <w:spacing w:val="-1"/>
                <w:sz w:val="18"/>
                <w:szCs w:val="18"/>
              </w:rPr>
              <w:t>G</w:t>
            </w:r>
            <w:r>
              <w:rPr>
                <w:rFonts w:hint="default" w:ascii="Arial Regular" w:hAnsi="Arial Regular" w:eastAsia="Arial" w:cs="Arial Regular"/>
                <w:b w:val="0"/>
                <w:bCs w:val="0"/>
                <w:sz w:val="18"/>
                <w:szCs w:val="18"/>
              </w:rPr>
              <w:t>ray</w:t>
            </w:r>
            <w:r>
              <w:rPr>
                <w:rFonts w:hint="default" w:ascii="Arial Regular" w:hAnsi="Arial Regular" w:eastAsia="宋体" w:cs="Arial Regular"/>
                <w:b w:val="0"/>
                <w:bCs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Arial Regular" w:hAnsi="Arial Regular" w:eastAsia="Arial" w:cs="Arial Regular"/>
                <w:b w:val="0"/>
                <w:bCs w:val="0"/>
                <w:sz w:val="18"/>
                <w:szCs w:val="18"/>
              </w:rPr>
              <w:t>Level</w:t>
            </w:r>
            <w:r>
              <w:rPr>
                <w:rFonts w:hint="default" w:ascii="Arial Regular" w:hAnsi="Arial Regular" w:eastAsia="宋体" w:cs="Arial Regular"/>
                <w:b w:val="0"/>
                <w:bCs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Arial Regular" w:hAnsi="Arial Regular" w:eastAsia="Arial" w:cs="Arial Regular"/>
                <w:b w:val="0"/>
                <w:bCs w:val="0"/>
                <w:sz w:val="18"/>
                <w:szCs w:val="18"/>
              </w:rPr>
              <w:t>Zone</w:t>
            </w:r>
            <w:r>
              <w:rPr>
                <w:rFonts w:hint="default" w:ascii="Arial Regular" w:hAnsi="Arial Regular" w:eastAsia="宋体" w:cs="Arial Regular"/>
                <w:b w:val="0"/>
                <w:bCs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Arial Regular" w:hAnsi="Arial Regular" w:eastAsia="Arial" w:cs="Arial Regular"/>
                <w:b w:val="0"/>
                <w:bCs w:val="0"/>
                <w:sz w:val="18"/>
                <w:szCs w:val="18"/>
              </w:rPr>
              <w:t>Emphasis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Helvetica" w:cs="Arial Regular"/>
                <w:color w:val="000000"/>
                <w:kern w:val="0"/>
                <w:sz w:val="18"/>
                <w:szCs w:val="18"/>
                <w:lang w:val="en-US" w:eastAsia="zh-CN" w:bidi="ar"/>
              </w:rPr>
              <w:t>-1.179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68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Helvetica" w:cs="Arial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Wavelet-LHH_GLDM_Large Dependence Low Gray Level Emphasis 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-1.259</w:t>
            </w:r>
          </w:p>
        </w:tc>
      </w:tr>
    </w:tbl>
    <w:p>
      <w:pPr>
        <w:spacing w:line="240" w:lineRule="auto"/>
        <w:rPr>
          <w:rFonts w:hint="default" w:ascii="Arial Regular" w:hAnsi="Arial Regular" w:cs="Arial Regular"/>
          <w:b/>
          <w:color w:val="000000"/>
          <w:kern w:val="0"/>
          <w:sz w:val="20"/>
          <w:szCs w:val="20"/>
        </w:rPr>
      </w:pPr>
    </w:p>
    <w:p>
      <w:pPr>
        <w:spacing w:line="240" w:lineRule="auto"/>
        <w:rPr>
          <w:rFonts w:hint="default" w:ascii="Arial Regular" w:hAnsi="Arial Regular" w:eastAsia="宋体" w:cs="Arial Regular"/>
          <w:b w:val="0"/>
          <w:bCs w:val="0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Arial Regular" w:hAnsi="Arial Regular" w:cs="Arial Regular"/>
          <w:b/>
          <w:color w:val="000000"/>
          <w:kern w:val="0"/>
          <w:sz w:val="20"/>
          <w:szCs w:val="20"/>
        </w:rPr>
        <w:t xml:space="preserve">Appendix </w:t>
      </w:r>
      <w:r>
        <w:rPr>
          <w:rFonts w:hint="default" w:ascii="Arial Regular" w:hAnsi="Arial Regular" w:cs="Arial Regular"/>
          <w:b/>
          <w:color w:val="000000"/>
          <w:kern w:val="0"/>
          <w:sz w:val="20"/>
          <w:szCs w:val="20"/>
          <w:lang w:val="en-US"/>
        </w:rPr>
        <w:t>G</w:t>
      </w:r>
      <w:r>
        <w:rPr>
          <w:rFonts w:hint="default" w:ascii="Arial Regular" w:hAnsi="Arial Regular" w:cs="Arial Regular"/>
          <w:bCs/>
          <w:color w:val="000000"/>
          <w:kern w:val="0"/>
          <w:sz w:val="20"/>
          <w:szCs w:val="20"/>
        </w:rPr>
        <w:t xml:space="preserve"> </w:t>
      </w:r>
      <w:r>
        <w:rPr>
          <w:rFonts w:hint="default" w:ascii="Arial Regular" w:hAnsi="Arial Regular" w:eastAsia="Arial" w:cs="Arial Regular"/>
          <w:b/>
          <w:bCs/>
          <w:spacing w:val="-1"/>
          <w:sz w:val="20"/>
          <w:szCs w:val="20"/>
        </w:rPr>
        <w:t xml:space="preserve">The coefficients of </w:t>
      </w:r>
      <w:r>
        <w:rPr>
          <w:rFonts w:hint="default" w:ascii="Arial Regular" w:hAnsi="Arial Regular" w:eastAsia="Arial" w:cs="Arial Regular"/>
          <w:b/>
          <w:bCs/>
          <w:spacing w:val="-1"/>
          <w:sz w:val="20"/>
          <w:szCs w:val="20"/>
          <w:lang w:val="en-US"/>
        </w:rPr>
        <w:t xml:space="preserve">two </w:t>
      </w:r>
      <w:r>
        <w:rPr>
          <w:rFonts w:hint="default" w:ascii="Arial Regular" w:hAnsi="Arial Regular" w:eastAsia="Arial" w:cs="Arial Regular"/>
          <w:b/>
          <w:bCs/>
          <w:spacing w:val="-1"/>
          <w:sz w:val="20"/>
          <w:szCs w:val="20"/>
        </w:rPr>
        <w:t xml:space="preserve">selected features in </w:t>
      </w:r>
      <w:r>
        <w:rPr>
          <w:rFonts w:hint="default" w:ascii="Arial Regular" w:hAnsi="Arial Regular" w:eastAsia="宋体" w:cs="Arial Regular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LDA-based PURS model</w:t>
      </w:r>
    </w:p>
    <w:tbl>
      <w:tblPr>
        <w:tblStyle w:val="3"/>
        <w:tblW w:w="8522" w:type="dxa"/>
        <w:tblInd w:w="0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2"/>
        <w:gridCol w:w="1710"/>
      </w:tblGrid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6812" w:type="dxa"/>
            <w:tcBorders>
              <w:bottom w:val="single" w:color="000000" w:sz="12" w:space="0"/>
              <w:tl2br w:val="nil"/>
              <w:tr2bl w:val="nil"/>
            </w:tcBorders>
            <w:noWrap w:val="0"/>
            <w:vAlign w:val="top"/>
          </w:tcPr>
          <w:p>
            <w:pPr>
              <w:spacing w:line="240" w:lineRule="auto"/>
              <w:rPr>
                <w:rFonts w:hint="default" w:ascii="Arial Regular" w:hAnsi="Arial Regular" w:eastAsia="宋体" w:cs="Arial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Features</w:t>
            </w:r>
          </w:p>
        </w:tc>
        <w:tc>
          <w:tcPr>
            <w:tcW w:w="1710" w:type="dxa"/>
            <w:tcBorders>
              <w:bottom w:val="single" w:color="000000" w:sz="12" w:space="0"/>
              <w:tl2br w:val="nil"/>
              <w:tr2bl w:val="nil"/>
            </w:tcBorders>
            <w:noWrap w:val="0"/>
            <w:vAlign w:val="top"/>
          </w:tcPr>
          <w:p>
            <w:pPr>
              <w:spacing w:line="240" w:lineRule="auto"/>
              <w:rPr>
                <w:rFonts w:hint="default" w:ascii="Arial Regular" w:hAnsi="Arial Regular" w:eastAsia="宋体" w:cs="Arial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Coef in model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6812" w:type="dxa"/>
            <w:tcBorders>
              <w:top w:val="single" w:color="000000" w:sz="12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Helvetica" w:cs="Arial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Wavelet-LHH_GLDM_Large Dependence Low Gray Level Emphasis </w:t>
            </w:r>
          </w:p>
        </w:tc>
        <w:tc>
          <w:tcPr>
            <w:tcW w:w="1710" w:type="dxa"/>
            <w:tcBorders>
              <w:top w:val="single" w:color="000000" w:sz="12" w:space="0"/>
              <w:tl2br w:val="nil"/>
              <w:tr2bl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  <w:r>
              <w:rPr>
                <w:rFonts w:hint="default" w:ascii="Arial Regular" w:hAnsi="Arial Regular" w:eastAsia="Arial" w:cs="Arial Regular"/>
                <w:b w:val="0"/>
                <w:bCs w:val="0"/>
                <w:spacing w:val="-2"/>
                <w:sz w:val="18"/>
                <w:szCs w:val="18"/>
                <w:lang w:val="en-US"/>
              </w:rPr>
              <w:t>-0.521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9" w:hRule="atLeast"/>
        </w:trPr>
        <w:tc>
          <w:tcPr>
            <w:tcW w:w="6812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Helvetica" w:cs="Arial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Wavelet-HHL_GLRLM_Short Run Emphasis 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-1.565</w:t>
            </w:r>
          </w:p>
        </w:tc>
      </w:tr>
    </w:tbl>
    <w:p>
      <w:pPr>
        <w:spacing w:line="240" w:lineRule="auto"/>
        <w:jc w:val="left"/>
        <w:rPr>
          <w:rFonts w:hint="default" w:ascii="Arial Regular" w:hAnsi="Arial Regular" w:eastAsia="宋体" w:cs="Arial Regular"/>
          <w:b w:val="0"/>
          <w:bCs w:val="0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</w:pPr>
      <w:r>
        <w:rPr>
          <w:rFonts w:hint="default" w:ascii="Arial Regular" w:hAnsi="Arial Regular" w:eastAsia="宋体" w:cs="Arial Regular"/>
          <w:b w:val="0"/>
          <w:bCs w:val="0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>GLCM = gray</w:t>
      </w:r>
      <w:r>
        <w:rPr>
          <w:rFonts w:hint="default" w:ascii="Arial Regular" w:hAnsi="Arial Regular" w:eastAsia="宋体" w:cs="Arial Regular"/>
          <w:b w:val="0"/>
          <w:bCs w:val="0"/>
          <w:i w:val="0"/>
          <w:iCs w:val="0"/>
          <w:color w:val="000000"/>
          <w:kern w:val="0"/>
          <w:sz w:val="15"/>
          <w:szCs w:val="15"/>
          <w:u w:val="none"/>
          <w:lang w:eastAsia="zh-CN" w:bidi="ar"/>
        </w:rPr>
        <w:t xml:space="preserve"> </w:t>
      </w:r>
      <w:r>
        <w:rPr>
          <w:rFonts w:hint="default" w:ascii="Arial Regular" w:hAnsi="Arial Regular" w:eastAsia="宋体" w:cs="Arial Regular"/>
          <w:b w:val="0"/>
          <w:bCs w:val="0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>level co-occurrence matrix, GLDM = gray level dependence matrix, GLRLM = gray level run-length matrix, GLSZM = gray level size zone matrix</w:t>
      </w:r>
      <w:r>
        <w:rPr>
          <w:rFonts w:hint="default" w:ascii="Arial Regular" w:hAnsi="Arial Regular" w:eastAsia="宋体" w:cs="Arial Regular"/>
          <w:b w:val="0"/>
          <w:bCs w:val="0"/>
          <w:i w:val="0"/>
          <w:iCs w:val="0"/>
          <w:color w:val="000000"/>
          <w:kern w:val="0"/>
          <w:sz w:val="15"/>
          <w:szCs w:val="15"/>
          <w:u w:val="none"/>
          <w:lang w:eastAsia="zh-CN" w:bidi="ar"/>
        </w:rPr>
        <w:t>.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3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92DB8A"/>
    <w:rsid w:val="1EEF4CEC"/>
    <w:rsid w:val="23BF44ED"/>
    <w:rsid w:val="35DF9764"/>
    <w:rsid w:val="3A7FE7A5"/>
    <w:rsid w:val="3FBBA6FD"/>
    <w:rsid w:val="473F077F"/>
    <w:rsid w:val="53CBCF3A"/>
    <w:rsid w:val="567FBF93"/>
    <w:rsid w:val="5FBDE278"/>
    <w:rsid w:val="67FFB1A3"/>
    <w:rsid w:val="6F5FF56E"/>
    <w:rsid w:val="70690A31"/>
    <w:rsid w:val="70FFCBB9"/>
    <w:rsid w:val="7492DB8A"/>
    <w:rsid w:val="77E92CA9"/>
    <w:rsid w:val="77FDBA3E"/>
    <w:rsid w:val="7D7FC3CF"/>
    <w:rsid w:val="7DB7AC81"/>
    <w:rsid w:val="7EDD6F54"/>
    <w:rsid w:val="7EED23A0"/>
    <w:rsid w:val="7F231E49"/>
    <w:rsid w:val="7F3FCBCE"/>
    <w:rsid w:val="7FBF4A66"/>
    <w:rsid w:val="7FDF93E4"/>
    <w:rsid w:val="7FFD15FA"/>
    <w:rsid w:val="8CF70C6C"/>
    <w:rsid w:val="96BF0494"/>
    <w:rsid w:val="977709B6"/>
    <w:rsid w:val="9F875174"/>
    <w:rsid w:val="9FEFE237"/>
    <w:rsid w:val="AF7D85DA"/>
    <w:rsid w:val="BB6F284C"/>
    <w:rsid w:val="BB7FDCB4"/>
    <w:rsid w:val="BEFF3F57"/>
    <w:rsid w:val="D3D7A237"/>
    <w:rsid w:val="D7374326"/>
    <w:rsid w:val="EFDBBFA8"/>
    <w:rsid w:val="EFFD50F7"/>
    <w:rsid w:val="F65BEC65"/>
    <w:rsid w:val="F97F4B17"/>
    <w:rsid w:val="F9F98A70"/>
    <w:rsid w:val="FB5FDAF0"/>
    <w:rsid w:val="FCDFE4E9"/>
    <w:rsid w:val="FDAD73F0"/>
    <w:rsid w:val="FF1C22A2"/>
    <w:rsid w:val="FFBA5591"/>
    <w:rsid w:val="FFD3EC7B"/>
    <w:rsid w:val="FFFFA87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2023-03-11T04:37:00Z</dcterms:created>
  <dc:creator>姚洁洁</dc:creator>
  <cp:lastModifiedBy>姚洁洁</cp:lastModifiedBy>
  <dcterms:modified xsi:type="dcterms:W3CDTF">2024-04-13T13:19:52Z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9B048A7D90276C64F8151A6697177D3C_43</vt:lpwstr>
  </property>
</Properties>
</file>