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cs="Arial Regular"/>
          <w:b/>
          <w:color w:val="000000"/>
          <w:kern w:val="0"/>
          <w:sz w:val="20"/>
          <w:szCs w:val="20"/>
        </w:rPr>
        <w:t xml:space="preserve">Appendix </w:t>
      </w:r>
      <w:r>
        <w:rPr>
          <w:rFonts w:hint="default" w:ascii="Arial Regular" w:hAnsi="Arial Regular" w:cs="Arial Regular"/>
          <w:b/>
          <w:color w:val="000000"/>
          <w:kern w:val="0"/>
          <w:sz w:val="20"/>
          <w:szCs w:val="20"/>
          <w:lang w:val="en-US"/>
        </w:rPr>
        <w:t>H</w:t>
      </w:r>
      <w:r>
        <w:rPr>
          <w:rFonts w:hint="default" w:ascii="Arial Regular" w:hAnsi="Arial Regular" w:cs="Arial Regular"/>
          <w:bCs/>
          <w:color w:val="000000"/>
          <w:kern w:val="0"/>
          <w:sz w:val="20"/>
          <w:szCs w:val="20"/>
        </w:rPr>
        <w:t xml:space="preserve">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</w:rPr>
        <w:t xml:space="preserve">The coefficients of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  <w:lang w:val="en-US"/>
        </w:rPr>
        <w:t xml:space="preserve">eleven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</w:rPr>
        <w:t xml:space="preserve">selected features in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  <w:lang w:val="en-US"/>
        </w:rPr>
        <w:t>RF-based IURS model</w:t>
      </w:r>
    </w:p>
    <w:tbl>
      <w:tblPr>
        <w:tblStyle w:val="4"/>
        <w:tblW w:w="0" w:type="auto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9"/>
        <w:gridCol w:w="1843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1843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6679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W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avelet-LHL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-GLDM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_Dependence Non Uniformity Normalized</w:t>
            </w:r>
          </w:p>
        </w:tc>
        <w:tc>
          <w:tcPr>
            <w:tcW w:w="1843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Wavelet-HLL_GLSZM_Size Zone Non Uniformity Normalized 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-5.704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Wavelet-LHL_GLCM_Imc2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.142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Wavelet-HLH_GLSZM_Zone Percentage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Wavelet-LHH_GLDM_Large Dependence Low Gray Level Emphasis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6.192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Wavelet-LLL_GLCM_Correlation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4.935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Wavelet-LHH_GLCM_Cluster Shade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-1.906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Original_GLCM_Autocorrelation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.718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Wavelet-HHL_GLSZM_Gray Level Non Uniformity Normalized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.039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Wavelet-LHH_GLRLM_Run Entropy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.796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679" w:type="dxa"/>
            <w:noWrap w:val="0"/>
            <w:vAlign w:val="top"/>
          </w:tcPr>
          <w:p>
            <w:pP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Wavelet-HHL_GLRLM_Short Run Emphasis</w:t>
            </w:r>
            <w:bookmarkEnd w:id="0"/>
          </w:p>
        </w:tc>
        <w:tc>
          <w:tcPr>
            <w:tcW w:w="184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.302</w:t>
            </w:r>
          </w:p>
        </w:tc>
      </w:tr>
    </w:tbl>
    <w:p>
      <w:pP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Appendix I The coefficients of eight selected features in </w:t>
      </w:r>
      <w:r>
        <w:rPr>
          <w:rFonts w:hint="default" w:ascii="Arial Regular" w:hAnsi="Arial Regular" w:eastAsia="Arial" w:cs="Arial Regular"/>
          <w:b/>
          <w:bCs/>
          <w:spacing w:val="-1"/>
          <w:sz w:val="20"/>
          <w:szCs w:val="20"/>
          <w:lang w:val="en-US"/>
        </w:rPr>
        <w:t>Adaboost-based IURS model</w:t>
      </w:r>
    </w:p>
    <w:tbl>
      <w:tblPr>
        <w:tblStyle w:val="4"/>
        <w:tblW w:w="85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8"/>
        <w:gridCol w:w="1734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88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1734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88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Wavelet-HLL_GLSZM_Zone Percentage</w:t>
            </w:r>
          </w:p>
        </w:tc>
        <w:tc>
          <w:tcPr>
            <w:tcW w:w="1734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-1.054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6788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Wavelet-LHH_GLRLM_Run Length Non Uniformity Normalized 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88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Wavelet-HLL_GLCM_Correlation  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.142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88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Wavelet-HHL_GLSZM_Gray Level Non Uniformity Normalized 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88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Original_GLCM_Autocorrelation 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-0.840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88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Wavelet-LHH_GLDM_Large Dependence Low Gray Level Emphasis 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1.214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88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Wavelet-LHL_GLRLM_Run Entropy 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2.037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88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Wavelet-HLH_GLSZM_Size Zone Non Uniformity Normalized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-1.706</w:t>
            </w:r>
          </w:p>
        </w:tc>
      </w:tr>
    </w:tbl>
    <w:p>
      <w:pPr>
        <w:rPr>
          <w:rFonts w:hint="default" w:ascii="Arial Regular" w:hAnsi="Arial Regular" w:cs="Arial Regular"/>
          <w:b/>
          <w:color w:val="000000"/>
          <w:kern w:val="0"/>
          <w:sz w:val="20"/>
          <w:szCs w:val="20"/>
        </w:rPr>
      </w:pPr>
    </w:p>
    <w:p>
      <w:pPr>
        <w:spacing w:line="240" w:lineRule="auto"/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Appendix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J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 The coefficients of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six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eastAsia="zh-CN" w:bidi="ar"/>
        </w:rPr>
        <w:t xml:space="preserve">selected features in </w:t>
      </w: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LR-based IURS model</w:t>
      </w:r>
    </w:p>
    <w:tbl>
      <w:tblPr>
        <w:tblStyle w:val="4"/>
        <w:tblW w:w="500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4"/>
        <w:gridCol w:w="1698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03" w:type="pct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996" w:type="pct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03" w:type="pct"/>
            <w:tcBorders>
              <w:top w:val="single" w:color="000000" w:sz="12" w:space="0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Wavelet-HLH_GLSZM_Zone Percentage </w:t>
            </w:r>
          </w:p>
        </w:tc>
        <w:tc>
          <w:tcPr>
            <w:tcW w:w="996" w:type="pct"/>
            <w:tcBorders>
              <w:top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ind w:firstLine="540" w:firstLineChars="300"/>
              <w:jc w:val="both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03" w:type="pct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Wavelet-LHL_GLRLM_Run Entropy </w:t>
            </w:r>
          </w:p>
        </w:tc>
        <w:tc>
          <w:tcPr>
            <w:tcW w:w="996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1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.085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03" w:type="pct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Wavelet-HLL_GLSZM_Size Zone Non Uniformity Normalized </w:t>
            </w:r>
          </w:p>
        </w:tc>
        <w:tc>
          <w:tcPr>
            <w:tcW w:w="996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03" w:type="pct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Wavelet-LHH_GLDM_Large Dependence Low Gray Level Emphasis </w:t>
            </w:r>
          </w:p>
        </w:tc>
        <w:tc>
          <w:tcPr>
            <w:tcW w:w="996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-1.030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03" w:type="pct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Wavelet-LHH_GLRLM_Run Length Non Uniformity Normalized </w:t>
            </w:r>
          </w:p>
        </w:tc>
        <w:tc>
          <w:tcPr>
            <w:tcW w:w="996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-0.366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4003" w:type="pct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Wavelet-HHL_GLSZM_Gray Level Non Uniformity Normalized </w:t>
            </w:r>
          </w:p>
        </w:tc>
        <w:tc>
          <w:tcPr>
            <w:tcW w:w="996" w:type="pct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1.808</w:t>
            </w:r>
          </w:p>
        </w:tc>
      </w:tr>
    </w:tbl>
    <w:p>
      <w:pPr>
        <w:spacing w:line="240" w:lineRule="auto"/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spacing w:line="240" w:lineRule="auto"/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Appendix K The coefficients of four selected features in SVM-based IURS model</w:t>
      </w:r>
    </w:p>
    <w:tbl>
      <w:tblPr>
        <w:tblStyle w:val="4"/>
        <w:tblW w:w="0" w:type="auto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9"/>
        <w:gridCol w:w="1673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49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1673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6849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Wavelet-HHL_GLSZM_Gray Level Non Uniformity Normalized </w:t>
            </w:r>
          </w:p>
        </w:tc>
        <w:tc>
          <w:tcPr>
            <w:tcW w:w="1673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4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Wavelet-HLH_GLSZM_Zone Percentage </w:t>
            </w:r>
          </w:p>
        </w:tc>
        <w:tc>
          <w:tcPr>
            <w:tcW w:w="167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-0.268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4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Wavelet-HLL_GLSZM_Size Zone Non Uniformity Normalized </w:t>
            </w:r>
          </w:p>
        </w:tc>
        <w:tc>
          <w:tcPr>
            <w:tcW w:w="167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-0.588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849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Wavelet-LHL_GLRLM_Run Entropy</w:t>
            </w:r>
          </w:p>
        </w:tc>
        <w:tc>
          <w:tcPr>
            <w:tcW w:w="1673" w:type="dxa"/>
            <w:noWrap w:val="0"/>
            <w:vAlign w:val="top"/>
          </w:tcPr>
          <w:p>
            <w:pPr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.042</w:t>
            </w: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Arial Regular" w:hAnsi="Arial Regular" w:eastAsia="宋体" w:cs="Arial Regular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spacing w:line="240" w:lineRule="auto"/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Arial Regular" w:hAnsi="Arial Regular" w:eastAsia="宋体" w:cs="Arial Regular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Appendix L The coefficients of two selected features in LDA-based IURS model</w:t>
      </w:r>
    </w:p>
    <w:tbl>
      <w:tblPr>
        <w:tblStyle w:val="4"/>
        <w:tblW w:w="85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219"/>
        <w:gridCol w:w="1564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739" w:type="dxa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Features</w:t>
            </w:r>
          </w:p>
        </w:tc>
        <w:tc>
          <w:tcPr>
            <w:tcW w:w="1783" w:type="dxa"/>
            <w:gridSpan w:val="2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Coef in model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58" w:type="dxa"/>
            <w:gridSpan w:val="2"/>
            <w:tcBorders>
              <w:top w:val="single" w:color="000000" w:sz="12" w:space="0"/>
            </w:tcBorders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W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avelet-HLH_GLSZM_Zone Percentage</w:t>
            </w:r>
          </w:p>
        </w:tc>
        <w:tc>
          <w:tcPr>
            <w:tcW w:w="1564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Arial Regular" w:hAnsi="Arial Regular" w:eastAsia="Helvetica" w:cs="Arial Regular"/>
                <w:color w:val="000000"/>
                <w:kern w:val="0"/>
                <w:sz w:val="18"/>
                <w:szCs w:val="18"/>
                <w:lang w:val="en-US" w:eastAsia="zh-CN" w:bidi="ar"/>
              </w:rPr>
              <w:t>-1.767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6958" w:type="dxa"/>
            <w:gridSpan w:val="2"/>
            <w:noWrap w:val="0"/>
            <w:vAlign w:val="top"/>
          </w:tcPr>
          <w:p>
            <w:pPr>
              <w:spacing w:line="240" w:lineRule="auto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W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avelet-LHL_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GL</w:t>
            </w: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RLM_Run Entropy</w:t>
            </w:r>
          </w:p>
        </w:tc>
        <w:tc>
          <w:tcPr>
            <w:tcW w:w="156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 Regular" w:hAnsi="Arial Regular" w:eastAsia="宋体" w:cs="Arial Regular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-0.328</w:t>
            </w:r>
          </w:p>
        </w:tc>
      </w:tr>
    </w:tbl>
    <w:p>
      <w:pPr>
        <w:spacing w:line="240" w:lineRule="auto"/>
        <w:jc w:val="left"/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eastAsia="zh-CN" w:bidi="ar"/>
        </w:rPr>
      </w:pP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GLCM = gray</w:t>
      </w: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eastAsia="zh-CN" w:bidi="ar"/>
        </w:rPr>
        <w:t xml:space="preserve"> </w:t>
      </w: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level co-occurrence matrix, GLDM = gray level dependence matrix, </w:t>
      </w: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eastAsia="zh-CN" w:bidi="ar"/>
        </w:rPr>
        <w:t xml:space="preserve"> </w:t>
      </w: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GLRLM = gray level run-length matrix, GLSZM = gray level size zone matrix</w:t>
      </w:r>
      <w:r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eastAsia="zh-CN" w:bidi="ar"/>
        </w:rPr>
        <w:t>.</w:t>
      </w:r>
    </w:p>
    <w:p>
      <w:pPr>
        <w:jc w:val="left"/>
        <w:rPr>
          <w:rFonts w:hint="default" w:ascii="Arial Regular" w:hAnsi="Arial Regular" w:eastAsia="宋体" w:cs="Arial Regular"/>
          <w:b w:val="0"/>
          <w:bCs w:val="0"/>
          <w:i w:val="0"/>
          <w:iCs w:val="0"/>
          <w:color w:val="000000"/>
          <w:kern w:val="0"/>
          <w:sz w:val="15"/>
          <w:szCs w:val="15"/>
          <w:u w:val="none"/>
          <w:lang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Arial Regular" w:hAnsi="Arial Regular" w:eastAsia="宋体" w:cs="Arial Regular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2DB8A"/>
    <w:rsid w:val="1EEF4CEC"/>
    <w:rsid w:val="378E6FF8"/>
    <w:rsid w:val="473F077F"/>
    <w:rsid w:val="70690A31"/>
    <w:rsid w:val="7492DB8A"/>
    <w:rsid w:val="767E0CA4"/>
    <w:rsid w:val="77FDBA3E"/>
    <w:rsid w:val="78FFDBFB"/>
    <w:rsid w:val="7B7C3A05"/>
    <w:rsid w:val="7D267B4D"/>
    <w:rsid w:val="7DB7AC81"/>
    <w:rsid w:val="7EED23A0"/>
    <w:rsid w:val="7F3FCBCE"/>
    <w:rsid w:val="7FFD15FA"/>
    <w:rsid w:val="977709B6"/>
    <w:rsid w:val="9F875174"/>
    <w:rsid w:val="9FEFE237"/>
    <w:rsid w:val="9FFB306A"/>
    <w:rsid w:val="BB6F284C"/>
    <w:rsid w:val="BB7FDCB4"/>
    <w:rsid w:val="DF1B09AB"/>
    <w:rsid w:val="DF3F691B"/>
    <w:rsid w:val="DF7FAA4C"/>
    <w:rsid w:val="EFAB569B"/>
    <w:rsid w:val="FB3FBB17"/>
    <w:rsid w:val="FB5FDAF0"/>
    <w:rsid w:val="FDAD73F0"/>
    <w:rsid w:val="FFBF56D9"/>
    <w:rsid w:val="FFFFA8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2023-03-08T12:37:00Z</dcterms:created>
  <dc:creator>姚洁洁</dc:creator>
  <cp:lastModifiedBy>姚洁洁</cp:lastModifiedBy>
  <dcterms:modified xsi:type="dcterms:W3CDTF">2024-04-13T13:20:04Z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84B04DEFCBC24E5704161A6691917B8F_43</vt:lpwstr>
  </property>
</Properties>
</file>