
<file path=[Content_Types].xml><?xml version="1.0" encoding="utf-8"?>
<Types xmlns="http://schemas.openxmlformats.org/package/2006/content-types">
  <Default Extension="emf" ContentType="image/x-emf"/>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default" w:ascii="Times New Roman" w:hAnsi="Times New Roman" w:eastAsia="AdvOTce3d9a73" w:cs="Times New Roman"/>
          <w:b/>
          <w:bCs/>
          <w:color w:val="auto"/>
          <w:kern w:val="0"/>
          <w:sz w:val="34"/>
          <w:szCs w:val="34"/>
          <w:lang w:val="en-US" w:eastAsia="zh-CN" w:bidi="ar"/>
        </w:rPr>
      </w:pPr>
      <w:r>
        <w:rPr>
          <w:rFonts w:hint="default" w:ascii="Times New Roman" w:hAnsi="Times New Roman" w:eastAsia="AdvOTce3d9a73" w:cs="Times New Roman"/>
          <w:b/>
          <w:bCs/>
          <w:color w:val="auto"/>
          <w:kern w:val="0"/>
          <w:sz w:val="34"/>
          <w:szCs w:val="34"/>
          <w:lang w:val="en-US" w:eastAsia="zh-CN" w:bidi="ar"/>
        </w:rPr>
        <w:t>Therapeutic e</w:t>
      </w:r>
      <w:r>
        <w:rPr>
          <w:rFonts w:hint="default" w:ascii="Times New Roman" w:hAnsi="Times New Roman" w:eastAsia="AdvOTce3d9a73 + fb" w:cs="Times New Roman"/>
          <w:b/>
          <w:bCs/>
          <w:color w:val="auto"/>
          <w:kern w:val="0"/>
          <w:sz w:val="34"/>
          <w:szCs w:val="34"/>
          <w:lang w:val="en-US" w:eastAsia="zh-CN" w:bidi="ar"/>
        </w:rPr>
        <w:t>ff</w:t>
      </w:r>
      <w:r>
        <w:rPr>
          <w:rFonts w:hint="default" w:ascii="Times New Roman" w:hAnsi="Times New Roman" w:eastAsia="AdvOTce3d9a73" w:cs="Times New Roman"/>
          <w:b/>
          <w:bCs/>
          <w:color w:val="auto"/>
          <w:kern w:val="0"/>
          <w:sz w:val="34"/>
          <w:szCs w:val="34"/>
          <w:lang w:val="en-US" w:eastAsia="zh-CN" w:bidi="ar"/>
        </w:rPr>
        <w:t>icacy of a synthetic brain-targeted H</w:t>
      </w:r>
      <w:r>
        <w:rPr>
          <w:rFonts w:hint="default" w:ascii="Times New Roman" w:hAnsi="Times New Roman" w:eastAsia="AdvOTce3d9a73" w:cs="Times New Roman"/>
          <w:b/>
          <w:bCs/>
          <w:color w:val="auto"/>
          <w:kern w:val="0"/>
          <w:sz w:val="34"/>
          <w:szCs w:val="34"/>
          <w:vertAlign w:val="subscript"/>
          <w:lang w:val="en-US" w:eastAsia="zh-CN" w:bidi="ar"/>
        </w:rPr>
        <w:t>2</w:t>
      </w:r>
      <w:r>
        <w:rPr>
          <w:rFonts w:hint="default" w:ascii="Times New Roman" w:hAnsi="Times New Roman" w:eastAsia="AdvOTce3d9a73" w:cs="Times New Roman"/>
          <w:b/>
          <w:bCs/>
          <w:color w:val="auto"/>
          <w:kern w:val="0"/>
          <w:sz w:val="34"/>
          <w:szCs w:val="34"/>
          <w:lang w:val="en-US" w:eastAsia="zh-CN" w:bidi="ar"/>
        </w:rPr>
        <w:t>S donor</w:t>
      </w:r>
      <w:r>
        <w:rPr>
          <w:rFonts w:hint="default" w:ascii="Times New Roman" w:hAnsi="Times New Roman" w:cs="Times New Roman"/>
          <w:b/>
          <w:bCs/>
          <w:i w:val="0"/>
          <w:iCs w:val="0"/>
          <w:caps w:val="0"/>
          <w:color w:val="auto"/>
          <w:spacing w:val="0"/>
          <w:sz w:val="16"/>
          <w:szCs w:val="16"/>
          <w:shd w:val="clear" w:color="auto" w:fill="FFFFFF"/>
          <w:lang w:val="en-US" w:eastAsia="zh-CN"/>
        </w:rPr>
        <w:t xml:space="preserve"> </w:t>
      </w:r>
      <w:r>
        <w:rPr>
          <w:rFonts w:hint="default" w:ascii="Times New Roman" w:hAnsi="Times New Roman" w:eastAsia="AdvOTce3d9a73" w:cs="Times New Roman"/>
          <w:b/>
          <w:bCs/>
          <w:color w:val="auto"/>
          <w:kern w:val="0"/>
          <w:sz w:val="34"/>
          <w:szCs w:val="34"/>
          <w:lang w:val="en-US" w:eastAsia="zh-CN" w:bidi="ar"/>
        </w:rPr>
        <w:t>cross-linked nanomicells in ASD rats via aerobic glycolysis</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AdvOTce3d9a73" w:cs="Times New Roman"/>
          <w:color w:val="auto"/>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AdvOTce3d9a73" w:cs="Times New Roman"/>
          <w:color w:val="auto"/>
          <w:kern w:val="0"/>
          <w:sz w:val="24"/>
          <w:szCs w:val="24"/>
          <w:highlight w:val="none"/>
          <w:lang w:val="en-US" w:eastAsia="zh-CN" w:bidi="ar"/>
        </w:rPr>
      </w:pPr>
      <w:r>
        <w:rPr>
          <w:rFonts w:hint="default" w:ascii="Times New Roman" w:hAnsi="Times New Roman" w:eastAsia="AdvOTce3d9a73" w:cs="Times New Roman"/>
          <w:color w:val="auto"/>
          <w:kern w:val="0"/>
          <w:sz w:val="24"/>
          <w:szCs w:val="24"/>
          <w:lang w:val="en-US" w:eastAsia="zh-CN" w:bidi="ar"/>
        </w:rPr>
        <w:t>Changmei Zhang</w:t>
      </w:r>
      <w:r>
        <w:rPr>
          <w:rFonts w:hint="default" w:ascii="Times New Roman" w:hAnsi="Times New Roman" w:eastAsia="AdvOTce3d9a73" w:cs="Times New Roman"/>
          <w:color w:val="auto"/>
          <w:kern w:val="0"/>
          <w:sz w:val="24"/>
          <w:szCs w:val="24"/>
          <w:vertAlign w:val="superscript"/>
          <w:lang w:val="en-US" w:eastAsia="zh-CN" w:bidi="ar"/>
        </w:rPr>
        <w:t>1,2</w:t>
      </w:r>
      <w:r>
        <w:rPr>
          <w:rFonts w:hint="default" w:ascii="Times New Roman" w:hAnsi="Times New Roman" w:eastAsia="AdvOTce3d9a73" w:cs="Times New Roman"/>
          <w:color w:val="auto"/>
          <w:kern w:val="0"/>
          <w:sz w:val="24"/>
          <w:szCs w:val="24"/>
          <w:lang w:val="en-US" w:eastAsia="zh-CN" w:bidi="ar"/>
        </w:rPr>
        <w:t>, Lingyuan Yang</w:t>
      </w:r>
      <w:r>
        <w:rPr>
          <w:rFonts w:hint="default" w:ascii="Times New Roman" w:hAnsi="Times New Roman" w:eastAsia="AdvOTce3d9a73" w:cs="Times New Roman"/>
          <w:color w:val="auto"/>
          <w:kern w:val="0"/>
          <w:sz w:val="24"/>
          <w:szCs w:val="24"/>
          <w:vertAlign w:val="superscript"/>
          <w:lang w:val="en-US" w:eastAsia="zh-CN" w:bidi="ar"/>
        </w:rPr>
        <w:t>1</w:t>
      </w:r>
      <w:r>
        <w:rPr>
          <w:rFonts w:hint="default" w:ascii="Times New Roman" w:hAnsi="Times New Roman" w:eastAsia="AdvOTce3d9a73" w:cs="Times New Roman"/>
          <w:color w:val="auto"/>
          <w:kern w:val="0"/>
          <w:sz w:val="24"/>
          <w:szCs w:val="24"/>
          <w:lang w:val="en-US" w:eastAsia="zh-CN" w:bidi="ar"/>
        </w:rPr>
        <w:t>, Feng Wang</w:t>
      </w:r>
      <w:r>
        <w:rPr>
          <w:rFonts w:hint="default" w:ascii="Times New Roman" w:hAnsi="Times New Roman" w:eastAsia="AdvOTce3d9a73" w:cs="Times New Roman"/>
          <w:color w:val="auto"/>
          <w:kern w:val="0"/>
          <w:sz w:val="24"/>
          <w:szCs w:val="24"/>
          <w:vertAlign w:val="superscript"/>
          <w:lang w:val="en-US" w:eastAsia="zh-CN" w:bidi="ar"/>
        </w:rPr>
        <w:t>1</w:t>
      </w:r>
      <w:r>
        <w:rPr>
          <w:rFonts w:hint="default" w:ascii="Times New Roman" w:hAnsi="Times New Roman" w:eastAsia="AdvOTce3d9a73" w:cs="Times New Roman"/>
          <w:color w:val="auto"/>
          <w:kern w:val="0"/>
          <w:sz w:val="24"/>
          <w:szCs w:val="24"/>
          <w:lang w:val="en-US" w:eastAsia="zh-CN" w:bidi="ar"/>
        </w:rPr>
        <w:t xml:space="preserve">, Mingyuan Liu, Zehui Liu,  </w:t>
      </w:r>
      <w:r>
        <w:rPr>
          <w:rFonts w:hint="default" w:ascii="Times New Roman" w:hAnsi="Times New Roman" w:eastAsia="AdvOTce3d9a73" w:cs="Times New Roman"/>
          <w:color w:val="auto"/>
          <w:kern w:val="0"/>
          <w:sz w:val="24"/>
          <w:szCs w:val="24"/>
          <w:highlight w:val="none"/>
          <w:lang w:val="en-US" w:eastAsia="zh-CN" w:bidi="ar"/>
        </w:rPr>
        <w:t>Zibo Shen</w:t>
      </w:r>
      <w:r>
        <w:rPr>
          <w:rFonts w:hint="default" w:ascii="Times New Roman" w:hAnsi="Times New Roman" w:eastAsia="AdvOTce3d9a73" w:cs="Times New Roman"/>
          <w:color w:val="auto"/>
          <w:kern w:val="0"/>
          <w:sz w:val="24"/>
          <w:szCs w:val="24"/>
          <w:highlight w:val="none"/>
          <w:vertAlign w:val="superscript"/>
          <w:lang w:val="en-US" w:eastAsia="zh-CN" w:bidi="ar"/>
        </w:rPr>
        <w:t>3</w:t>
      </w:r>
      <w:r>
        <w:rPr>
          <w:rFonts w:hint="default" w:ascii="Times New Roman" w:hAnsi="Times New Roman" w:eastAsia="AdvOTce3d9a73" w:cs="Times New Roman"/>
          <w:color w:val="auto"/>
          <w:kern w:val="0"/>
          <w:sz w:val="24"/>
          <w:szCs w:val="24"/>
          <w:highlight w:val="none"/>
          <w:lang w:val="en-US" w:eastAsia="zh-CN" w:bidi="ar"/>
        </w:rPr>
        <w:t>, Mingyang Zou</w:t>
      </w:r>
      <w:r>
        <w:rPr>
          <w:rFonts w:hint="default" w:ascii="Times New Roman" w:hAnsi="Times New Roman" w:eastAsia="AdvOTce3d9a73" w:cs="Times New Roman"/>
          <w:color w:val="auto"/>
          <w:kern w:val="0"/>
          <w:sz w:val="24"/>
          <w:szCs w:val="24"/>
          <w:highlight w:val="none"/>
          <w:vertAlign w:val="superscript"/>
          <w:lang w:val="en-US" w:eastAsia="zh-CN" w:bidi="ar"/>
        </w:rPr>
        <w:t>1</w:t>
      </w:r>
      <w:r>
        <w:rPr>
          <w:rFonts w:hint="default" w:ascii="Times New Roman" w:hAnsi="Times New Roman" w:eastAsia="AdvOTce3d9a73" w:cs="Times New Roman"/>
          <w:color w:val="auto"/>
          <w:kern w:val="0"/>
          <w:sz w:val="24"/>
          <w:szCs w:val="24"/>
          <w:highlight w:val="none"/>
          <w:lang w:val="en-US" w:eastAsia="zh-CN" w:bidi="ar"/>
        </w:rPr>
        <w:t>, Lijie Wu</w:t>
      </w:r>
      <w:r>
        <w:rPr>
          <w:rFonts w:hint="default" w:ascii="Times New Roman" w:hAnsi="Times New Roman" w:eastAsia="AdvOTce3d9a73" w:cs="Times New Roman"/>
          <w:color w:val="auto"/>
          <w:kern w:val="0"/>
          <w:sz w:val="24"/>
          <w:szCs w:val="24"/>
          <w:highlight w:val="none"/>
          <w:vertAlign w:val="superscript"/>
          <w:lang w:val="en-US" w:eastAsia="zh-CN" w:bidi="ar"/>
        </w:rPr>
        <w:t>1*</w:t>
      </w:r>
    </w:p>
    <w:p>
      <w:pPr>
        <w:keepNext w:val="0"/>
        <w:keepLines w:val="0"/>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Department of Children’s and Adolescent Health, Public Health College, Harbin Medical University, Harbin,</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150086, China</w:t>
      </w:r>
    </w:p>
    <w:p>
      <w:pPr>
        <w:keepNext w:val="0"/>
        <w:keepLines w:val="0"/>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Department of Pharmaceutics, Harbin Medical University-Daqing Campus</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1 Xinyang Rd Daqing, 163319, China</w:t>
      </w:r>
    </w:p>
    <w:p>
      <w:pPr>
        <w:keepNext w:val="0"/>
        <w:keepLines w:val="0"/>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Biomedical and life science faculty, King‘s College London, Strand, London WC2R 2LS, United Kingdom</w:t>
      </w:r>
    </w:p>
    <w:p>
      <w:pPr>
        <w:spacing w:line="360" w:lineRule="auto"/>
        <w:ind w:firstLine="420" w:firstLineChars="200"/>
        <w:rPr>
          <w:rFonts w:hint="default" w:ascii="Times New Roman" w:hAnsi="Times New Roman" w:cs="Times New Roman"/>
          <w:color w:val="auto"/>
          <w:sz w:val="21"/>
          <w:szCs w:val="21"/>
        </w:rPr>
      </w:pPr>
    </w:p>
    <w:p>
      <w:pPr>
        <w:spacing w:line="360" w:lineRule="auto"/>
        <w:ind w:firstLine="420" w:firstLineChars="20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*Corresponding author. </w:t>
      </w:r>
    </w:p>
    <w:p>
      <w:pPr>
        <w:spacing w:line="360" w:lineRule="auto"/>
        <w:ind w:firstLine="420" w:firstLineChars="200"/>
        <w:rPr>
          <w:rStyle w:val="6"/>
          <w:rFonts w:hint="default" w:ascii="Times New Roman" w:hAnsi="Times New Roman" w:cs="Times New Roman"/>
          <w:color w:val="auto"/>
          <w:sz w:val="21"/>
          <w:szCs w:val="21"/>
        </w:rPr>
      </w:pPr>
      <w:bookmarkStart w:id="0" w:name="OLE_LINK169"/>
      <w:r>
        <w:rPr>
          <w:rFonts w:hint="default" w:ascii="Times New Roman" w:hAnsi="Times New Roman" w:eastAsia="AdvPS_TTB" w:cs="Times New Roman"/>
          <w:color w:val="auto"/>
          <w:kern w:val="0"/>
          <w:sz w:val="21"/>
          <w:szCs w:val="21"/>
          <w:lang w:val="en-US" w:eastAsia="zh-CN" w:bidi="ar"/>
        </w:rPr>
        <w:t>Lijie Wu</w:t>
      </w:r>
      <w:r>
        <w:rPr>
          <w:rFonts w:hint="default" w:ascii="Times New Roman" w:hAnsi="Times New Roman" w:cs="Times New Roman"/>
          <w:color w:val="auto"/>
          <w:sz w:val="21"/>
          <w:szCs w:val="21"/>
        </w:rPr>
        <w:t xml:space="preserve">. E-mail: </w:t>
      </w:r>
      <w:r>
        <w:rPr>
          <w:rStyle w:val="6"/>
          <w:rFonts w:hint="default" w:ascii="Times New Roman" w:hAnsi="Times New Roman" w:cs="Times New Roman"/>
          <w:color w:val="auto"/>
          <w:sz w:val="21"/>
          <w:szCs w:val="21"/>
        </w:rPr>
        <w:t>wulijiehyd@126.com</w:t>
      </w:r>
    </w:p>
    <w:bookmarkEnd w:id="0"/>
    <w:p>
      <w:pPr>
        <w:keepNext w:val="0"/>
        <w:keepLines w:val="0"/>
        <w:widowControl/>
        <w:suppressLineNumbers w:val="0"/>
        <w:jc w:val="center"/>
        <w:rPr>
          <w:rFonts w:hint="default" w:ascii="Times New Roman" w:hAnsi="Times New Roman" w:eastAsia="AdvOTce3d9a73" w:cs="Times New Roman"/>
          <w:b/>
          <w:bCs/>
          <w:color w:val="auto"/>
          <w:kern w:val="0"/>
          <w:sz w:val="34"/>
          <w:szCs w:val="34"/>
          <w:lang w:val="en-US" w:eastAsia="zh-CN" w:bidi="ar"/>
        </w:rPr>
      </w:pP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line="360" w:lineRule="auto"/>
        <w:ind w:left="0" w:leftChars="0" w:firstLine="482" w:firstLineChars="200"/>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Materials and methods</w:t>
      </w:r>
    </w:p>
    <w:p>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2" w:firstLineChars="200"/>
        <w:jc w:val="both"/>
        <w:textAlignment w:val="auto"/>
        <w:rPr>
          <w:rFonts w:hint="default" w:ascii="Times New Roman" w:hAnsi="Times New Roman" w:cs="Times New Roman" w:eastAsiaTheme="minorEastAsia"/>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 xml:space="preserve">1.1 </w:t>
      </w:r>
      <w:r>
        <w:rPr>
          <w:rFonts w:hint="default" w:ascii="Times New Roman" w:hAnsi="Times New Roman" w:eastAsia="宋体" w:cs="Times New Roman"/>
          <w:b/>
          <w:bCs/>
          <w:color w:val="auto"/>
          <w:sz w:val="24"/>
          <w:szCs w:val="24"/>
          <w:highlight w:val="none"/>
          <w:lang w:val="en-US" w:eastAsia="zh-CN"/>
        </w:rPr>
        <w:t>Materials</w:t>
      </w:r>
    </w:p>
    <w:p>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jc w:val="both"/>
        <w:textAlignment w:val="auto"/>
        <w:rPr>
          <w:rFonts w:hint="default" w:ascii="Times New Roman" w:hAnsi="Times New Roman" w:eastAsia="宋体" w:cs="Times New Roman"/>
          <w:color w:val="auto"/>
          <w:sz w:val="24"/>
          <w:highlight w:val="yellow"/>
          <w:lang w:val="en-US" w:eastAsia="zh-CN"/>
        </w:rPr>
      </w:pPr>
      <w:r>
        <w:rPr>
          <w:rFonts w:hint="default" w:ascii="Times New Roman" w:hAnsi="Times New Roman" w:cs="Times New Roman"/>
          <w:color w:val="auto"/>
          <w:sz w:val="24"/>
          <w:highlight w:val="none"/>
          <w:lang w:val="en-US" w:eastAsia="zh-CN"/>
        </w:rPr>
        <w:t xml:space="preserve">DMEM/F12 cell culture medium and fetal bovine serum were purchased from Gibco; </w:t>
      </w:r>
      <w:r>
        <w:rPr>
          <w:rFonts w:hint="default" w:ascii="Times New Roman" w:hAnsi="Times New Roman" w:eastAsia="宋体" w:cs="Times New Roman"/>
          <w:color w:val="auto"/>
          <w:kern w:val="0"/>
          <w:sz w:val="24"/>
          <w:szCs w:val="24"/>
          <w:lang w:val="en-US" w:eastAsia="zh-CN" w:bidi="ar"/>
        </w:rPr>
        <w:t>PrimeScript™ RT reagent Kit</w:t>
      </w:r>
      <w:r>
        <w:rPr>
          <w:rFonts w:hint="default" w:ascii="Times New Roman" w:hAnsi="Times New Roman"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Perfect Real Time</w:t>
      </w:r>
      <w:r>
        <w:rPr>
          <w:rFonts w:hint="default" w:ascii="Times New Roman" w:hAnsi="Times New Roman" w:cs="Times New Roman"/>
          <w:color w:val="auto"/>
          <w:kern w:val="0"/>
          <w:sz w:val="24"/>
          <w:szCs w:val="24"/>
          <w:lang w:val="en-US" w:eastAsia="zh-CN" w:bidi="ar"/>
        </w:rPr>
        <w:t xml:space="preserve">) kit was purchased from </w:t>
      </w:r>
      <w:r>
        <w:rPr>
          <w:rFonts w:hint="default" w:ascii="Times New Roman" w:hAnsi="Times New Roman" w:eastAsia="宋体" w:cs="Times New Roman"/>
          <w:color w:val="auto"/>
          <w:kern w:val="0"/>
          <w:sz w:val="24"/>
          <w:szCs w:val="24"/>
          <w:lang w:val="en-US" w:eastAsia="zh-CN" w:bidi="ar"/>
        </w:rPr>
        <w:t>Ta</w:t>
      </w:r>
      <w:r>
        <w:rPr>
          <w:rFonts w:hint="default" w:ascii="Times New Roman" w:hAnsi="Times New Roman" w:cs="Times New Roman"/>
          <w:color w:val="auto"/>
          <w:kern w:val="0"/>
          <w:sz w:val="24"/>
          <w:szCs w:val="24"/>
          <w:lang w:val="en-US" w:eastAsia="zh-CN" w:bidi="ar"/>
        </w:rPr>
        <w:t>k</w:t>
      </w:r>
      <w:r>
        <w:rPr>
          <w:rFonts w:hint="default" w:ascii="Times New Roman" w:hAnsi="Times New Roman" w:eastAsia="宋体" w:cs="Times New Roman"/>
          <w:color w:val="auto"/>
          <w:kern w:val="0"/>
          <w:sz w:val="24"/>
          <w:szCs w:val="24"/>
          <w:lang w:val="en-US" w:eastAsia="zh-CN" w:bidi="ar"/>
        </w:rPr>
        <w:t>a</w:t>
      </w:r>
      <w:r>
        <w:rPr>
          <w:rFonts w:hint="default" w:ascii="Times New Roman" w:hAnsi="Times New Roman" w:cs="Times New Roman"/>
          <w:color w:val="auto"/>
          <w:kern w:val="0"/>
          <w:sz w:val="24"/>
          <w:szCs w:val="24"/>
          <w:lang w:val="en-US" w:eastAsia="zh-CN" w:bidi="ar"/>
        </w:rPr>
        <w:t>r</w:t>
      </w:r>
      <w:r>
        <w:rPr>
          <w:rFonts w:hint="default" w:ascii="Times New Roman" w:hAnsi="Times New Roman" w:eastAsia="宋体" w:cs="Times New Roman"/>
          <w:color w:val="auto"/>
          <w:kern w:val="0"/>
          <w:sz w:val="24"/>
          <w:szCs w:val="24"/>
          <w:lang w:val="en-US" w:eastAsia="zh-CN" w:bidi="ar"/>
        </w:rPr>
        <w:t>a</w:t>
      </w:r>
      <w:r>
        <w:rPr>
          <w:rFonts w:hint="default" w:ascii="Times New Roman" w:hAnsi="Times New Roman" w:cs="Times New Roman"/>
          <w:color w:val="auto"/>
          <w:sz w:val="24"/>
          <w:highlight w:val="none"/>
          <w:lang w:val="en-US" w:eastAsia="zh-CN"/>
        </w:rPr>
        <w:t xml:space="preserve">; Valproate (VPA) was purchased from Sigma Aldrich; Nissl dye solution and </w:t>
      </w:r>
      <w:r>
        <w:rPr>
          <w:rFonts w:hint="default" w:ascii="Times New Roman" w:hAnsi="Times New Roman" w:cs="Times New Roman"/>
          <w:color w:val="auto"/>
          <w:sz w:val="24"/>
          <w:szCs w:val="24"/>
          <w:lang w:val="en-US" w:eastAsia="zh-CN"/>
        </w:rPr>
        <w:t>MTT kit were purchased from</w:t>
      </w:r>
      <w:r>
        <w:rPr>
          <w:rFonts w:hint="default" w:ascii="Times New Roman" w:hAnsi="Times New Roman" w:cs="Times New Roman"/>
          <w:color w:val="auto"/>
          <w:sz w:val="24"/>
        </w:rPr>
        <w:t xml:space="preserve"> Beyotime Biotechnolog</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highlight w:val="none"/>
          <w:lang w:val="en-US" w:eastAsia="zh-CN"/>
        </w:rPr>
        <w:t>; Primary NeuN antibody, GFAP antibody were purchased from Proteintech, 3,3'-Dioctadecyloxacarbocyanine perchlorate (DiO) and DiR were purchased from Macklin. GLUT1(E4S6l) rabbit mAB#73015 antibody, anti-rabbit IgG (H+L), F(ab)</w:t>
      </w:r>
      <w:r>
        <w:rPr>
          <w:rFonts w:hint="default" w:ascii="Times New Roman" w:hAnsi="Times New Roman" w:cs="Times New Roman"/>
          <w:color w:val="auto"/>
          <w:sz w:val="24"/>
          <w:highlight w:val="none"/>
          <w:vertAlign w:val="subscript"/>
          <w:lang w:val="en-US" w:eastAsia="zh-CN"/>
        </w:rPr>
        <w:t xml:space="preserve">2 </w:t>
      </w:r>
      <w:r>
        <w:rPr>
          <w:rFonts w:hint="default" w:ascii="Times New Roman" w:hAnsi="Times New Roman" w:cs="Times New Roman"/>
          <w:color w:val="auto"/>
          <w:sz w:val="24"/>
          <w:highlight w:val="none"/>
          <w:lang w:val="en-US" w:eastAsia="zh-CN"/>
        </w:rPr>
        <w:t xml:space="preserve">Fragment (Alexa Fluor 594) #8889 were purchased form Cell Signaling Technology. </w:t>
      </w:r>
    </w:p>
    <w:p>
      <w:pPr>
        <w:spacing w:line="360" w:lineRule="auto"/>
        <w:ind w:firstLine="454"/>
        <w:rPr>
          <w:rFonts w:hint="default" w:ascii="Times New Roman" w:hAnsi="Times New Roman" w:eastAsia="宋体" w:cs="Times New Roman"/>
          <w:i w:val="0"/>
          <w:iCs w:val="0"/>
          <w:caps w:val="0"/>
          <w:color w:val="auto"/>
          <w:spacing w:val="0"/>
          <w:sz w:val="16"/>
          <w:szCs w:val="16"/>
          <w:shd w:val="clear" w:color="auto" w:fill="FFFFFF"/>
        </w:rPr>
      </w:pPr>
      <w:r>
        <w:rPr>
          <w:rFonts w:hint="default" w:ascii="Times New Roman" w:hAnsi="Times New Roman" w:cs="Times New Roman"/>
          <w:b/>
          <w:bCs/>
          <w:color w:val="auto"/>
          <w:sz w:val="24"/>
          <w:szCs w:val="24"/>
          <w:lang w:val="en-US" w:eastAsia="zh-CN"/>
        </w:rPr>
        <w:t xml:space="preserve">1.2 Methods </w:t>
      </w:r>
    </w:p>
    <w:p>
      <w:pPr>
        <w:spacing w:line="360" w:lineRule="auto"/>
        <w:ind w:firstLine="454"/>
        <w:rPr>
          <w:rFonts w:hint="default" w:ascii="Times New Roman" w:hAnsi="Times New Roman" w:cs="Times New Roman"/>
          <w:color w:val="auto"/>
        </w:rPr>
      </w:pPr>
      <w:r>
        <w:rPr>
          <w:rFonts w:hint="default" w:ascii="Times New Roman" w:hAnsi="Times New Roman" w:cs="Times New Roman"/>
          <w:b/>
          <w:bCs/>
          <w:color w:val="auto"/>
          <w:sz w:val="24"/>
          <w:szCs w:val="24"/>
          <w:lang w:val="en-US" w:eastAsia="zh-CN"/>
        </w:rPr>
        <w:t>1.2.1 Synthesis of nanomicelles</w:t>
      </w:r>
    </w:p>
    <w:p>
      <w:pPr>
        <w:pStyle w:val="2"/>
        <w:widowControl/>
        <w:spacing w:beforeAutospacing="0" w:afterAutospacing="0"/>
        <w:rPr>
          <w:rFonts w:hint="default" w:ascii="Times New Roman" w:hAnsi="Times New Roman" w:cs="Times New Roman"/>
          <w:color w:val="auto"/>
          <w:sz w:val="24"/>
        </w:rPr>
      </w:pPr>
      <w:r>
        <w:rPr>
          <w:rFonts w:hint="default" w:ascii="Times New Roman" w:hAnsi="Times New Roman" w:cs="Times New Roman"/>
          <w:color w:val="auto"/>
        </w:rPr>
        <w:drawing>
          <wp:inline distT="0" distB="0" distL="114300" distR="114300">
            <wp:extent cx="5273675" cy="4558665"/>
            <wp:effectExtent l="0" t="0" r="9525" b="0"/>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
                    <pic:cNvPicPr>
                      <a:picLocks noChangeAspect="1"/>
                    </pic:cNvPicPr>
                  </pic:nvPicPr>
                  <pic:blipFill>
                    <a:blip r:embed="rId4"/>
                    <a:stretch>
                      <a:fillRect/>
                    </a:stretch>
                  </pic:blipFill>
                  <pic:spPr>
                    <a:xfrm>
                      <a:off x="0" y="0"/>
                      <a:ext cx="5273675" cy="45586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2"/>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eastAsia="宋体" w:cs="Times New Roman"/>
          <w:b/>
          <w:bCs/>
          <w:color w:val="auto"/>
          <w:sz w:val="24"/>
          <w:lang w:val="en-US" w:eastAsia="zh-CN"/>
        </w:rPr>
        <w:t>Scheme 1</w:t>
      </w:r>
      <w:r>
        <w:rPr>
          <w:rFonts w:hint="default" w:ascii="Times New Roman" w:hAnsi="Times New Roman" w:eastAsia="宋体" w:cs="Times New Roman"/>
          <w:color w:val="auto"/>
          <w:sz w:val="24"/>
          <w:lang w:val="en-US" w:eastAsia="zh-CN"/>
        </w:rPr>
        <w:t xml:space="preserve">. </w:t>
      </w:r>
      <w:r>
        <w:rPr>
          <w:rFonts w:hint="default" w:ascii="Times New Roman" w:hAnsi="Times New Roman" w:cs="Times New Roman"/>
          <w:b w:val="0"/>
          <w:bCs w:val="0"/>
          <w:color w:val="auto"/>
          <w:sz w:val="21"/>
          <w:szCs w:val="21"/>
          <w:highlight w:val="none"/>
        </w:rPr>
        <w:t>Synthesis route of cross-linked nanomicelles Man</w:t>
      </w:r>
      <w:r>
        <w:rPr>
          <w:rFonts w:hint="default"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rPr>
        <w:t>LA (3) and PEG-LA (5)</w:t>
      </w:r>
      <w:r>
        <w:rPr>
          <w:rFonts w:hint="default" w:ascii="Times New Roman" w:hAnsi="Times New Roman" w:cs="Times New Roman"/>
          <w:b w:val="0"/>
          <w:bCs w:val="0"/>
          <w:color w:val="auto"/>
          <w:sz w:val="21"/>
          <w:szCs w:val="21"/>
          <w:highlight w:val="none"/>
          <w:lang w:val="en-US" w:eastAsia="zh-CN"/>
        </w:rPr>
        <w:t>.</w:t>
      </w:r>
    </w:p>
    <w:p>
      <w:pPr>
        <w:ind w:firstLine="480" w:firstLineChars="200"/>
        <w:jc w:val="center"/>
        <w:rPr>
          <w:rFonts w:hint="default" w:ascii="Times New Roman" w:hAnsi="Times New Roman" w:eastAsia="宋体" w:cs="Times New Roman"/>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both"/>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kern w:val="0"/>
          <w:sz w:val="24"/>
          <w:highlight w:val="none"/>
          <w:lang w:bidi="ar"/>
        </w:rPr>
        <w:t>Synthesis</w:t>
      </w:r>
      <w:r>
        <w:rPr>
          <w:rFonts w:hint="default" w:ascii="Times New Roman" w:hAnsi="Times New Roman" w:cs="Times New Roman"/>
          <w:b/>
          <w:bCs/>
          <w:color w:val="auto"/>
          <w:kern w:val="0"/>
          <w:sz w:val="24"/>
          <w:highlight w:val="none"/>
          <w:lang w:val="en-US" w:eastAsia="zh-CN" w:bidi="ar"/>
        </w:rPr>
        <w:t xml:space="preserve"> of c</w:t>
      </w:r>
      <w:r>
        <w:rPr>
          <w:rFonts w:hint="default" w:ascii="Times New Roman" w:hAnsi="Times New Roman" w:cs="Times New Roman"/>
          <w:b/>
          <w:bCs/>
          <w:color w:val="auto"/>
          <w:kern w:val="0"/>
          <w:sz w:val="24"/>
          <w:highlight w:val="none"/>
          <w:lang w:bidi="ar"/>
        </w:rPr>
        <w:t xml:space="preserve">ompound </w:t>
      </w:r>
      <w:r>
        <w:rPr>
          <w:rFonts w:hint="default" w:ascii="Times New Roman" w:hAnsi="Times New Roman" w:cs="Times New Roman"/>
          <w:b/>
          <w:bCs/>
          <w:color w:val="auto"/>
          <w:kern w:val="0"/>
          <w:sz w:val="24"/>
          <w:highlight w:val="none"/>
          <w:lang w:val="en-US" w:eastAsia="zh-CN" w:bidi="ar"/>
        </w:rPr>
        <w:t>1</w:t>
      </w:r>
      <w:r>
        <w:rPr>
          <w:rFonts w:hint="default" w:ascii="Times New Roman" w:hAnsi="Times New Roman" w:cs="Times New Roman"/>
          <w:b/>
          <w:bCs/>
          <w:color w:val="auto"/>
          <w:kern w:val="0"/>
          <w:sz w:val="24"/>
          <w:highlight w:val="none"/>
          <w:lang w:bidi="ar"/>
        </w:rPr>
        <w:t xml:space="preserve"> </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cs="Times New Roman"/>
          <w:b w:val="0"/>
          <w:bCs w:val="0"/>
          <w:color w:val="auto"/>
          <w:sz w:val="24"/>
          <w:highlight w:val="none"/>
          <w:lang w:val="en-US" w:eastAsia="zh-CN"/>
        </w:rPr>
      </w:pPr>
      <w:r>
        <w:rPr>
          <w:rFonts w:hint="default" w:ascii="Times New Roman" w:hAnsi="Times New Roman" w:cs="Times New Roman"/>
          <w:b w:val="0"/>
          <w:bCs w:val="0"/>
          <w:color w:val="auto"/>
          <w:sz w:val="24"/>
          <w:highlight w:val="none"/>
          <w:lang w:val="en-US" w:eastAsia="zh-CN"/>
        </w:rPr>
        <w:t>The synthesis of all compounds was illustrated in Scheme 1. Thiourea (1 g, 5 mmol), N-hydroxysuccinimide (575 mg, 5 mmol), 1-(3-dimethylaminopropyl)-3-ethylcarbodiimide (960 mg, 5 mmol), and dichloromethane (20 mL) were successively added to a 100 mL single-neck flask under argon protection at room temperature for 30 minutes. Then, compound 6, azido-PEG600-amine (2.3 g, 3.8 mmol), was added and the reaction was left overnight at room temperature. After complete reaction, the mixture was diluted with dichloromethane, washed with saturated sodium chloride solution three times, and then purified by silica gel column chromatography (eluting with ethyl acetate first, followed by dichloromethane/methanol = 10/1). This yielded a yellow oily compound 1.</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both"/>
        <w:textAlignment w:val="auto"/>
        <w:rPr>
          <w:rFonts w:hint="default" w:ascii="Times New Roman" w:hAnsi="Times New Roman" w:cs="Times New Roman"/>
          <w:b/>
          <w:bCs/>
          <w:color w:val="auto"/>
          <w:kern w:val="0"/>
          <w:sz w:val="24"/>
          <w:highlight w:val="none"/>
          <w:lang w:bidi="ar"/>
        </w:rPr>
      </w:pPr>
      <w:r>
        <w:rPr>
          <w:rFonts w:hint="default" w:ascii="Times New Roman" w:hAnsi="Times New Roman" w:cs="Times New Roman"/>
          <w:b/>
          <w:bCs/>
          <w:color w:val="auto"/>
          <w:kern w:val="0"/>
          <w:sz w:val="24"/>
          <w:highlight w:val="none"/>
          <w:lang w:bidi="ar"/>
        </w:rPr>
        <w:t>Synthesis</w:t>
      </w:r>
      <w:r>
        <w:rPr>
          <w:rFonts w:hint="default" w:ascii="Times New Roman" w:hAnsi="Times New Roman" w:cs="Times New Roman"/>
          <w:b/>
          <w:bCs/>
          <w:color w:val="auto"/>
          <w:kern w:val="0"/>
          <w:sz w:val="24"/>
          <w:highlight w:val="none"/>
          <w:lang w:val="en-US" w:eastAsia="zh-CN" w:bidi="ar"/>
        </w:rPr>
        <w:t xml:space="preserve"> of c</w:t>
      </w:r>
      <w:r>
        <w:rPr>
          <w:rFonts w:hint="default" w:ascii="Times New Roman" w:hAnsi="Times New Roman" w:cs="Times New Roman"/>
          <w:b/>
          <w:bCs/>
          <w:color w:val="auto"/>
          <w:kern w:val="0"/>
          <w:sz w:val="24"/>
          <w:highlight w:val="none"/>
          <w:lang w:bidi="ar"/>
        </w:rPr>
        <w:t xml:space="preserve">ompound 2 </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cs="Times New Roman"/>
          <w:b w:val="0"/>
          <w:bCs w:val="0"/>
          <w:color w:val="auto"/>
          <w:kern w:val="0"/>
          <w:sz w:val="24"/>
          <w:highlight w:val="none"/>
          <w:lang w:bidi="ar"/>
        </w:rPr>
      </w:pPr>
      <w:r>
        <w:rPr>
          <w:rFonts w:hint="default" w:ascii="Times New Roman" w:hAnsi="Times New Roman" w:cs="Times New Roman"/>
          <w:b w:val="0"/>
          <w:bCs w:val="0"/>
          <w:color w:val="auto"/>
          <w:kern w:val="0"/>
          <w:sz w:val="24"/>
          <w:highlight w:val="none"/>
          <w:lang w:bidi="ar"/>
        </w:rPr>
        <w:t>Compound 1 (500 mg, 0.62 mmol) was dissolved in tert-butanol (10 m</w:t>
      </w:r>
      <w:r>
        <w:rPr>
          <w:rFonts w:hint="default" w:ascii="Times New Roman" w:hAnsi="Times New Roman" w:cs="Times New Roman"/>
          <w:b w:val="0"/>
          <w:bCs w:val="0"/>
          <w:color w:val="auto"/>
          <w:kern w:val="0"/>
          <w:sz w:val="24"/>
          <w:highlight w:val="none"/>
          <w:lang w:val="en-US" w:eastAsia="zh-CN" w:bidi="ar"/>
        </w:rPr>
        <w:t>L</w:t>
      </w:r>
      <w:r>
        <w:rPr>
          <w:rFonts w:hint="default" w:ascii="Times New Roman" w:hAnsi="Times New Roman" w:cs="Times New Roman"/>
          <w:b w:val="0"/>
          <w:bCs w:val="0"/>
          <w:color w:val="auto"/>
          <w:kern w:val="0"/>
          <w:sz w:val="24"/>
          <w:highlight w:val="none"/>
          <w:lang w:bidi="ar"/>
        </w:rPr>
        <w:t>), and compound 7, propargyl glucoside (431 mg, 1.86 mmol), was dissolved in water (10 m</w:t>
      </w:r>
      <w:r>
        <w:rPr>
          <w:rFonts w:hint="default" w:ascii="Times New Roman" w:hAnsi="Times New Roman" w:cs="Times New Roman"/>
          <w:b w:val="0"/>
          <w:bCs w:val="0"/>
          <w:color w:val="auto"/>
          <w:kern w:val="0"/>
          <w:sz w:val="24"/>
          <w:highlight w:val="none"/>
          <w:lang w:val="en-US" w:eastAsia="zh-CN" w:bidi="ar"/>
        </w:rPr>
        <w:t>L</w:t>
      </w:r>
      <w:r>
        <w:rPr>
          <w:rFonts w:hint="default" w:ascii="Times New Roman" w:hAnsi="Times New Roman" w:cs="Times New Roman"/>
          <w:b w:val="0"/>
          <w:bCs w:val="0"/>
          <w:color w:val="auto"/>
          <w:kern w:val="0"/>
          <w:sz w:val="24"/>
          <w:highlight w:val="none"/>
          <w:lang w:bidi="ar"/>
        </w:rPr>
        <w:t>). To this mixture, 0.5 mmol/mL copper sulfate (380 μ</w:t>
      </w:r>
      <w:r>
        <w:rPr>
          <w:rFonts w:hint="default" w:ascii="Times New Roman" w:hAnsi="Times New Roman" w:cs="Times New Roman"/>
          <w:b w:val="0"/>
          <w:bCs w:val="0"/>
          <w:color w:val="auto"/>
          <w:kern w:val="0"/>
          <w:sz w:val="24"/>
          <w:highlight w:val="none"/>
          <w:lang w:val="en-US" w:eastAsia="zh-CN" w:bidi="ar"/>
        </w:rPr>
        <w:t>L</w:t>
      </w:r>
      <w:r>
        <w:rPr>
          <w:rFonts w:hint="default" w:ascii="Times New Roman" w:hAnsi="Times New Roman" w:cs="Times New Roman"/>
          <w:b w:val="0"/>
          <w:bCs w:val="0"/>
          <w:color w:val="auto"/>
          <w:kern w:val="0"/>
          <w:sz w:val="24"/>
          <w:highlight w:val="none"/>
          <w:lang w:bidi="ar"/>
        </w:rPr>
        <w:t>, 0.19 mmol) and 0.5 mmol/mL sodium ascorbate (1.24 m</w:t>
      </w:r>
      <w:r>
        <w:rPr>
          <w:rFonts w:hint="default" w:ascii="Times New Roman" w:hAnsi="Times New Roman" w:cs="Times New Roman"/>
          <w:b w:val="0"/>
          <w:bCs w:val="0"/>
          <w:color w:val="auto"/>
          <w:kern w:val="0"/>
          <w:sz w:val="24"/>
          <w:highlight w:val="none"/>
          <w:lang w:val="en-US" w:eastAsia="zh-CN" w:bidi="ar"/>
        </w:rPr>
        <w:t>L</w:t>
      </w:r>
      <w:r>
        <w:rPr>
          <w:rFonts w:hint="default" w:ascii="Times New Roman" w:hAnsi="Times New Roman" w:cs="Times New Roman"/>
          <w:b w:val="0"/>
          <w:bCs w:val="0"/>
          <w:color w:val="auto"/>
          <w:kern w:val="0"/>
          <w:sz w:val="24"/>
          <w:highlight w:val="none"/>
          <w:lang w:bidi="ar"/>
        </w:rPr>
        <w:t>, 0.62 mmol) were successively added to a 100 m</w:t>
      </w:r>
      <w:r>
        <w:rPr>
          <w:rFonts w:hint="default" w:ascii="Times New Roman" w:hAnsi="Times New Roman" w:cs="Times New Roman"/>
          <w:b w:val="0"/>
          <w:bCs w:val="0"/>
          <w:color w:val="auto"/>
          <w:kern w:val="0"/>
          <w:sz w:val="24"/>
          <w:highlight w:val="none"/>
          <w:lang w:val="en-US" w:eastAsia="zh-CN" w:bidi="ar"/>
        </w:rPr>
        <w:t>L</w:t>
      </w:r>
      <w:r>
        <w:rPr>
          <w:rFonts w:hint="default" w:ascii="Times New Roman" w:hAnsi="Times New Roman" w:cs="Times New Roman"/>
          <w:b w:val="0"/>
          <w:bCs w:val="0"/>
          <w:color w:val="auto"/>
          <w:kern w:val="0"/>
          <w:sz w:val="24"/>
          <w:highlight w:val="none"/>
          <w:lang w:bidi="ar"/>
        </w:rPr>
        <w:t xml:space="preserve"> single-neck flask. The reaction proceeded at 50°C overnight. After complete reaction, the solvent was removed under reduced pressure, and dichloromethane was added for dissolution by sonication. The solution was filtered, and the filtrate was purified by silica gel column chromatography (eluting with dichloromethane/methanol = 10/1 to 10/2). This yielded a pale yellow oily compound 2 (270 mg, 42.6% yield). </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left"/>
        <w:textAlignment w:val="auto"/>
        <w:rPr>
          <w:rFonts w:hint="default" w:ascii="Times New Roman" w:hAnsi="Times New Roman" w:cs="Times New Roman"/>
          <w:b/>
          <w:bCs/>
          <w:color w:val="auto"/>
          <w:kern w:val="0"/>
          <w:sz w:val="24"/>
          <w:highlight w:val="none"/>
          <w:lang w:bidi="ar"/>
        </w:rPr>
      </w:pPr>
      <w:r>
        <w:rPr>
          <w:rFonts w:hint="default" w:ascii="Times New Roman" w:hAnsi="Times New Roman" w:cs="Times New Roman"/>
          <w:b/>
          <w:bCs/>
          <w:color w:val="auto"/>
          <w:kern w:val="0"/>
          <w:sz w:val="24"/>
          <w:highlight w:val="none"/>
          <w:lang w:bidi="ar"/>
        </w:rPr>
        <w:t>Synthesis</w:t>
      </w:r>
      <w:r>
        <w:rPr>
          <w:rFonts w:hint="default" w:ascii="Times New Roman" w:hAnsi="Times New Roman" w:cs="Times New Roman"/>
          <w:b/>
          <w:bCs/>
          <w:color w:val="auto"/>
          <w:kern w:val="0"/>
          <w:sz w:val="24"/>
          <w:highlight w:val="none"/>
          <w:lang w:val="en-US" w:eastAsia="zh-CN" w:bidi="ar"/>
        </w:rPr>
        <w:t xml:space="preserve"> of c</w:t>
      </w:r>
      <w:r>
        <w:rPr>
          <w:rFonts w:hint="default" w:ascii="Times New Roman" w:hAnsi="Times New Roman" w:cs="Times New Roman"/>
          <w:b/>
          <w:bCs/>
          <w:color w:val="auto"/>
          <w:kern w:val="0"/>
          <w:sz w:val="24"/>
          <w:highlight w:val="none"/>
          <w:lang w:bidi="ar"/>
        </w:rPr>
        <w:t xml:space="preserve">ompound 3 </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imes New Roman" w:hAnsi="Times New Roman" w:cs="Times New Roman"/>
          <w:b w:val="0"/>
          <w:bCs w:val="0"/>
          <w:color w:val="auto"/>
          <w:kern w:val="0"/>
          <w:sz w:val="24"/>
          <w:highlight w:val="none"/>
          <w:lang w:bidi="ar"/>
        </w:rPr>
      </w:pPr>
      <w:r>
        <w:rPr>
          <w:rFonts w:hint="default" w:ascii="Times New Roman" w:hAnsi="Times New Roman" w:cs="Times New Roman"/>
          <w:b w:val="0"/>
          <w:bCs w:val="0"/>
          <w:color w:val="auto"/>
          <w:kern w:val="0"/>
          <w:sz w:val="24"/>
          <w:highlight w:val="none"/>
          <w:lang w:bidi="ar"/>
        </w:rPr>
        <w:t>Compound 2 (32 mg, 0.03 mmol) was added to a 50 ml single-neck flask along with dithiothreitol (5 mg, 0.03 mmol), ethanol (2 m</w:t>
      </w:r>
      <w:r>
        <w:rPr>
          <w:rFonts w:hint="default" w:ascii="Times New Roman" w:hAnsi="Times New Roman" w:cs="Times New Roman"/>
          <w:b w:val="0"/>
          <w:bCs w:val="0"/>
          <w:color w:val="auto"/>
          <w:kern w:val="0"/>
          <w:sz w:val="24"/>
          <w:highlight w:val="none"/>
          <w:lang w:val="en-US" w:eastAsia="zh-CN" w:bidi="ar"/>
        </w:rPr>
        <w:t>L</w:t>
      </w:r>
      <w:r>
        <w:rPr>
          <w:rFonts w:hint="default" w:ascii="Times New Roman" w:hAnsi="Times New Roman" w:cs="Times New Roman"/>
          <w:b w:val="0"/>
          <w:bCs w:val="0"/>
          <w:color w:val="auto"/>
          <w:kern w:val="0"/>
          <w:sz w:val="24"/>
          <w:highlight w:val="none"/>
          <w:lang w:bidi="ar"/>
        </w:rPr>
        <w:t>), and water (4 m</w:t>
      </w:r>
      <w:r>
        <w:rPr>
          <w:rFonts w:hint="default" w:ascii="Times New Roman" w:hAnsi="Times New Roman" w:cs="Times New Roman"/>
          <w:b w:val="0"/>
          <w:bCs w:val="0"/>
          <w:color w:val="auto"/>
          <w:kern w:val="0"/>
          <w:sz w:val="24"/>
          <w:highlight w:val="none"/>
          <w:lang w:val="en-US" w:eastAsia="zh-CN" w:bidi="ar"/>
        </w:rPr>
        <w:t>L</w:t>
      </w:r>
      <w:r>
        <w:rPr>
          <w:rFonts w:hint="default" w:ascii="Times New Roman" w:hAnsi="Times New Roman" w:cs="Times New Roman"/>
          <w:b w:val="0"/>
          <w:bCs w:val="0"/>
          <w:color w:val="auto"/>
          <w:kern w:val="0"/>
          <w:sz w:val="24"/>
          <w:highlight w:val="none"/>
          <w:lang w:bidi="ar"/>
        </w:rPr>
        <w:t>), under argon protection. The reaction proceeded overnight at room temperature. After complete reaction, the mixture was purified by passing through a dextran gel column to yield a pale yellow oily compound 3.</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both"/>
        <w:textAlignment w:val="auto"/>
        <w:rPr>
          <w:rFonts w:hint="default" w:ascii="Times New Roman" w:hAnsi="Times New Roman" w:eastAsia="宋体" w:cs="Times New Roman"/>
          <w:b/>
          <w:bCs/>
          <w:color w:val="auto"/>
          <w:sz w:val="24"/>
          <w:highlight w:val="none"/>
        </w:rPr>
      </w:pPr>
      <w:r>
        <w:rPr>
          <w:rFonts w:hint="default" w:ascii="Times New Roman" w:hAnsi="Times New Roman" w:cs="Times New Roman"/>
          <w:b/>
          <w:bCs/>
          <w:color w:val="auto"/>
          <w:kern w:val="0"/>
          <w:sz w:val="24"/>
          <w:highlight w:val="none"/>
          <w:lang w:bidi="ar"/>
        </w:rPr>
        <w:t>Synthesis</w:t>
      </w:r>
      <w:r>
        <w:rPr>
          <w:rFonts w:hint="default" w:ascii="Times New Roman" w:hAnsi="Times New Roman" w:cs="Times New Roman"/>
          <w:b/>
          <w:bCs/>
          <w:color w:val="auto"/>
          <w:kern w:val="0"/>
          <w:sz w:val="24"/>
          <w:highlight w:val="none"/>
          <w:lang w:val="en-US" w:eastAsia="zh-CN" w:bidi="ar"/>
        </w:rPr>
        <w:t xml:space="preserve"> of c</w:t>
      </w:r>
      <w:r>
        <w:rPr>
          <w:rFonts w:hint="default" w:ascii="Times New Roman" w:hAnsi="Times New Roman" w:eastAsia="宋体" w:cs="Times New Roman"/>
          <w:b/>
          <w:bCs/>
          <w:color w:val="auto"/>
          <w:sz w:val="24"/>
          <w:highlight w:val="none"/>
        </w:rPr>
        <w:t>ompound 4</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Thioglycolic acid (500 mg, 2.5 mmol), N-hydroxysuccinimide (288 mg, 2.5 mmol), 1-(3-dimethylaminopropyl)-3-ethylcarbodiimide (480 mg, 2.5 mmol), and dichloromethane (20 ml) were successively added to a 100 ml single-neck flask under argon protection at room temperature for 30 minutes. Then, compound 8, amino-PEG1200-monomethyl ether (2.3 g, 1.9 mmol), was added, and the reaction was allowed to proceed overnight at room temperature. After complete reaction, the mixture was diluted with dichloromethane, washed with saturated sodium chloride solution three times, and then purified by silica gel column chromatography (eluting with ethyl acetate first, followed by dichloromethane/methanol = 10/1). This process yielded a yellow oily compound 4.</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both"/>
        <w:textAlignment w:val="auto"/>
        <w:rPr>
          <w:rFonts w:hint="default" w:ascii="Times New Roman" w:hAnsi="Times New Roman" w:eastAsia="宋体" w:cs="Times New Roman"/>
          <w:b/>
          <w:bCs/>
          <w:color w:val="auto"/>
          <w:sz w:val="24"/>
          <w:highlight w:val="none"/>
          <w:lang w:eastAsia="zh-CN"/>
        </w:rPr>
      </w:pPr>
      <w:r>
        <w:rPr>
          <w:rFonts w:hint="default" w:ascii="Times New Roman" w:hAnsi="Times New Roman" w:cs="Times New Roman"/>
          <w:b/>
          <w:bCs/>
          <w:color w:val="auto"/>
          <w:kern w:val="0"/>
          <w:sz w:val="24"/>
          <w:highlight w:val="none"/>
          <w:lang w:bidi="ar"/>
        </w:rPr>
        <w:t>Synthesis</w:t>
      </w:r>
      <w:r>
        <w:rPr>
          <w:rFonts w:hint="default" w:ascii="Times New Roman" w:hAnsi="Times New Roman" w:cs="Times New Roman"/>
          <w:b/>
          <w:bCs/>
          <w:color w:val="auto"/>
          <w:kern w:val="0"/>
          <w:sz w:val="24"/>
          <w:highlight w:val="none"/>
          <w:lang w:val="en-US" w:eastAsia="zh-CN" w:bidi="ar"/>
        </w:rPr>
        <w:t xml:space="preserve"> of c</w:t>
      </w:r>
      <w:r>
        <w:rPr>
          <w:rFonts w:hint="default" w:ascii="Times New Roman" w:hAnsi="Times New Roman" w:eastAsia="宋体" w:cs="Times New Roman"/>
          <w:b/>
          <w:bCs/>
          <w:color w:val="auto"/>
          <w:sz w:val="24"/>
          <w:highlight w:val="none"/>
        </w:rPr>
        <w:t xml:space="preserve">ompound </w:t>
      </w:r>
      <w:r>
        <w:rPr>
          <w:rFonts w:hint="default" w:ascii="Times New Roman" w:hAnsi="Times New Roman" w:cs="Times New Roman"/>
          <w:b/>
          <w:bCs/>
          <w:color w:val="auto"/>
          <w:sz w:val="24"/>
          <w:highlight w:val="none"/>
          <w:lang w:val="en-US" w:eastAsia="zh-CN"/>
        </w:rPr>
        <w:t>5</w:t>
      </w:r>
    </w:p>
    <w:p>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Compound 4 (100 mg, 0.07 mmol) was added to a 50 mL single-neck flask along with dithiothreitol (11 mg, 0.07 mmol), ethanol (2 m</w:t>
      </w:r>
      <w:r>
        <w:rPr>
          <w:rFonts w:hint="default" w:ascii="Times New Roman" w:hAnsi="Times New Roman" w:cs="Times New Roman"/>
          <w:color w:val="auto"/>
          <w:sz w:val="24"/>
          <w:highlight w:val="none"/>
          <w:lang w:val="en-US" w:eastAsia="zh-CN"/>
        </w:rPr>
        <w:t>L</w:t>
      </w:r>
      <w:r>
        <w:rPr>
          <w:rFonts w:hint="default" w:ascii="Times New Roman" w:hAnsi="Times New Roman" w:eastAsia="宋体" w:cs="Times New Roman"/>
          <w:color w:val="auto"/>
          <w:sz w:val="24"/>
          <w:highlight w:val="none"/>
          <w:lang w:val="en-US" w:eastAsia="zh-CN"/>
        </w:rPr>
        <w:t>), and water (4 m</w:t>
      </w:r>
      <w:r>
        <w:rPr>
          <w:rFonts w:hint="default" w:ascii="Times New Roman" w:hAnsi="Times New Roman" w:cs="Times New Roman"/>
          <w:color w:val="auto"/>
          <w:sz w:val="24"/>
          <w:highlight w:val="none"/>
          <w:lang w:val="en-US" w:eastAsia="zh-CN"/>
        </w:rPr>
        <w:t>L</w:t>
      </w:r>
      <w:r>
        <w:rPr>
          <w:rFonts w:hint="default" w:ascii="Times New Roman" w:hAnsi="Times New Roman" w:eastAsia="宋体" w:cs="Times New Roman"/>
          <w:color w:val="auto"/>
          <w:sz w:val="24"/>
          <w:highlight w:val="none"/>
          <w:lang w:val="en-US" w:eastAsia="zh-CN"/>
        </w:rPr>
        <w:t>), under argon protection. The reaction proceeded overnight at room temperature. After complete reaction, the mixture was purified by passing through a Sephadex LH-20 gel column to yield a pale yellow oily compound 5 (81 mg, 81% yield). HRMS (ESI) calculated for C(13+2n)H(27+4n)NO(3+n)S2 [M+2H]+: 639.9, 683.9, 727.9, etc.; found: 639.9, 683.9, 727.9, etc.</w:t>
      </w:r>
    </w:p>
    <w:p>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All compounds and intermediates were analyzed by 1H NMR spectroscopy using a Bruker AVANCE III 400M spectrometer, with deuterated chloroform as the main solvent.</w:t>
      </w:r>
    </w:p>
    <w:p>
      <w:pPr>
        <w:keepNext w:val="0"/>
        <w:keepLines w:val="0"/>
        <w:pageBreakBefore w:val="0"/>
        <w:kinsoku/>
        <w:wordWrap/>
        <w:overflowPunct/>
        <w:topLinePunct w:val="0"/>
        <w:autoSpaceDE/>
        <w:autoSpaceDN/>
        <w:bidi w:val="0"/>
        <w:adjustRightInd/>
        <w:snapToGrid w:val="0"/>
        <w:spacing w:before="157" w:beforeLines="50" w:line="360" w:lineRule="auto"/>
        <w:ind w:firstLine="480"/>
        <w:textAlignment w:val="auto"/>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 xml:space="preserve">1.2.2 Primer </w:t>
      </w:r>
      <w:r>
        <w:rPr>
          <w:rFonts w:hint="default" w:ascii="Times New Roman" w:hAnsi="Times New Roman" w:cs="Times New Roman"/>
          <w:b/>
          <w:bCs/>
          <w:color w:val="auto"/>
          <w:sz w:val="24"/>
          <w:szCs w:val="24"/>
          <w:lang w:val="en-US" w:eastAsia="zh-CN"/>
        </w:rPr>
        <w:t>d</w:t>
      </w:r>
      <w:r>
        <w:rPr>
          <w:rFonts w:hint="default" w:ascii="Times New Roman" w:hAnsi="Times New Roman" w:cs="Times New Roman"/>
          <w:b/>
          <w:bCs/>
          <w:color w:val="auto"/>
          <w:sz w:val="24"/>
          <w:szCs w:val="24"/>
        </w:rPr>
        <w:t xml:space="preserve">esign and </w:t>
      </w:r>
      <w:r>
        <w:rPr>
          <w:rFonts w:hint="default" w:ascii="Times New Roman" w:hAnsi="Times New Roman" w:cs="Times New Roman"/>
          <w:b/>
          <w:bCs/>
          <w:color w:val="auto"/>
          <w:sz w:val="24"/>
          <w:szCs w:val="24"/>
          <w:lang w:val="en-US" w:eastAsia="zh-CN"/>
        </w:rPr>
        <w:t>s</w:t>
      </w:r>
      <w:r>
        <w:rPr>
          <w:rFonts w:hint="default" w:ascii="Times New Roman" w:hAnsi="Times New Roman" w:cs="Times New Roman"/>
          <w:b/>
          <w:bCs/>
          <w:color w:val="auto"/>
          <w:sz w:val="24"/>
          <w:szCs w:val="24"/>
        </w:rPr>
        <w:t>ynthesis</w:t>
      </w:r>
    </w:p>
    <w:p>
      <w:pPr>
        <w:keepNext w:val="0"/>
        <w:keepLines w:val="0"/>
        <w:pageBreakBefore w:val="0"/>
        <w:kinsoku/>
        <w:wordWrap/>
        <w:overflowPunct/>
        <w:topLinePunct w:val="0"/>
        <w:autoSpaceDE/>
        <w:autoSpaceDN/>
        <w:bidi w:val="0"/>
        <w:adjustRightInd/>
        <w:snapToGrid w:val="0"/>
        <w:spacing w:before="157" w:beforeLines="50" w:line="360" w:lineRule="auto"/>
        <w:ind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Primers were designed using Primer5 software and referenced against NCBI online primer design tools, including Primer-BLAST (http://www.ncbi.nlm.nih.gov/tools/primer-blast) and the NCBI Basic Local Alignment Search Tool. The design and synthesis were commissioned to Ruiboxing Biotechnology Co., Ltd. The specific sequences of the primers used are as follows:</w:t>
      </w:r>
    </w:p>
    <w:p>
      <w:pPr>
        <w:keepNext w:val="0"/>
        <w:keepLines w:val="0"/>
        <w:pageBreakBefore w:val="0"/>
        <w:kinsoku/>
        <w:wordWrap/>
        <w:overflowPunct/>
        <w:topLinePunct w:val="0"/>
        <w:autoSpaceDE/>
        <w:autoSpaceDN/>
        <w:bidi w:val="0"/>
        <w:adjustRightInd/>
        <w:snapToGrid w:val="0"/>
        <w:spacing w:before="157" w:beforeLines="50" w:line="360" w:lineRule="auto"/>
        <w:ind w:firstLine="48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 xml:space="preserve">Table S1. </w:t>
      </w:r>
      <w:r>
        <w:rPr>
          <w:rFonts w:hint="default" w:ascii="Times New Roman" w:hAnsi="Times New Roman" w:cs="Times New Roman"/>
          <w:b w:val="0"/>
          <w:bCs w:val="0"/>
          <w:color w:val="auto"/>
          <w:sz w:val="21"/>
          <w:szCs w:val="21"/>
        </w:rPr>
        <w:t>The specific sequences of the primers</w:t>
      </w:r>
      <w:r>
        <w:rPr>
          <w:rFonts w:hint="default" w:ascii="Times New Roman" w:hAnsi="Times New Roman" w:cs="Times New Roman"/>
          <w:b w:val="0"/>
          <w:bCs w:val="0"/>
          <w:color w:val="auto"/>
          <w:sz w:val="21"/>
          <w:szCs w:val="21"/>
          <w:lang w:val="en-US" w:eastAsia="zh-CN"/>
        </w:rPr>
        <w:t>.</w:t>
      </w:r>
    </w:p>
    <w:tbl>
      <w:tblPr>
        <w:tblStyle w:val="3"/>
        <w:tblW w:w="8377" w:type="dxa"/>
        <w:tblInd w:w="94"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50"/>
        <w:gridCol w:w="492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tcBorders>
              <w:top w:val="single" w:color="auto" w:sz="8" w:space="0"/>
            </w:tcBorders>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Primer</w:t>
            </w:r>
          </w:p>
        </w:tc>
        <w:tc>
          <w:tcPr>
            <w:tcW w:w="4927" w:type="dxa"/>
            <w:tcBorders>
              <w:top w:val="single" w:color="auto" w:sz="8" w:space="0"/>
            </w:tcBorders>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Arial" w:cs="Times New Roman"/>
                <w:b/>
                <w:bCs/>
                <w:i w:val="0"/>
                <w:iCs w:val="0"/>
                <w:color w:val="auto"/>
                <w:spacing w:val="0"/>
                <w:sz w:val="21"/>
                <w:szCs w:val="21"/>
                <w:shd w:val="clear" w:fill="FFFFFF"/>
              </w:rPr>
              <w:t>S</w:t>
            </w:r>
            <w:r>
              <w:rPr>
                <w:rFonts w:hint="default" w:ascii="Times New Roman" w:hAnsi="Times New Roman" w:eastAsia="Arial" w:cs="Times New Roman"/>
                <w:b/>
                <w:bCs/>
                <w:i w:val="0"/>
                <w:iCs w:val="0"/>
                <w:caps w:val="0"/>
                <w:color w:val="auto"/>
                <w:spacing w:val="0"/>
                <w:sz w:val="21"/>
                <w:szCs w:val="21"/>
                <w:shd w:val="clear" w:fill="FFFFFF"/>
              </w:rPr>
              <w:t>equence</w:t>
            </w:r>
            <w:r>
              <w:rPr>
                <w:rFonts w:hint="default" w:ascii="Times New Roman" w:hAnsi="Times New Roman" w:cs="Times New Roman"/>
                <w:b/>
                <w:bCs/>
                <w:i w:val="0"/>
                <w:iCs w:val="0"/>
                <w:caps w:val="0"/>
                <w:color w:val="auto"/>
                <w:spacing w:val="0"/>
                <w:sz w:val="21"/>
                <w:szCs w:val="21"/>
                <w:shd w:val="clear" w:fill="FFFFFF"/>
                <w:lang w:val="en-US" w:eastAsia="zh-CN"/>
              </w:rPr>
              <w:t xml:space="preserve"> </w:t>
            </w:r>
            <w:r>
              <w:rPr>
                <w:rStyle w:val="8"/>
                <w:rFonts w:hint="default" w:ascii="Times New Roman" w:hAnsi="Times New Roman" w:eastAsia="宋体" w:cs="Times New Roman"/>
                <w:color w:val="auto"/>
                <w:sz w:val="21"/>
                <w:szCs w:val="21"/>
                <w:highlight w:val="none"/>
                <w:lang w:val="en-US" w:eastAsia="zh-CN" w:bidi="ar"/>
              </w:rPr>
              <w:t>(5' to 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HK1-F</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ATTGGACTCATCGTGGGGAC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HK1-R</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TCACCCAGGTACATCCCACT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HK2-F</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TTCCCCTGCCACCAGACA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HK2-R</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AGTGCCCACAATGAGACCAATC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HK3-F</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GATGGGCCTCATTGTCGGAA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HK3-R</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TCCACGCTAGCATCAAAGCA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HK4-F</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TGTCACAAGTGGAGAGCGAC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HK4-R</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AGCTTGTACACGGAGCCATC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PKM2-F</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TCTACGTGGACGATGGGCT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PKM2-R</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AGGAAGACCTTCTCTGCCGGA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LDHA-F</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TTCCACCATGATTAAGGGTCTCTAT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LDHA-R</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i w:val="0"/>
                <w:iCs w:val="0"/>
                <w:color w:val="auto"/>
                <w:kern w:val="0"/>
                <w:sz w:val="21"/>
                <w:szCs w:val="21"/>
                <w:highlight w:val="none"/>
                <w:u w:val="none"/>
                <w:lang w:val="en-US" w:eastAsia="zh-CN" w:bidi="ar"/>
              </w:rPr>
              <w:t>CCTTCACAACATCTGAGATTCCATT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Aldh3b1-F</w:t>
            </w:r>
          </w:p>
          <w:p>
            <w:pPr>
              <w:keepNext w:val="0"/>
              <w:keepLines w:val="0"/>
              <w:pageBreakBefore w:val="0"/>
              <w:kinsoku/>
              <w:wordWrap/>
              <w:overflowPunct/>
              <w:topLinePunct w:val="0"/>
              <w:autoSpaceDE/>
              <w:autoSpaceDN/>
              <w:bidi w:val="0"/>
              <w:adjustRightInd/>
              <w:snapToGrid w:val="0"/>
              <w:spacing w:before="157" w:beforeLines="50" w:line="360" w:lineRule="auto"/>
              <w:ind w:firstLine="525" w:firstLineChars="25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w:t>
            </w:r>
          </w:p>
          <w:p>
            <w:pPr>
              <w:keepNext w:val="0"/>
              <w:keepLines w:val="0"/>
              <w:pageBreakBefore w:val="0"/>
              <w:kinsoku/>
              <w:wordWrap/>
              <w:overflowPunct/>
              <w:topLinePunct w:val="0"/>
              <w:autoSpaceDE/>
              <w:autoSpaceDN/>
              <w:bidi w:val="0"/>
              <w:adjustRightInd/>
              <w:snapToGrid w:val="0"/>
              <w:spacing w:before="157" w:beforeLines="50" w:line="360" w:lineRule="auto"/>
              <w:ind w:firstLine="525" w:firstLineChars="250"/>
              <w:jc w:val="center"/>
              <w:textAlignment w:val="auto"/>
              <w:rPr>
                <w:rFonts w:hint="default" w:ascii="Times New Roman" w:hAnsi="Times New Roman" w:cs="Times New Roman"/>
                <w:color w:val="auto"/>
                <w:sz w:val="21"/>
                <w:szCs w:val="21"/>
                <w:highlight w:val="none"/>
                <w:lang w:val="en-US" w:eastAsia="zh-CN"/>
              </w:rPr>
            </w:pP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kern w:val="0"/>
                <w:sz w:val="21"/>
                <w:szCs w:val="21"/>
                <w:highlight w:val="none"/>
                <w:lang w:val="en-US" w:eastAsia="zh-CN"/>
              </w:rPr>
              <w:t>TGAACCTGACACTCGTGCCT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Aldh3b1-R</w:t>
            </w:r>
          </w:p>
          <w:p>
            <w:pPr>
              <w:keepNext w:val="0"/>
              <w:keepLines w:val="0"/>
              <w:pageBreakBefore w:val="0"/>
              <w:kinsoku/>
              <w:wordWrap/>
              <w:overflowPunct/>
              <w:topLinePunct w:val="0"/>
              <w:autoSpaceDE/>
              <w:autoSpaceDN/>
              <w:bidi w:val="0"/>
              <w:adjustRightInd/>
              <w:snapToGrid w:val="0"/>
              <w:spacing w:before="157" w:beforeLines="50" w:line="360" w:lineRule="auto"/>
              <w:ind w:firstLine="525" w:firstLineChars="25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-R</w:t>
            </w:r>
          </w:p>
          <w:p>
            <w:pPr>
              <w:keepNext w:val="0"/>
              <w:keepLines w:val="0"/>
              <w:pageBreakBefore w:val="0"/>
              <w:kinsoku/>
              <w:wordWrap/>
              <w:overflowPunct/>
              <w:topLinePunct w:val="0"/>
              <w:autoSpaceDE/>
              <w:autoSpaceDN/>
              <w:bidi w:val="0"/>
              <w:adjustRightInd/>
              <w:snapToGrid w:val="0"/>
              <w:spacing w:before="157" w:beforeLines="50" w:line="360" w:lineRule="auto"/>
              <w:ind w:firstLine="525" w:firstLineChars="250"/>
              <w:jc w:val="center"/>
              <w:textAlignment w:val="auto"/>
              <w:rPr>
                <w:rFonts w:hint="default" w:ascii="Times New Roman" w:hAnsi="Times New Roman" w:cs="Times New Roman"/>
                <w:color w:val="auto"/>
                <w:sz w:val="21"/>
                <w:szCs w:val="21"/>
                <w:highlight w:val="none"/>
                <w:lang w:val="en-US" w:eastAsia="zh-CN"/>
              </w:rPr>
            </w:pP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kern w:val="0"/>
                <w:sz w:val="21"/>
                <w:szCs w:val="21"/>
                <w:highlight w:val="none"/>
                <w:lang w:val="en-US" w:eastAsia="zh-CN"/>
              </w:rPr>
              <w:t>GCCATGACGATCTTGCCTA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en-US" w:eastAsia="zh-CN"/>
              </w:rPr>
              <w:t>β-actin-F</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lang w:val="en-US" w:eastAsia="zh-CN"/>
              </w:rPr>
              <w:t>CCAACCGTGAAAAGATGACCCAGAT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en-US" w:eastAsia="zh-CN"/>
              </w:rPr>
              <w:t>β-actin-R</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lang w:val="en-US" w:eastAsia="zh-CN"/>
              </w:rPr>
              <w:t>TACGACCAGAGGCATACAGGGACA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GAPDH-F</w:t>
            </w:r>
          </w:p>
        </w:tc>
        <w:tc>
          <w:tcPr>
            <w:tcW w:w="4927" w:type="dxa"/>
            <w:vAlign w:val="center"/>
          </w:tcPr>
          <w:p>
            <w:pPr>
              <w:keepNext w:val="0"/>
              <w:keepLines w:val="0"/>
              <w:pageBreakBefore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eastAsiaTheme="minorEastAsia"/>
                <w:color w:val="auto"/>
                <w:kern w:val="2"/>
                <w:sz w:val="21"/>
                <w:szCs w:val="21"/>
                <w:highlight w:val="none"/>
                <w:shd w:val="clear" w:color="auto" w:fill="FFFFFF"/>
                <w:lang w:val="en-US" w:eastAsia="zh-CN" w:bidi="ar-SA"/>
              </w:rPr>
            </w:pPr>
            <w:r>
              <w:rPr>
                <w:rFonts w:hint="default" w:ascii="Times New Roman" w:hAnsi="Times New Roman" w:cs="Times New Roman"/>
                <w:color w:val="auto"/>
                <w:sz w:val="21"/>
                <w:szCs w:val="21"/>
                <w:highlight w:val="none"/>
                <w:lang w:val="en-US" w:eastAsia="zh-CN"/>
              </w:rPr>
              <w:t>CCTCAAGATTGTCAGCAATG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450" w:type="dxa"/>
            <w:tcBorders>
              <w:bottom w:val="single" w:color="auto" w:sz="8" w:space="0"/>
            </w:tcBorders>
            <w:vAlign w:val="center"/>
          </w:tcPr>
          <w:p>
            <w:pPr>
              <w:keepNext w:val="0"/>
              <w:keepLines w:val="0"/>
              <w:pageBreakBefore w:val="0"/>
              <w:widowControl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GAPDH-R</w:t>
            </w:r>
          </w:p>
        </w:tc>
        <w:tc>
          <w:tcPr>
            <w:tcW w:w="4927" w:type="dxa"/>
            <w:tcBorders>
              <w:bottom w:val="single" w:color="auto" w:sz="8" w:space="0"/>
            </w:tcBorders>
            <w:vAlign w:val="center"/>
          </w:tcPr>
          <w:p>
            <w:pPr>
              <w:keepNext w:val="0"/>
              <w:keepLines w:val="0"/>
              <w:pageBreakBefore w:val="0"/>
              <w:widowControl w:val="0"/>
              <w:kinsoku/>
              <w:wordWrap/>
              <w:overflowPunct/>
              <w:topLinePunct w:val="0"/>
              <w:autoSpaceDE/>
              <w:autoSpaceDN/>
              <w:bidi w:val="0"/>
              <w:adjustRightInd/>
              <w:snapToGrid w:val="0"/>
              <w:spacing w:before="157" w:beforeLines="50" w:line="360" w:lineRule="auto"/>
              <w:jc w:val="center"/>
              <w:textAlignment w:val="auto"/>
              <w:rPr>
                <w:rFonts w:hint="default" w:ascii="Times New Roman" w:hAnsi="Times New Roman" w:cs="Times New Roman" w:eastAsiaTheme="minorEastAsia"/>
                <w:color w:val="auto"/>
                <w:kern w:val="2"/>
                <w:sz w:val="21"/>
                <w:szCs w:val="21"/>
                <w:highlight w:val="none"/>
                <w:shd w:val="clear" w:color="auto" w:fill="FFFFFF"/>
                <w:lang w:val="en-US" w:eastAsia="zh-CN" w:bidi="ar-SA"/>
              </w:rPr>
            </w:pPr>
            <w:r>
              <w:rPr>
                <w:rFonts w:hint="default" w:ascii="Times New Roman" w:hAnsi="Times New Roman" w:cs="Times New Roman"/>
                <w:color w:val="auto"/>
                <w:sz w:val="21"/>
                <w:szCs w:val="21"/>
                <w:highlight w:val="none"/>
                <w:lang w:val="en-US" w:eastAsia="zh-CN"/>
              </w:rPr>
              <w:t>CAGTCTTCTGAGTGGCAGTG</w:t>
            </w:r>
          </w:p>
        </w:tc>
      </w:tr>
    </w:tbl>
    <w:p>
      <w:pPr>
        <w:spacing w:line="360" w:lineRule="auto"/>
        <w:rPr>
          <w:rFonts w:hint="default" w:ascii="Times New Roman" w:hAnsi="Times New Roman" w:eastAsia="宋体" w:cs="Times New Roman"/>
          <w:color w:val="auto"/>
          <w:sz w:val="24"/>
          <w:highlight w:val="none"/>
          <w:lang w:val="en-US" w:eastAsia="zh-CN"/>
        </w:rPr>
      </w:pPr>
    </w:p>
    <w:p>
      <w:pPr>
        <w:numPr>
          <w:ilvl w:val="0"/>
          <w:numId w:val="2"/>
        </w:numPr>
        <w:spacing w:line="360" w:lineRule="auto"/>
        <w:ind w:left="0" w:leftChars="0" w:firstLine="482" w:firstLineChars="200"/>
        <w:rPr>
          <w:rFonts w:hint="default" w:ascii="Times New Roman" w:hAnsi="Times New Roman" w:eastAsia="宋体" w:cs="Times New Roman"/>
          <w:b/>
          <w:bCs/>
          <w:color w:val="auto"/>
          <w:sz w:val="24"/>
        </w:rPr>
      </w:pPr>
      <w:r>
        <w:rPr>
          <w:rFonts w:hint="default" w:ascii="Times New Roman" w:hAnsi="Times New Roman" w:cs="Times New Roman"/>
          <w:b/>
          <w:bCs/>
          <w:color w:val="auto"/>
          <w:sz w:val="24"/>
          <w:lang w:val="en-US" w:eastAsia="zh-CN"/>
        </w:rPr>
        <w:t>Results</w:t>
      </w:r>
    </w:p>
    <w:p>
      <w:pPr>
        <w:numPr>
          <w:ilvl w:val="0"/>
          <w:numId w:val="0"/>
        </w:numPr>
        <w:spacing w:line="360" w:lineRule="auto"/>
        <w:ind w:leftChars="200"/>
        <w:rPr>
          <w:rFonts w:hint="default" w:ascii="Times New Roman" w:hAnsi="Times New Roman" w:cs="Times New Roman"/>
          <w:color w:val="auto"/>
          <w:sz w:val="24"/>
        </w:rPr>
      </w:pPr>
      <w:r>
        <w:rPr>
          <w:rFonts w:hint="default" w:ascii="Times New Roman" w:hAnsi="Times New Roman" w:cs="Times New Roman"/>
          <w:b/>
          <w:bCs/>
          <w:color w:val="auto"/>
          <w:sz w:val="24"/>
          <w:highlight w:val="none"/>
          <w:lang w:val="en-US" w:eastAsia="zh-CN"/>
        </w:rPr>
        <w:t>2.1 Synthesis of Man-LA and PEG-LA</w:t>
      </w:r>
    </w:p>
    <w:p>
      <w:pPr>
        <w:tabs>
          <w:tab w:val="left" w:pos="741"/>
        </w:tabs>
        <w:jc w:val="center"/>
        <w:rPr>
          <w:rFonts w:hint="default" w:ascii="Times New Roman" w:hAnsi="Times New Roman" w:cs="Times New Roman"/>
          <w:color w:val="auto"/>
          <w:sz w:val="24"/>
        </w:rPr>
      </w:pPr>
      <w:r>
        <w:rPr>
          <w:rFonts w:hint="default" w:ascii="Times New Roman" w:hAnsi="Times New Roman" w:cs="Times New Roman"/>
          <w:color w:val="auto"/>
          <w:sz w:val="24"/>
        </w:rPr>
        <w:drawing>
          <wp:anchor distT="0" distB="0" distL="114300" distR="114300" simplePos="0" relativeHeight="251660288" behindDoc="0" locked="0" layoutInCell="1" allowOverlap="1">
            <wp:simplePos x="0" y="0"/>
            <wp:positionH relativeFrom="column">
              <wp:posOffset>832485</wp:posOffset>
            </wp:positionH>
            <wp:positionV relativeFrom="paragraph">
              <wp:posOffset>346075</wp:posOffset>
            </wp:positionV>
            <wp:extent cx="2372360" cy="614045"/>
            <wp:effectExtent l="0" t="0" r="2540" b="8255"/>
            <wp:wrapNone/>
            <wp:docPr id="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
                    <pic:cNvPicPr>
                      <a:picLocks noChangeAspect="1"/>
                    </pic:cNvPicPr>
                  </pic:nvPicPr>
                  <pic:blipFill>
                    <a:blip r:embed="rId5"/>
                    <a:stretch>
                      <a:fillRect/>
                    </a:stretch>
                  </pic:blipFill>
                  <pic:spPr>
                    <a:xfrm>
                      <a:off x="0" y="0"/>
                      <a:ext cx="2372360" cy="614045"/>
                    </a:xfrm>
                    <a:prstGeom prst="rect">
                      <a:avLst/>
                    </a:prstGeom>
                    <a:noFill/>
                    <a:ln>
                      <a:noFill/>
                    </a:ln>
                  </pic:spPr>
                </pic:pic>
              </a:graphicData>
            </a:graphic>
          </wp:anchor>
        </w:drawing>
      </w:r>
      <w:r>
        <w:rPr>
          <w:rFonts w:hint="default" w:ascii="Times New Roman" w:hAnsi="Times New Roman" w:cs="Times New Roman"/>
          <w:color w:val="auto"/>
          <w:sz w:val="24"/>
        </w:rPr>
        <w:drawing>
          <wp:inline distT="0" distB="0" distL="114300" distR="114300">
            <wp:extent cx="4302760" cy="2106930"/>
            <wp:effectExtent l="0" t="0" r="2540" b="1270"/>
            <wp:docPr id="77" name="图片 2" descr="Man-PEG600-L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 descr="Man-PEG600-LXS"/>
                    <pic:cNvPicPr>
                      <a:picLocks noChangeAspect="1"/>
                    </pic:cNvPicPr>
                  </pic:nvPicPr>
                  <pic:blipFill>
                    <a:blip r:embed="rId6"/>
                    <a:srcRect t="8372" r="19858" b="23532"/>
                    <a:stretch>
                      <a:fillRect/>
                    </a:stretch>
                  </pic:blipFill>
                  <pic:spPr>
                    <a:xfrm>
                      <a:off x="0" y="0"/>
                      <a:ext cx="4302760" cy="2106930"/>
                    </a:xfrm>
                    <a:prstGeom prst="rect">
                      <a:avLst/>
                    </a:prstGeom>
                    <a:noFill/>
                    <a:ln>
                      <a:noFill/>
                    </a:ln>
                  </pic:spPr>
                </pic:pic>
              </a:graphicData>
            </a:graphic>
          </wp:inline>
        </w:drawing>
      </w:r>
    </w:p>
    <w:p>
      <w:pPr>
        <w:tabs>
          <w:tab w:val="left" w:pos="741"/>
        </w:tabs>
        <w:jc w:val="center"/>
        <w:rPr>
          <w:rFonts w:hint="default" w:ascii="Times New Roman" w:hAnsi="Times New Roman" w:eastAsia="宋体" w:cs="Times New Roman"/>
          <w:color w:val="auto"/>
          <w:kern w:val="0"/>
          <w:sz w:val="24"/>
          <w:szCs w:val="24"/>
          <w:highlight w:val="none"/>
          <w:lang w:bidi="ar"/>
        </w:rPr>
      </w:pPr>
      <w:r>
        <w:rPr>
          <w:rFonts w:hint="default" w:ascii="Times New Roman" w:hAnsi="Times New Roman" w:eastAsia="宋体" w:cs="Times New Roman"/>
          <w:b/>
          <w:bCs/>
          <w:color w:val="auto"/>
          <w:kern w:val="0"/>
          <w:sz w:val="21"/>
          <w:szCs w:val="21"/>
          <w:highlight w:val="none"/>
          <w:lang w:val="en-US" w:eastAsia="zh-CN" w:bidi="ar"/>
        </w:rPr>
        <w:t>Figure S1</w:t>
      </w:r>
      <w:r>
        <w:rPr>
          <w:rFonts w:hint="default" w:ascii="Times New Roman" w:hAnsi="Times New Roman" w:eastAsia="宋体" w:cs="Times New Roman"/>
          <w:color w:val="auto"/>
          <w:kern w:val="0"/>
          <w:sz w:val="21"/>
          <w:szCs w:val="21"/>
          <w:highlight w:val="none"/>
          <w:lang w:val="en-US" w:eastAsia="zh-CN" w:bidi="ar"/>
        </w:rPr>
        <w:t>. M</w:t>
      </w:r>
      <w:r>
        <w:rPr>
          <w:rFonts w:hint="default" w:ascii="Times New Roman" w:hAnsi="Times New Roman" w:eastAsia="宋体" w:cs="Times New Roman"/>
          <w:color w:val="auto"/>
          <w:kern w:val="0"/>
          <w:sz w:val="21"/>
          <w:szCs w:val="21"/>
          <w:highlight w:val="none"/>
          <w:lang w:bidi="ar"/>
        </w:rPr>
        <w:t>ass spectra</w:t>
      </w:r>
      <w:r>
        <w:rPr>
          <w:rFonts w:hint="default" w:ascii="Times New Roman" w:hAnsi="Times New Roman" w:eastAsia="宋体" w:cs="Times New Roman"/>
          <w:color w:val="auto"/>
          <w:kern w:val="0"/>
          <w:sz w:val="21"/>
          <w:szCs w:val="21"/>
          <w:highlight w:val="none"/>
          <w:lang w:val="en-US" w:eastAsia="zh-CN" w:bidi="ar"/>
        </w:rPr>
        <w:t xml:space="preserve"> of Man-LA.</w:t>
      </w:r>
    </w:p>
    <w:p>
      <w:pPr>
        <w:tabs>
          <w:tab w:val="left" w:pos="741"/>
        </w:tabs>
        <w:jc w:val="left"/>
        <w:rPr>
          <w:rFonts w:hint="default" w:ascii="Times New Roman" w:hAnsi="Times New Roman" w:cs="Times New Roman"/>
          <w:color w:val="auto"/>
          <w:sz w:val="24"/>
        </w:rPr>
      </w:pPr>
    </w:p>
    <w:p>
      <w:pPr>
        <w:tabs>
          <w:tab w:val="left" w:pos="741"/>
        </w:tabs>
        <w:jc w:val="center"/>
        <w:rPr>
          <w:rFonts w:hint="default" w:ascii="Times New Roman" w:hAnsi="Times New Roman" w:cs="Times New Roman"/>
          <w:color w:val="auto"/>
          <w:sz w:val="24"/>
        </w:rPr>
      </w:pPr>
      <w:r>
        <w:rPr>
          <w:rFonts w:hint="default" w:ascii="Times New Roman" w:hAnsi="Times New Roman" w:cs="Times New Roman"/>
          <w:color w:val="auto"/>
          <w:sz w:val="24"/>
        </w:rPr>
        <w:drawing>
          <wp:anchor distT="0" distB="0" distL="114300" distR="114300" simplePos="0" relativeHeight="251661312" behindDoc="0" locked="0" layoutInCell="1" allowOverlap="1">
            <wp:simplePos x="0" y="0"/>
            <wp:positionH relativeFrom="column">
              <wp:posOffset>747395</wp:posOffset>
            </wp:positionH>
            <wp:positionV relativeFrom="paragraph">
              <wp:posOffset>446405</wp:posOffset>
            </wp:positionV>
            <wp:extent cx="1918335" cy="477520"/>
            <wp:effectExtent l="0" t="85090" r="0" b="135890"/>
            <wp:wrapNone/>
            <wp:docPr id="8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1"/>
                    <pic:cNvPicPr>
                      <a:picLocks noChangeAspect="1"/>
                    </pic:cNvPicPr>
                  </pic:nvPicPr>
                  <pic:blipFill>
                    <a:blip r:embed="rId7"/>
                    <a:stretch>
                      <a:fillRect/>
                    </a:stretch>
                  </pic:blipFill>
                  <pic:spPr>
                    <a:xfrm rot="20400000">
                      <a:off x="0" y="0"/>
                      <a:ext cx="1918335" cy="477520"/>
                    </a:xfrm>
                    <a:prstGeom prst="rect">
                      <a:avLst/>
                    </a:prstGeom>
                    <a:noFill/>
                    <a:ln>
                      <a:noFill/>
                    </a:ln>
                  </pic:spPr>
                </pic:pic>
              </a:graphicData>
            </a:graphic>
          </wp:anchor>
        </w:drawing>
      </w:r>
      <w:r>
        <w:rPr>
          <w:rFonts w:hint="default" w:ascii="Times New Roman" w:hAnsi="Times New Roman" w:cs="Times New Roman"/>
          <w:color w:val="auto"/>
          <w:sz w:val="24"/>
        </w:rPr>
        <w:drawing>
          <wp:inline distT="0" distB="0" distL="114300" distR="114300">
            <wp:extent cx="4407535" cy="2322195"/>
            <wp:effectExtent l="0" t="0" r="0" b="0"/>
            <wp:docPr id="82" name="图片 4" descr="mPEG1200-L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4" descr="mPEG1200-LXS"/>
                    <pic:cNvPicPr>
                      <a:picLocks noChangeAspect="1"/>
                    </pic:cNvPicPr>
                  </pic:nvPicPr>
                  <pic:blipFill>
                    <a:blip r:embed="rId8"/>
                    <a:srcRect l="7543" t="12553" r="18506" b="19837"/>
                    <a:stretch>
                      <a:fillRect/>
                    </a:stretch>
                  </pic:blipFill>
                  <pic:spPr>
                    <a:xfrm>
                      <a:off x="0" y="0"/>
                      <a:ext cx="4407535" cy="2322195"/>
                    </a:xfrm>
                    <a:prstGeom prst="rect">
                      <a:avLst/>
                    </a:prstGeom>
                    <a:noFill/>
                    <a:ln>
                      <a:noFill/>
                    </a:ln>
                  </pic:spPr>
                </pic:pic>
              </a:graphicData>
            </a:graphic>
          </wp:inline>
        </w:drawing>
      </w:r>
    </w:p>
    <w:p>
      <w:pPr>
        <w:tabs>
          <w:tab w:val="left" w:pos="741"/>
        </w:tabs>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Figure S2</w:t>
      </w:r>
      <w:r>
        <w:rPr>
          <w:rFonts w:hint="default" w:ascii="Times New Roman" w:hAnsi="Times New Roman" w:eastAsia="宋体" w:cs="Times New Roman"/>
          <w:color w:val="auto"/>
          <w:kern w:val="0"/>
          <w:sz w:val="21"/>
          <w:szCs w:val="21"/>
          <w:highlight w:val="none"/>
          <w:lang w:val="en-US" w:eastAsia="zh-CN" w:bidi="ar"/>
        </w:rPr>
        <w:t>. M</w:t>
      </w:r>
      <w:r>
        <w:rPr>
          <w:rFonts w:hint="default" w:ascii="Times New Roman" w:hAnsi="Times New Roman" w:eastAsia="宋体" w:cs="Times New Roman"/>
          <w:color w:val="auto"/>
          <w:kern w:val="0"/>
          <w:sz w:val="21"/>
          <w:szCs w:val="21"/>
          <w:highlight w:val="none"/>
          <w:lang w:bidi="ar"/>
        </w:rPr>
        <w:t>ass spectra</w:t>
      </w:r>
      <w:r>
        <w:rPr>
          <w:rFonts w:hint="default" w:ascii="Times New Roman" w:hAnsi="Times New Roman" w:eastAsia="宋体" w:cs="Times New Roman"/>
          <w:color w:val="auto"/>
          <w:kern w:val="0"/>
          <w:sz w:val="21"/>
          <w:szCs w:val="21"/>
          <w:highlight w:val="none"/>
          <w:lang w:val="en-US" w:eastAsia="zh-CN" w:bidi="ar"/>
        </w:rPr>
        <w:t xml:space="preserve"> of PEG-LA.</w:t>
      </w:r>
    </w:p>
    <w:p>
      <w:pPr>
        <w:pStyle w:val="2"/>
        <w:widowControl/>
        <w:spacing w:beforeAutospacing="0" w:afterAutospacing="0"/>
        <w:rPr>
          <w:rFonts w:hint="default" w:ascii="Times New Roman" w:hAnsi="Times New Roman" w:cs="Times New Roman"/>
          <w:color w:val="auto"/>
          <w:sz w:val="24"/>
        </w:rPr>
      </w:pPr>
    </w:p>
    <w:p>
      <w:pPr>
        <w:ind w:firstLine="426"/>
        <w:jc w:val="center"/>
        <w:rPr>
          <w:rFonts w:hint="default" w:ascii="Times New Roman" w:hAnsi="Times New Roman" w:eastAsia="宋体" w:cs="Times New Roman"/>
          <w:color w:val="auto"/>
          <w:kern w:val="0"/>
          <w:sz w:val="24"/>
          <w:highlight w:val="none"/>
          <w:lang w:bidi="ar"/>
        </w:rPr>
      </w:pPr>
      <w:r>
        <w:rPr>
          <w:rFonts w:hint="default" w:ascii="Times New Roman" w:hAnsi="Times New Roman" w:eastAsia="宋体" w:cs="Times New Roman"/>
          <w:color w:val="auto"/>
          <w:kern w:val="0"/>
          <w:sz w:val="24"/>
          <w:highlight w:val="none"/>
          <w:lang w:bidi="ar"/>
        </w:rPr>
        <w:drawing>
          <wp:anchor distT="0" distB="0" distL="114300" distR="114300" simplePos="0" relativeHeight="251659264" behindDoc="0" locked="0" layoutInCell="1" allowOverlap="1">
            <wp:simplePos x="0" y="0"/>
            <wp:positionH relativeFrom="column">
              <wp:posOffset>1202055</wp:posOffset>
            </wp:positionH>
            <wp:positionV relativeFrom="paragraph">
              <wp:posOffset>393700</wp:posOffset>
            </wp:positionV>
            <wp:extent cx="2239645" cy="619760"/>
            <wp:effectExtent l="0" t="0" r="8255" b="0"/>
            <wp:wrapNone/>
            <wp:docPr id="7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9"/>
                    <pic:cNvPicPr>
                      <a:picLocks noChangeAspect="1"/>
                    </pic:cNvPicPr>
                  </pic:nvPicPr>
                  <pic:blipFill>
                    <a:blip r:embed="rId9"/>
                    <a:stretch>
                      <a:fillRect/>
                    </a:stretch>
                  </pic:blipFill>
                  <pic:spPr>
                    <a:xfrm>
                      <a:off x="0" y="0"/>
                      <a:ext cx="2239645" cy="619760"/>
                    </a:xfrm>
                    <a:prstGeom prst="rect">
                      <a:avLst/>
                    </a:prstGeom>
                    <a:noFill/>
                    <a:ln>
                      <a:noFill/>
                    </a:ln>
                  </pic:spPr>
                </pic:pic>
              </a:graphicData>
            </a:graphic>
          </wp:anchor>
        </w:drawing>
      </w:r>
      <w:r>
        <w:rPr>
          <w:rFonts w:hint="default" w:ascii="Times New Roman" w:hAnsi="Times New Roman" w:eastAsia="宋体" w:cs="Times New Roman"/>
          <w:color w:val="auto"/>
          <w:kern w:val="0"/>
          <w:sz w:val="24"/>
          <w:highlight w:val="none"/>
          <w:lang w:bidi="ar"/>
        </w:rPr>
        <w:drawing>
          <wp:inline distT="0" distB="0" distL="114300" distR="114300">
            <wp:extent cx="4438650" cy="2279650"/>
            <wp:effectExtent l="0" t="0" r="0" b="0"/>
            <wp:docPr id="73" name="图片 73" descr="DTT-D-Man-PEG600-L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DTT-D-Man-PEG600-LXS"/>
                    <pic:cNvPicPr>
                      <a:picLocks noChangeAspect="1"/>
                    </pic:cNvPicPr>
                  </pic:nvPicPr>
                  <pic:blipFill>
                    <a:blip r:embed="rId10"/>
                    <a:srcRect l="10633" t="14032" r="14895" b="19597"/>
                    <a:stretch>
                      <a:fillRect/>
                    </a:stretch>
                  </pic:blipFill>
                  <pic:spPr>
                    <a:xfrm>
                      <a:off x="0" y="0"/>
                      <a:ext cx="4438650" cy="2279650"/>
                    </a:xfrm>
                    <a:prstGeom prst="rect">
                      <a:avLst/>
                    </a:prstGeom>
                  </pic:spPr>
                </pic:pic>
              </a:graphicData>
            </a:graphic>
          </wp:inline>
        </w:drawing>
      </w:r>
    </w:p>
    <w:p>
      <w:pPr>
        <w:ind w:firstLine="426"/>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Figure S3</w:t>
      </w:r>
      <w:r>
        <w:rPr>
          <w:rFonts w:hint="default" w:ascii="Times New Roman" w:hAnsi="Times New Roman" w:eastAsia="宋体" w:cs="Times New Roman"/>
          <w:color w:val="auto"/>
          <w:kern w:val="0"/>
          <w:sz w:val="21"/>
          <w:szCs w:val="21"/>
          <w:highlight w:val="none"/>
          <w:lang w:val="en-US" w:eastAsia="zh-CN" w:bidi="ar"/>
        </w:rPr>
        <w:t>. M</w:t>
      </w:r>
      <w:r>
        <w:rPr>
          <w:rFonts w:hint="default" w:ascii="Times New Roman" w:hAnsi="Times New Roman" w:eastAsia="宋体" w:cs="Times New Roman"/>
          <w:color w:val="auto"/>
          <w:kern w:val="0"/>
          <w:sz w:val="21"/>
          <w:szCs w:val="21"/>
          <w:highlight w:val="none"/>
          <w:lang w:bidi="ar"/>
        </w:rPr>
        <w:t>ass spectra</w:t>
      </w:r>
      <w:r>
        <w:rPr>
          <w:rFonts w:hint="default" w:ascii="Times New Roman" w:hAnsi="Times New Roman" w:eastAsia="宋体" w:cs="Times New Roman"/>
          <w:color w:val="auto"/>
          <w:kern w:val="0"/>
          <w:sz w:val="21"/>
          <w:szCs w:val="21"/>
          <w:highlight w:val="none"/>
          <w:lang w:val="en-US" w:eastAsia="zh-CN" w:bidi="ar"/>
        </w:rPr>
        <w:t xml:space="preserve"> of</w:t>
      </w:r>
      <w:r>
        <w:rPr>
          <w:rFonts w:hint="default" w:ascii="Times New Roman" w:hAnsi="Times New Roman" w:cs="Times New Roman"/>
          <w:color w:val="auto"/>
          <w:kern w:val="0"/>
          <w:sz w:val="21"/>
          <w:szCs w:val="21"/>
          <w:highlight w:val="none"/>
          <w:lang w:val="en-US" w:eastAsia="zh-CN" w:bidi="ar"/>
        </w:rPr>
        <w:t xml:space="preserve"> </w:t>
      </w:r>
      <w:r>
        <w:rPr>
          <w:rFonts w:hint="default" w:ascii="Times New Roman" w:hAnsi="Times New Roman" w:eastAsia="宋体" w:cs="Times New Roman"/>
          <w:color w:val="auto"/>
          <w:kern w:val="0"/>
          <w:sz w:val="21"/>
          <w:szCs w:val="21"/>
          <w:highlight w:val="none"/>
          <w:lang w:val="en-US" w:eastAsia="zh-CN" w:bidi="ar"/>
        </w:rPr>
        <w:t>Man-LA</w:t>
      </w:r>
      <w:r>
        <w:rPr>
          <w:rFonts w:hint="default" w:ascii="Times New Roman" w:hAnsi="Times New Roman" w:cs="Times New Roman"/>
          <w:color w:val="auto"/>
          <w:kern w:val="0"/>
          <w:sz w:val="21"/>
          <w:szCs w:val="21"/>
          <w:highlight w:val="none"/>
          <w:lang w:val="en-US" w:eastAsia="zh-CN" w:bidi="ar"/>
        </w:rPr>
        <w:t xml:space="preserve"> </w:t>
      </w:r>
      <w:r>
        <w:rPr>
          <w:rFonts w:hint="default" w:ascii="Times New Roman" w:hAnsi="Times New Roman" w:eastAsia="宋体" w:cs="Times New Roman"/>
          <w:color w:val="auto"/>
          <w:kern w:val="0"/>
          <w:sz w:val="21"/>
          <w:szCs w:val="21"/>
          <w:highlight w:val="none"/>
          <w:lang w:val="en-US" w:eastAsia="zh-CN" w:bidi="ar"/>
        </w:rPr>
        <w:t xml:space="preserve">after </w:t>
      </w:r>
      <w:r>
        <w:rPr>
          <w:rFonts w:hint="default" w:ascii="Times New Roman" w:hAnsi="Times New Roman" w:eastAsia="宋体" w:cs="Times New Roman"/>
          <w:color w:val="auto"/>
          <w:kern w:val="0"/>
          <w:sz w:val="21"/>
          <w:szCs w:val="21"/>
          <w:highlight w:val="none"/>
          <w:lang w:bidi="ar"/>
        </w:rPr>
        <w:fldChar w:fldCharType="begin"/>
      </w:r>
      <w:r>
        <w:rPr>
          <w:rFonts w:hint="default" w:ascii="Times New Roman" w:hAnsi="Times New Roman" w:eastAsia="宋体" w:cs="Times New Roman"/>
          <w:color w:val="auto"/>
          <w:kern w:val="0"/>
          <w:sz w:val="21"/>
          <w:szCs w:val="21"/>
          <w:highlight w:val="none"/>
          <w:lang w:bidi="ar"/>
        </w:rPr>
        <w:instrText xml:space="preserve"> HYPERLINK "file:///D:/TP%20P15%20%E7%99%BE%E5%BA%A6%E7%BD%91%E7%9B%98/%E4%BB%AA%E5%99%A8%E8%AE%BE%E5%A4%87/baidu-translate-client/resources/app.asar/app.html" \l "/#" </w:instrText>
      </w:r>
      <w:r>
        <w:rPr>
          <w:rFonts w:hint="default" w:ascii="Times New Roman" w:hAnsi="Times New Roman" w:eastAsia="宋体" w:cs="Times New Roman"/>
          <w:color w:val="auto"/>
          <w:kern w:val="0"/>
          <w:sz w:val="21"/>
          <w:szCs w:val="21"/>
          <w:highlight w:val="none"/>
          <w:lang w:bidi="ar"/>
        </w:rPr>
        <w:fldChar w:fldCharType="separate"/>
      </w:r>
      <w:r>
        <w:rPr>
          <w:rFonts w:hint="default" w:ascii="Times New Roman" w:hAnsi="Times New Roman" w:eastAsia="宋体" w:cs="Times New Roman"/>
          <w:color w:val="auto"/>
          <w:kern w:val="0"/>
          <w:sz w:val="21"/>
          <w:szCs w:val="21"/>
          <w:highlight w:val="none"/>
          <w:lang w:bidi="ar"/>
        </w:rPr>
        <w:t>cross-linking</w:t>
      </w:r>
      <w:r>
        <w:rPr>
          <w:rFonts w:hint="default" w:ascii="Times New Roman" w:hAnsi="Times New Roman" w:eastAsia="宋体" w:cs="Times New Roman"/>
          <w:color w:val="auto"/>
          <w:kern w:val="0"/>
          <w:sz w:val="21"/>
          <w:szCs w:val="21"/>
          <w:highlight w:val="none"/>
          <w:lang w:bidi="ar"/>
        </w:rPr>
        <w:fldChar w:fldCharType="end"/>
      </w:r>
      <w:r>
        <w:rPr>
          <w:rFonts w:hint="default" w:ascii="Times New Roman" w:hAnsi="Times New Roman" w:cs="Times New Roman"/>
          <w:color w:val="auto"/>
          <w:kern w:val="0"/>
          <w:sz w:val="21"/>
          <w:szCs w:val="21"/>
          <w:highlight w:val="none"/>
          <w:lang w:val="en-US" w:eastAsia="zh-CN" w:bidi="ar"/>
        </w:rPr>
        <w:t>.</w:t>
      </w:r>
    </w:p>
    <w:p>
      <w:pPr>
        <w:ind w:firstLine="426"/>
        <w:jc w:val="left"/>
        <w:rPr>
          <w:rFonts w:hint="default" w:ascii="Times New Roman" w:hAnsi="Times New Roman" w:cs="Times New Roman"/>
          <w:color w:val="auto"/>
          <w:sz w:val="24"/>
          <w:highlight w:val="yellow"/>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114300" distR="114300">
            <wp:extent cx="4504690" cy="2295525"/>
            <wp:effectExtent l="0" t="0" r="3810" b="3175"/>
            <wp:docPr id="79" name="图片 79" descr="DTT-D-mPEG1200-L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DTT-D-mPEG1200-LXS"/>
                    <pic:cNvPicPr>
                      <a:picLocks noChangeAspect="1"/>
                    </pic:cNvPicPr>
                  </pic:nvPicPr>
                  <pic:blipFill>
                    <a:blip r:embed="rId11"/>
                    <a:srcRect l="2248" t="7635" r="22171" b="25532"/>
                    <a:stretch>
                      <a:fillRect/>
                    </a:stretch>
                  </pic:blipFill>
                  <pic:spPr>
                    <a:xfrm>
                      <a:off x="0" y="0"/>
                      <a:ext cx="4504690" cy="2295525"/>
                    </a:xfrm>
                    <a:prstGeom prst="rect">
                      <a:avLst/>
                    </a:prstGeom>
                  </pic:spPr>
                </pic:pic>
              </a:graphicData>
            </a:graphic>
          </wp:inline>
        </w:drawing>
      </w:r>
      <w:r>
        <w:rPr>
          <w:rFonts w:hint="default" w:ascii="Times New Roman" w:hAnsi="Times New Roman" w:cs="Times New Roman"/>
          <w:color w:val="auto"/>
          <w:sz w:val="24"/>
        </w:rPr>
        <w:drawing>
          <wp:anchor distT="0" distB="0" distL="114300" distR="114300" simplePos="0" relativeHeight="251662336" behindDoc="0" locked="0" layoutInCell="1" allowOverlap="1">
            <wp:simplePos x="0" y="0"/>
            <wp:positionH relativeFrom="column">
              <wp:posOffset>533400</wp:posOffset>
            </wp:positionH>
            <wp:positionV relativeFrom="paragraph">
              <wp:posOffset>934720</wp:posOffset>
            </wp:positionV>
            <wp:extent cx="1953260" cy="462915"/>
            <wp:effectExtent l="443865" t="0" r="490220" b="0"/>
            <wp:wrapNone/>
            <wp:docPr id="8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3"/>
                    <pic:cNvPicPr>
                      <a:picLocks noChangeAspect="1"/>
                    </pic:cNvPicPr>
                  </pic:nvPicPr>
                  <pic:blipFill>
                    <a:blip r:embed="rId12"/>
                    <a:stretch>
                      <a:fillRect/>
                    </a:stretch>
                  </pic:blipFill>
                  <pic:spPr>
                    <a:xfrm rot="18660000">
                      <a:off x="0" y="0"/>
                      <a:ext cx="1953260" cy="462915"/>
                    </a:xfrm>
                    <a:prstGeom prst="rect">
                      <a:avLst/>
                    </a:prstGeom>
                    <a:noFill/>
                    <a:ln>
                      <a:noFill/>
                    </a:ln>
                  </pic:spPr>
                </pic:pic>
              </a:graphicData>
            </a:graphic>
          </wp:anchor>
        </w:drawing>
      </w:r>
    </w:p>
    <w:p>
      <w:pPr>
        <w:ind w:firstLine="426"/>
        <w:jc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Figure S</w:t>
      </w:r>
      <w:r>
        <w:rPr>
          <w:rFonts w:hint="default" w:ascii="Times New Roman" w:hAnsi="Times New Roman" w:cs="Times New Roman"/>
          <w:b/>
          <w:bCs/>
          <w:color w:val="auto"/>
          <w:kern w:val="0"/>
          <w:sz w:val="21"/>
          <w:szCs w:val="21"/>
          <w:highlight w:val="none"/>
          <w:lang w:val="en-US" w:eastAsia="zh-CN" w:bidi="ar"/>
        </w:rPr>
        <w:t>4</w:t>
      </w:r>
      <w:r>
        <w:rPr>
          <w:rFonts w:hint="default" w:ascii="Times New Roman" w:hAnsi="Times New Roman" w:eastAsia="宋体" w:cs="Times New Roman"/>
          <w:color w:val="auto"/>
          <w:kern w:val="0"/>
          <w:sz w:val="21"/>
          <w:szCs w:val="21"/>
          <w:highlight w:val="none"/>
          <w:lang w:val="en-US" w:eastAsia="zh-CN" w:bidi="ar"/>
        </w:rPr>
        <w:t>. M</w:t>
      </w:r>
      <w:r>
        <w:rPr>
          <w:rFonts w:hint="default" w:ascii="Times New Roman" w:hAnsi="Times New Roman" w:eastAsia="宋体" w:cs="Times New Roman"/>
          <w:color w:val="auto"/>
          <w:kern w:val="0"/>
          <w:sz w:val="21"/>
          <w:szCs w:val="21"/>
          <w:highlight w:val="none"/>
          <w:lang w:bidi="ar"/>
        </w:rPr>
        <w:t>ass spectra</w:t>
      </w:r>
      <w:r>
        <w:rPr>
          <w:rFonts w:hint="default" w:ascii="Times New Roman" w:hAnsi="Times New Roman" w:eastAsia="宋体" w:cs="Times New Roman"/>
          <w:color w:val="auto"/>
          <w:kern w:val="0"/>
          <w:sz w:val="21"/>
          <w:szCs w:val="21"/>
          <w:highlight w:val="none"/>
          <w:lang w:val="en-US" w:eastAsia="zh-CN" w:bidi="ar"/>
        </w:rPr>
        <w:t xml:space="preserve"> of</w:t>
      </w:r>
      <w:r>
        <w:rPr>
          <w:rFonts w:hint="default" w:ascii="Times New Roman" w:hAnsi="Times New Roman" w:cs="Times New Roman"/>
          <w:color w:val="auto"/>
          <w:kern w:val="0"/>
          <w:sz w:val="21"/>
          <w:szCs w:val="21"/>
          <w:highlight w:val="none"/>
          <w:lang w:val="en-US" w:eastAsia="zh-CN" w:bidi="ar"/>
        </w:rPr>
        <w:t xml:space="preserve"> PEG</w:t>
      </w:r>
      <w:r>
        <w:rPr>
          <w:rFonts w:hint="default" w:ascii="Times New Roman" w:hAnsi="Times New Roman" w:eastAsia="宋体" w:cs="Times New Roman"/>
          <w:color w:val="auto"/>
          <w:kern w:val="0"/>
          <w:sz w:val="21"/>
          <w:szCs w:val="21"/>
          <w:highlight w:val="none"/>
          <w:lang w:val="en-US" w:eastAsia="zh-CN" w:bidi="ar"/>
        </w:rPr>
        <w:t>-LA</w:t>
      </w:r>
      <w:r>
        <w:rPr>
          <w:rFonts w:hint="default" w:ascii="Times New Roman" w:hAnsi="Times New Roman" w:cs="Times New Roman"/>
          <w:color w:val="auto"/>
          <w:kern w:val="0"/>
          <w:sz w:val="21"/>
          <w:szCs w:val="21"/>
          <w:highlight w:val="none"/>
          <w:lang w:val="en-US" w:eastAsia="zh-CN" w:bidi="ar"/>
        </w:rPr>
        <w:t xml:space="preserve"> </w:t>
      </w:r>
      <w:r>
        <w:rPr>
          <w:rFonts w:hint="default" w:ascii="Times New Roman" w:hAnsi="Times New Roman" w:eastAsia="宋体" w:cs="Times New Roman"/>
          <w:color w:val="auto"/>
          <w:kern w:val="0"/>
          <w:sz w:val="21"/>
          <w:szCs w:val="21"/>
          <w:highlight w:val="none"/>
          <w:lang w:val="en-US" w:eastAsia="zh-CN" w:bidi="ar"/>
        </w:rPr>
        <w:t xml:space="preserve">after </w:t>
      </w:r>
      <w:r>
        <w:rPr>
          <w:rFonts w:hint="default" w:ascii="Times New Roman" w:hAnsi="Times New Roman" w:eastAsia="宋体" w:cs="Times New Roman"/>
          <w:color w:val="auto"/>
          <w:kern w:val="0"/>
          <w:sz w:val="21"/>
          <w:szCs w:val="21"/>
          <w:highlight w:val="none"/>
          <w:lang w:bidi="ar"/>
        </w:rPr>
        <w:fldChar w:fldCharType="begin"/>
      </w:r>
      <w:r>
        <w:rPr>
          <w:rFonts w:hint="default" w:ascii="Times New Roman" w:hAnsi="Times New Roman" w:eastAsia="宋体" w:cs="Times New Roman"/>
          <w:color w:val="auto"/>
          <w:kern w:val="0"/>
          <w:sz w:val="21"/>
          <w:szCs w:val="21"/>
          <w:highlight w:val="none"/>
          <w:lang w:bidi="ar"/>
        </w:rPr>
        <w:instrText xml:space="preserve"> HYPERLINK "file:///D:/TP%20P15%20%E7%99%BE%E5%BA%A6%E7%BD%91%E7%9B%98/%E4%BB%AA%E5%99%A8%E8%AE%BE%E5%A4%87/baidu-translate-client/resources/app.asar/app.html" \l "/#" </w:instrText>
      </w:r>
      <w:r>
        <w:rPr>
          <w:rFonts w:hint="default" w:ascii="Times New Roman" w:hAnsi="Times New Roman" w:eastAsia="宋体" w:cs="Times New Roman"/>
          <w:color w:val="auto"/>
          <w:kern w:val="0"/>
          <w:sz w:val="21"/>
          <w:szCs w:val="21"/>
          <w:highlight w:val="none"/>
          <w:lang w:bidi="ar"/>
        </w:rPr>
        <w:fldChar w:fldCharType="separate"/>
      </w:r>
      <w:r>
        <w:rPr>
          <w:rFonts w:hint="default" w:ascii="Times New Roman" w:hAnsi="Times New Roman" w:eastAsia="宋体" w:cs="Times New Roman"/>
          <w:color w:val="auto"/>
          <w:kern w:val="0"/>
          <w:sz w:val="21"/>
          <w:szCs w:val="21"/>
          <w:highlight w:val="none"/>
          <w:lang w:bidi="ar"/>
        </w:rPr>
        <w:t>cross-linking</w:t>
      </w:r>
      <w:r>
        <w:rPr>
          <w:rFonts w:hint="default" w:ascii="Times New Roman" w:hAnsi="Times New Roman" w:eastAsia="宋体" w:cs="Times New Roman"/>
          <w:color w:val="auto"/>
          <w:kern w:val="0"/>
          <w:sz w:val="21"/>
          <w:szCs w:val="21"/>
          <w:highlight w:val="none"/>
          <w:lang w:bidi="ar"/>
        </w:rPr>
        <w:fldChar w:fldCharType="end"/>
      </w:r>
      <w:r>
        <w:rPr>
          <w:rFonts w:hint="default" w:ascii="Times New Roman" w:hAnsi="Times New Roman" w:cs="Times New Roman"/>
          <w:color w:val="auto"/>
          <w:kern w:val="0"/>
          <w:sz w:val="21"/>
          <w:szCs w:val="21"/>
          <w:highlight w:val="none"/>
          <w:lang w:val="en-US" w:eastAsia="zh-CN" w:bidi="ar"/>
        </w:rPr>
        <w:t>.</w:t>
      </w:r>
    </w:p>
    <w:p>
      <w:pPr>
        <w:ind w:firstLine="426"/>
        <w:jc w:val="center"/>
        <w:rPr>
          <w:rFonts w:hint="default" w:ascii="Times New Roman" w:hAnsi="Times New Roman" w:cs="Times New Roman"/>
          <w:color w:val="auto"/>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drawing>
          <wp:inline distT="0" distB="0" distL="114300" distR="114300">
            <wp:extent cx="3630295" cy="3383280"/>
            <wp:effectExtent l="0" t="0" r="0" b="0"/>
            <wp:docPr id="2" name="图片 2" descr="GSH-MAN-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SH-MAN-PEG"/>
                    <pic:cNvPicPr>
                      <a:picLocks noChangeAspect="1"/>
                    </pic:cNvPicPr>
                  </pic:nvPicPr>
                  <pic:blipFill>
                    <a:blip r:embed="rId13"/>
                    <a:stretch>
                      <a:fillRect/>
                    </a:stretch>
                  </pic:blipFill>
                  <pic:spPr>
                    <a:xfrm>
                      <a:off x="0" y="0"/>
                      <a:ext cx="3630295" cy="338328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kern w:val="0"/>
          <w:sz w:val="21"/>
          <w:szCs w:val="21"/>
          <w:highlight w:val="none"/>
          <w:lang w:val="en-US" w:eastAsia="zh-CN" w:bidi="ar"/>
        </w:rPr>
      </w:pPr>
      <w:r>
        <w:rPr>
          <w:rFonts w:hint="default" w:ascii="Times New Roman" w:hAnsi="Times New Roman" w:cs="Times New Roman"/>
          <w:b w:val="0"/>
          <w:bCs w:val="0"/>
          <w:color w:val="auto"/>
          <w:kern w:val="0"/>
          <w:sz w:val="21"/>
          <w:szCs w:val="21"/>
          <w:highlight w:val="none"/>
          <w:lang w:val="en-US" w:eastAsia="zh-CN" w:bidi="ar"/>
        </w:rPr>
        <w:t xml:space="preserve">  </w:t>
      </w:r>
      <w:r>
        <w:rPr>
          <w:rFonts w:hint="default" w:ascii="Times New Roman" w:hAnsi="Times New Roman" w:cs="Times New Roman"/>
          <w:b/>
          <w:bCs/>
          <w:color w:val="auto"/>
          <w:kern w:val="0"/>
          <w:sz w:val="21"/>
          <w:szCs w:val="21"/>
          <w:highlight w:val="none"/>
          <w:lang w:val="en-US" w:eastAsia="zh-CN" w:bidi="ar"/>
        </w:rPr>
        <w:t xml:space="preserve"> Figure S5</w:t>
      </w:r>
      <w:r>
        <w:rPr>
          <w:rFonts w:hint="default" w:ascii="Times New Roman" w:hAnsi="Times New Roman"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 xml:space="preserve"> H</w:t>
      </w:r>
      <w:r>
        <w:rPr>
          <w:rFonts w:hint="default" w:ascii="Times New Roman" w:hAnsi="Times New Roman" w:eastAsia="宋体" w:cs="Times New Roman"/>
          <w:b w:val="0"/>
          <w:bCs w:val="0"/>
          <w:color w:val="auto"/>
          <w:kern w:val="0"/>
          <w:sz w:val="21"/>
          <w:szCs w:val="21"/>
          <w:highlight w:val="none"/>
          <w:vertAlign w:val="subscript"/>
          <w:lang w:val="en-US" w:eastAsia="zh-CN" w:bidi="ar"/>
        </w:rPr>
        <w:t>2</w:t>
      </w:r>
      <w:r>
        <w:rPr>
          <w:rFonts w:hint="default" w:ascii="Times New Roman" w:hAnsi="Times New Roman" w:eastAsia="宋体" w:cs="Times New Roman"/>
          <w:b w:val="0"/>
          <w:bCs w:val="0"/>
          <w:color w:val="auto"/>
          <w:kern w:val="0"/>
          <w:sz w:val="21"/>
          <w:szCs w:val="21"/>
          <w:highlight w:val="none"/>
          <w:lang w:val="en-US" w:eastAsia="zh-CN" w:bidi="ar"/>
        </w:rPr>
        <w:t xml:space="preserve">S release of </w:t>
      </w:r>
      <w:r>
        <w:rPr>
          <w:rFonts w:hint="eastAsia" w:ascii="Times New Roman" w:hAnsi="Times New Roman" w:cs="Times New Roman"/>
          <w:b w:val="0"/>
          <w:bCs w:val="0"/>
          <w:color w:val="auto"/>
          <w:kern w:val="0"/>
          <w:sz w:val="21"/>
          <w:szCs w:val="21"/>
          <w:highlight w:val="none"/>
          <w:lang w:val="en-US" w:eastAsia="zh-CN" w:bidi="ar"/>
        </w:rPr>
        <w:t>Man-LA and PEG-LA</w:t>
      </w:r>
      <w:r>
        <w:rPr>
          <w:rFonts w:hint="default" w:ascii="Times New Roman" w:hAnsi="Times New Roman" w:eastAsia="宋体" w:cs="Times New Roman"/>
          <w:b w:val="0"/>
          <w:bCs w:val="0"/>
          <w:color w:val="auto"/>
          <w:kern w:val="0"/>
          <w:sz w:val="21"/>
          <w:szCs w:val="21"/>
          <w:highlight w:val="none"/>
          <w:lang w:val="en-US" w:eastAsia="zh-CN" w:bidi="ar"/>
        </w:rPr>
        <w:t xml:space="preserve"> under the action of different concentrations of GSH</w:t>
      </w:r>
      <w:r>
        <w:rPr>
          <w:rFonts w:hint="default" w:ascii="Times New Roman" w:hAnsi="Times New Roman" w:cs="Times New Roman"/>
          <w:b w:val="0"/>
          <w:bCs w:val="0"/>
          <w:color w:val="auto"/>
          <w:kern w:val="0"/>
          <w:sz w:val="21"/>
          <w:szCs w:val="21"/>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b/>
          <w:bCs/>
          <w:color w:val="auto"/>
          <w:kern w:val="0"/>
          <w:sz w:val="24"/>
          <w:szCs w:val="24"/>
          <w:lang w:val="en-US" w:eastAsia="zh-CN" w:bidi="ar"/>
        </w:rPr>
      </w:pPr>
      <w:r>
        <w:rPr>
          <w:rFonts w:hint="default" w:ascii="Times New Roman" w:hAnsi="Times New Roman" w:cs="Times New Roman"/>
          <w:b/>
          <w:bCs/>
          <w:color w:val="auto"/>
          <w:kern w:val="0"/>
          <w:sz w:val="24"/>
          <w:szCs w:val="24"/>
          <w:lang w:val="en-US" w:eastAsia="zh-CN" w:bidi="ar"/>
        </w:rPr>
        <w:t>2.2 Expression of aerobic glycolytic key enzymes</w:t>
      </w:r>
    </w:p>
    <w:p>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cs="Times New Roman"/>
          <w:b/>
          <w:bCs/>
          <w:color w:val="auto"/>
          <w:kern w:val="0"/>
          <w:sz w:val="24"/>
          <w:szCs w:val="24"/>
          <w:lang w:val="en-US" w:eastAsia="zh-CN" w:bidi="ar"/>
        </w:rPr>
      </w:pPr>
      <w:r>
        <w:rPr>
          <w:rFonts w:hint="default" w:ascii="Times New Roman" w:hAnsi="Times New Roman" w:eastAsia="宋体" w:cs="Times New Roman"/>
          <w:color w:val="auto"/>
          <w:kern w:val="0"/>
          <w:sz w:val="24"/>
          <w:szCs w:val="24"/>
          <w:highlight w:val="none"/>
          <w:lang w:val="en-US" w:eastAsia="zh-CN" w:bidi="ar"/>
        </w:rPr>
        <w:t xml:space="preserve">The ASD model induced by VPA showed significant tail folding phenomenon in rat, as shown in </w:t>
      </w:r>
      <w:r>
        <w:rPr>
          <w:rFonts w:hint="default" w:ascii="Times New Roman" w:hAnsi="Times New Roman" w:eastAsia="宋体" w:cs="Times New Roman"/>
          <w:color w:val="auto"/>
          <w:kern w:val="0"/>
          <w:sz w:val="24"/>
          <w:szCs w:val="24"/>
          <w:highlight w:val="none"/>
          <w:lang w:val="en-US" w:eastAsia="zh-CN" w:bidi="ar"/>
        </w:rPr>
        <w:t>Figure S</w:t>
      </w:r>
      <w:r>
        <w:rPr>
          <w:rFonts w:hint="default" w:ascii="Times New Roman" w:hAnsi="Times New Roman"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val="en-US" w:eastAsia="zh-CN" w:bidi="ar"/>
        </w:rPr>
        <w:t>A</w:t>
      </w:r>
      <w:r>
        <w:rPr>
          <w:rFonts w:hint="default" w:ascii="Times New Roman" w:hAnsi="Times New Roman" w:eastAsia="宋体" w:cs="Times New Roman"/>
          <w:color w:val="auto"/>
          <w:kern w:val="0"/>
          <w:sz w:val="24"/>
          <w:szCs w:val="24"/>
          <w:highlight w:val="none"/>
          <w:lang w:val="en-US" w:eastAsia="zh-CN" w:bidi="ar"/>
        </w:rPr>
        <w:t xml:space="preserve">. The mRNA levels of HK1, HK2, HK3, HK4, and PKM2 in the cerebral cortex of control rats were significantly higher than those in the hippocampus, but there was no difference in LDHA, as shown in </w:t>
      </w:r>
      <w:r>
        <w:rPr>
          <w:rFonts w:hint="default" w:ascii="Times New Roman" w:hAnsi="Times New Roman" w:eastAsia="宋体" w:cs="Times New Roman"/>
          <w:color w:val="auto"/>
          <w:kern w:val="0"/>
          <w:sz w:val="24"/>
          <w:szCs w:val="24"/>
          <w:highlight w:val="none"/>
          <w:lang w:val="en-US" w:eastAsia="zh-CN" w:bidi="ar"/>
        </w:rPr>
        <w:t>Figure S</w:t>
      </w:r>
      <w:r>
        <w:rPr>
          <w:rFonts w:hint="default" w:ascii="Times New Roman" w:hAnsi="Times New Roman"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val="en-US" w:eastAsia="zh-CN" w:bidi="ar"/>
        </w:rPr>
        <w:t>B</w:t>
      </w:r>
      <w:r>
        <w:rPr>
          <w:rFonts w:hint="default" w:ascii="Times New Roman" w:hAnsi="Times New Roman" w:eastAsia="宋体" w:cs="Times New Roman"/>
          <w:color w:val="auto"/>
          <w:kern w:val="0"/>
          <w:sz w:val="24"/>
          <w:szCs w:val="24"/>
          <w:highlight w:val="none"/>
          <w:lang w:val="en-US" w:eastAsia="zh-CN" w:bidi="ar"/>
        </w:rPr>
        <w:t xml:space="preserve">. The mRNA levels of HK1, HK2, HK3, PKM2, and LDHA in the cerebral cortex of VPA mice were significantly higher than those in the hippocampus, as shown in </w:t>
      </w:r>
      <w:r>
        <w:rPr>
          <w:rFonts w:hint="default" w:ascii="Times New Roman" w:hAnsi="Times New Roman" w:eastAsia="宋体" w:cs="Times New Roman"/>
          <w:color w:val="auto"/>
          <w:kern w:val="0"/>
          <w:sz w:val="24"/>
          <w:szCs w:val="24"/>
          <w:highlight w:val="none"/>
          <w:lang w:val="en-US" w:eastAsia="zh-CN" w:bidi="ar"/>
        </w:rPr>
        <w:t>Figure S</w:t>
      </w:r>
      <w:r>
        <w:rPr>
          <w:rFonts w:hint="default" w:ascii="Times New Roman" w:hAnsi="Times New Roman"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val="en-US" w:eastAsia="zh-CN" w:bidi="ar"/>
        </w:rPr>
        <w:t>C</w:t>
      </w:r>
      <w:r>
        <w:rPr>
          <w:rFonts w:hint="default" w:ascii="Times New Roman" w:hAnsi="Times New Roman" w:eastAsia="宋体" w:cs="Times New Roman"/>
          <w:color w:val="auto"/>
          <w:kern w:val="0"/>
          <w:sz w:val="24"/>
          <w:szCs w:val="24"/>
          <w:highlight w:val="none"/>
          <w:lang w:val="en-US" w:eastAsia="zh-CN" w:bidi="ar"/>
        </w:rPr>
        <w:t xml:space="preserve">. Comparing the expression of aerobic glycolytic enzymes in the cerebral cortex of control and VPA group rats, the mRNA levels of HK2, HK3, HK4, PKM2, and LDHA in the cortex of VPA model rats were significantly reduced, with statistical differences, as shown in </w:t>
      </w:r>
      <w:r>
        <w:rPr>
          <w:rFonts w:hint="default" w:ascii="Times New Roman" w:hAnsi="Times New Roman" w:eastAsia="宋体" w:cs="Times New Roman"/>
          <w:color w:val="auto"/>
          <w:kern w:val="0"/>
          <w:sz w:val="24"/>
          <w:szCs w:val="24"/>
          <w:highlight w:val="none"/>
          <w:lang w:val="en-US" w:eastAsia="zh-CN" w:bidi="ar"/>
        </w:rPr>
        <w:t>Figure S</w:t>
      </w:r>
      <w:r>
        <w:rPr>
          <w:rFonts w:hint="default" w:ascii="Times New Roman" w:hAnsi="Times New Roman"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val="en-US" w:eastAsia="zh-CN" w:bidi="ar"/>
        </w:rPr>
        <w:t>D</w:t>
      </w:r>
      <w:r>
        <w:rPr>
          <w:rFonts w:hint="default" w:ascii="Times New Roman" w:hAnsi="Times New Roman" w:eastAsia="宋体" w:cs="Times New Roman"/>
          <w:color w:val="auto"/>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drawing>
          <wp:inline distT="0" distB="0" distL="114300" distR="114300">
            <wp:extent cx="5267325" cy="3975100"/>
            <wp:effectExtent l="0" t="0" r="0" b="0"/>
            <wp:docPr id="7" name="图片 7"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3"/>
                    <pic:cNvPicPr>
                      <a:picLocks noChangeAspect="1"/>
                    </pic:cNvPicPr>
                  </pic:nvPicPr>
                  <pic:blipFill>
                    <a:blip r:embed="rId14"/>
                    <a:srcRect b="32310"/>
                    <a:stretch>
                      <a:fillRect/>
                    </a:stretch>
                  </pic:blipFill>
                  <pic:spPr>
                    <a:xfrm>
                      <a:off x="0" y="0"/>
                      <a:ext cx="5267325" cy="397510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22" w:firstLineChars="200"/>
        <w:jc w:val="both"/>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bCs/>
          <w:color w:val="auto"/>
          <w:kern w:val="0"/>
          <w:sz w:val="21"/>
          <w:szCs w:val="21"/>
          <w:lang w:val="en-US" w:eastAsia="zh-CN" w:bidi="ar"/>
        </w:rPr>
        <w:t>Figure S6</w:t>
      </w:r>
      <w:r>
        <w:rPr>
          <w:rFonts w:hint="default" w:ascii="Times New Roman" w:hAnsi="Times New Roman" w:cs="Times New Roman"/>
          <w:color w:val="auto"/>
          <w:kern w:val="0"/>
          <w:sz w:val="21"/>
          <w:szCs w:val="21"/>
          <w:lang w:val="en-US" w:eastAsia="zh-CN" w:bidi="ar"/>
        </w:rPr>
        <w:t xml:space="preserve">. </w:t>
      </w:r>
      <w:r>
        <w:rPr>
          <w:rFonts w:hint="default" w:ascii="Times New Roman" w:hAnsi="Times New Roman" w:cs="Times New Roman"/>
          <w:b w:val="0"/>
          <w:bCs w:val="0"/>
          <w:color w:val="auto"/>
          <w:sz w:val="21"/>
          <w:szCs w:val="21"/>
          <w:highlight w:val="none"/>
          <w:lang w:val="en-US" w:eastAsia="zh-CN"/>
        </w:rPr>
        <w:t xml:space="preserve">A: Tail fold photos of 21 day normal rats and VPA induced ASD model rats; B: mRNA expression of aerobic glycolytic enzymes in the hippocampus and cortex of normal rats; C: mRNA expression of aerobic glycolytic enzymes in the hippocampus and cortex of VPA rats; D: mRNA expression of aerobic glycolytic enzymes in the cortex of control and VPA rats; Comparison between two groups: </w:t>
      </w:r>
      <w:r>
        <w:rPr>
          <w:rFonts w:hint="default" w:ascii="Times New Roman" w:hAnsi="Times New Roman" w:cs="Times New Roman"/>
          <w:b w:val="0"/>
          <w:bCs w:val="0"/>
          <w:color w:val="auto"/>
          <w:sz w:val="21"/>
          <w:szCs w:val="21"/>
          <w:highlight w:val="none"/>
          <w:vertAlign w:val="superscript"/>
          <w:lang w:val="en-US" w:eastAsia="zh-CN"/>
        </w:rPr>
        <w:t>*</w:t>
      </w:r>
      <w:r>
        <w:rPr>
          <w:rFonts w:hint="default" w:ascii="Times New Roman" w:hAnsi="Times New Roman" w:cs="Times New Roman"/>
          <w:b w:val="0"/>
          <w:bCs w:val="0"/>
          <w:i/>
          <w:iCs/>
          <w:color w:val="auto"/>
          <w:sz w:val="21"/>
          <w:szCs w:val="21"/>
          <w:highlight w:val="none"/>
          <w:lang w:val="en-US" w:eastAsia="zh-CN"/>
        </w:rPr>
        <w:t>P</w:t>
      </w:r>
      <w:r>
        <w:rPr>
          <w:rFonts w:hint="default" w:ascii="Times New Roman" w:hAnsi="Times New Roman" w:cs="Times New Roman"/>
          <w:b w:val="0"/>
          <w:bCs w:val="0"/>
          <w:color w:val="auto"/>
          <w:sz w:val="21"/>
          <w:szCs w:val="21"/>
          <w:highlight w:val="none"/>
          <w:lang w:val="en-US" w:eastAsia="zh-CN"/>
        </w:rPr>
        <w:t>＜0.05，</w:t>
      </w:r>
      <w:r>
        <w:rPr>
          <w:rFonts w:hint="default" w:ascii="Times New Roman" w:hAnsi="Times New Roman" w:cs="Times New Roman"/>
          <w:b w:val="0"/>
          <w:bCs w:val="0"/>
          <w:color w:val="auto"/>
          <w:sz w:val="21"/>
          <w:szCs w:val="21"/>
          <w:highlight w:val="none"/>
          <w:vertAlign w:val="superscript"/>
          <w:lang w:val="en-US" w:eastAsia="zh-CN"/>
        </w:rPr>
        <w:t>**</w:t>
      </w:r>
      <w:r>
        <w:rPr>
          <w:rFonts w:hint="default" w:ascii="Times New Roman" w:hAnsi="Times New Roman" w:cs="Times New Roman"/>
          <w:b w:val="0"/>
          <w:bCs w:val="0"/>
          <w:i/>
          <w:iCs/>
          <w:color w:val="auto"/>
          <w:sz w:val="21"/>
          <w:szCs w:val="21"/>
          <w:highlight w:val="none"/>
          <w:lang w:val="en-US" w:eastAsia="zh-CN"/>
        </w:rPr>
        <w:t>P</w:t>
      </w:r>
      <w:r>
        <w:rPr>
          <w:rFonts w:hint="default" w:ascii="Times New Roman" w:hAnsi="Times New Roman" w:cs="Times New Roman"/>
          <w:b w:val="0"/>
          <w:bCs w:val="0"/>
          <w:color w:val="auto"/>
          <w:sz w:val="21"/>
          <w:szCs w:val="21"/>
          <w:highlight w:val="none"/>
          <w:lang w:val="en-US" w:eastAsia="zh-CN"/>
        </w:rPr>
        <w:t>＜0.01，</w:t>
      </w:r>
      <w:r>
        <w:rPr>
          <w:rFonts w:hint="default" w:ascii="Times New Roman" w:hAnsi="Times New Roman" w:cs="Times New Roman"/>
          <w:b w:val="0"/>
          <w:bCs w:val="0"/>
          <w:color w:val="auto"/>
          <w:sz w:val="21"/>
          <w:szCs w:val="21"/>
          <w:highlight w:val="none"/>
          <w:vertAlign w:val="superscript"/>
          <w:lang w:val="en-US" w:eastAsia="zh-CN"/>
        </w:rPr>
        <w:t>***</w:t>
      </w:r>
      <w:r>
        <w:rPr>
          <w:rFonts w:hint="default" w:ascii="Times New Roman" w:hAnsi="Times New Roman" w:cs="Times New Roman"/>
          <w:b w:val="0"/>
          <w:bCs w:val="0"/>
          <w:i/>
          <w:iCs/>
          <w:color w:val="auto"/>
          <w:sz w:val="21"/>
          <w:szCs w:val="21"/>
          <w:highlight w:val="none"/>
          <w:vertAlign w:val="baseline"/>
          <w:lang w:val="en-US" w:eastAsia="zh-CN"/>
        </w:rPr>
        <w:t>P</w:t>
      </w:r>
      <w:r>
        <w:rPr>
          <w:rFonts w:hint="default" w:ascii="Times New Roman" w:hAnsi="Times New Roman" w:cs="Times New Roman"/>
          <w:b w:val="0"/>
          <w:bCs w:val="0"/>
          <w:color w:val="auto"/>
          <w:sz w:val="21"/>
          <w:szCs w:val="21"/>
          <w:highlight w:val="none"/>
          <w:lang w:val="en-US" w:eastAsia="zh-CN"/>
        </w:rPr>
        <w:t>＜0.001，</w:t>
      </w:r>
      <w:r>
        <w:rPr>
          <w:rFonts w:hint="default" w:ascii="Times New Roman" w:hAnsi="Times New Roman" w:cs="Times New Roman"/>
          <w:b w:val="0"/>
          <w:bCs w:val="0"/>
          <w:color w:val="auto"/>
          <w:sz w:val="21"/>
          <w:szCs w:val="21"/>
          <w:highlight w:val="none"/>
          <w:vertAlign w:val="superscript"/>
          <w:lang w:val="en-US" w:eastAsia="zh-CN"/>
        </w:rPr>
        <w:t>****</w:t>
      </w:r>
      <w:r>
        <w:rPr>
          <w:rFonts w:hint="default" w:ascii="Times New Roman" w:hAnsi="Times New Roman" w:cs="Times New Roman"/>
          <w:b w:val="0"/>
          <w:bCs w:val="0"/>
          <w:i/>
          <w:iCs/>
          <w:color w:val="auto"/>
          <w:sz w:val="21"/>
          <w:szCs w:val="21"/>
          <w:highlight w:val="none"/>
          <w:lang w:val="en-US" w:eastAsia="zh-CN"/>
        </w:rPr>
        <w:t>P</w:t>
      </w:r>
      <w:r>
        <w:rPr>
          <w:rFonts w:hint="default" w:ascii="Times New Roman" w:hAnsi="Times New Roman" w:cs="Times New Roman"/>
          <w:b w:val="0"/>
          <w:bCs w:val="0"/>
          <w:color w:val="auto"/>
          <w:sz w:val="21"/>
          <w:szCs w:val="21"/>
          <w:highlight w:val="none"/>
          <w:lang w:val="en-US" w:eastAsia="zh-CN"/>
        </w:rPr>
        <w:t xml:space="preserve">＜0.0001.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b/>
          <w:bCs/>
          <w:color w:val="auto"/>
          <w:kern w:val="0"/>
          <w:sz w:val="24"/>
          <w:szCs w:val="24"/>
          <w:lang w:val="en-US" w:eastAsia="zh-CN" w:bidi="ar"/>
        </w:rPr>
        <w:t>2.3 Standard curve</w:t>
      </w:r>
    </w:p>
    <w:p>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20" w:firstLineChars="20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drawing>
          <wp:inline distT="0" distB="0" distL="114300" distR="114300">
            <wp:extent cx="3933825" cy="3119120"/>
            <wp:effectExtent l="0" t="0" r="0" b="0"/>
            <wp:docPr id="4" name="图片 4" descr="组织标准曲线-2023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组织标准曲线-20231016"/>
                    <pic:cNvPicPr>
                      <a:picLocks noChangeAspect="1"/>
                    </pic:cNvPicPr>
                  </pic:nvPicPr>
                  <pic:blipFill>
                    <a:blip r:embed="rId15"/>
                    <a:stretch>
                      <a:fillRect/>
                    </a:stretch>
                  </pic:blipFill>
                  <pic:spPr>
                    <a:xfrm>
                      <a:off x="0" y="0"/>
                      <a:ext cx="3933825" cy="311912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jc w:val="center"/>
        <w:textAlignment w:val="auto"/>
        <w:rPr>
          <w:rFonts w:hint="default" w:ascii="Times New Roman" w:hAnsi="Times New Roman" w:cs="Times New Roman"/>
          <w:b w:val="0"/>
          <w:bCs w:val="0"/>
          <w:color w:val="auto"/>
          <w:kern w:val="0"/>
          <w:sz w:val="21"/>
          <w:szCs w:val="21"/>
          <w:highlight w:val="none"/>
          <w:lang w:val="en-US" w:eastAsia="zh-CN" w:bidi="ar"/>
        </w:rPr>
      </w:pPr>
      <w:r>
        <w:rPr>
          <w:rFonts w:hint="default" w:ascii="Times New Roman" w:hAnsi="Times New Roman" w:cs="Times New Roman"/>
          <w:b/>
          <w:bCs/>
          <w:color w:val="auto"/>
          <w:kern w:val="0"/>
          <w:sz w:val="21"/>
          <w:szCs w:val="21"/>
          <w:highlight w:val="none"/>
          <w:lang w:val="en-US" w:eastAsia="zh-CN" w:bidi="ar"/>
        </w:rPr>
        <w:t>Figure S7</w:t>
      </w:r>
      <w:r>
        <w:rPr>
          <w:rFonts w:hint="default" w:ascii="Times New Roman" w:hAnsi="Times New Roman" w:cs="Times New Roman"/>
          <w:b w:val="0"/>
          <w:bCs w:val="0"/>
          <w:color w:val="auto"/>
          <w:kern w:val="0"/>
          <w:sz w:val="21"/>
          <w:szCs w:val="21"/>
          <w:highlight w:val="none"/>
          <w:lang w:val="en-US" w:eastAsia="zh-CN" w:bidi="ar"/>
        </w:rPr>
        <w:t>. Draw a standard curve for DNS Az in a solvent of NaCl: methanol=1:1.5.</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 xml:space="preserve">2.4 Transcriptome sequencing </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 xml:space="preserve">Transcriptome sequencing of normal astrocytes and ASD model astrocytes identified 37 genes related to aerobic glycolysis, including 12 upregulated genes: UIns2, Enpp1, UIns2, Enpp1, Gale, Slc2a4, Nup188, Actn3, Slc4a4, Pfkfb1, Galt, Fbp1, Adh6, Pck2; and 25 downregulated genes: Hdac4, Prkag2, Slc2a1, Ldhb, Esrrb, P2rx7, Eno3, Ldha, Aldoc, Htr2a, Nup210, Slc2a6, Pfkfb3, Slc4a1, Lipa, Mlxipl, Prkaa2, Eno4, Gpd1, Zbtb20, Ppargc1a, Kat2b, Aldh1b1, Aldh3b1, Acss1, as shown in </w:t>
      </w:r>
      <w:r>
        <w:rPr>
          <w:rFonts w:hint="default" w:ascii="Times New Roman" w:hAnsi="Times New Roman" w:cs="Times New Roman"/>
          <w:b w:val="0"/>
          <w:bCs w:val="0"/>
          <w:color w:val="auto"/>
          <w:sz w:val="24"/>
          <w:szCs w:val="24"/>
          <w:highlight w:val="none"/>
          <w:lang w:val="en-US" w:eastAsia="zh-CN"/>
        </w:rPr>
        <w:t>Figure S8</w:t>
      </w:r>
      <w:r>
        <w:rPr>
          <w:rFonts w:hint="default" w:ascii="Times New Roman" w:hAnsi="Times New Roman" w:cs="Times New Roman"/>
          <w:b w:val="0"/>
          <w:bCs w:val="0"/>
          <w:color w:val="auto"/>
          <w:sz w:val="24"/>
          <w:szCs w:val="24"/>
          <w:highlight w:val="none"/>
          <w:lang w:val="en-US" w:eastAsia="zh-CN"/>
        </w:rPr>
        <w:t>. Overall analysis indicates that downregulation of genes related to aerobic glycolysis predominates in ASD model astrocytes, suggesting differences in aerobic glycolysis compared to normal astrocytes.</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b w:val="0"/>
          <w:bCs w:val="0"/>
          <w:color w:val="auto"/>
          <w:sz w:val="24"/>
          <w:szCs w:val="24"/>
          <w:highlight w:val="none"/>
          <w:lang w:val="en-US" w:eastAsia="zh-CN"/>
        </w:rPr>
      </w:pPr>
    </w:p>
    <w:p>
      <w:pPr>
        <w:keepNext w:val="0"/>
        <w:keepLines w:val="0"/>
        <w:pageBreakBefore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eastAsia="等线" w:cs="Times New Roman"/>
          <w:i w:val="0"/>
          <w:iCs w:val="0"/>
          <w:color w:val="auto"/>
          <w:kern w:val="0"/>
          <w:sz w:val="22"/>
          <w:szCs w:val="22"/>
          <w:highlight w:val="none"/>
          <w:u w:val="none"/>
          <w:lang w:val="en-US" w:eastAsia="zh-CN" w:bidi="ar"/>
        </w:rPr>
        <w:t xml:space="preserve"> </w:t>
      </w:r>
      <w:bookmarkStart w:id="1" w:name="_GoBack"/>
      <w:bookmarkEnd w:id="1"/>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drawing>
          <wp:inline distT="0" distB="0" distL="114300" distR="114300">
            <wp:extent cx="5276215" cy="6994525"/>
            <wp:effectExtent l="0" t="0" r="6985" b="3175"/>
            <wp:docPr id="132" name="图片 132" descr="差异基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差异基因"/>
                    <pic:cNvPicPr>
                      <a:picLocks noChangeAspect="1"/>
                    </pic:cNvPicPr>
                  </pic:nvPicPr>
                  <pic:blipFill>
                    <a:blip r:embed="rId16"/>
                    <a:stretch>
                      <a:fillRect/>
                    </a:stretch>
                  </pic:blipFill>
                  <pic:spPr>
                    <a:xfrm>
                      <a:off x="0" y="0"/>
                      <a:ext cx="5276215" cy="69945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22" w:firstLineChars="20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 xml:space="preserve">Figure S8. </w:t>
      </w:r>
      <w:r>
        <w:rPr>
          <w:rFonts w:hint="default" w:ascii="Times New Roman" w:hAnsi="Times New Roman" w:cs="Times New Roman"/>
          <w:b w:val="0"/>
          <w:bCs w:val="0"/>
          <w:color w:val="auto"/>
          <w:sz w:val="21"/>
          <w:szCs w:val="21"/>
          <w:highlight w:val="none"/>
          <w:lang w:val="en-US" w:eastAsia="zh-CN"/>
        </w:rPr>
        <w:t>A: Volcano map; B: The number of screening different expressed genes; C: Heatmap of partial aerobic glycolysis related gene.</w:t>
      </w:r>
    </w:p>
    <w:p>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4102735" cy="3206750"/>
            <wp:effectExtent l="0" t="0" r="0" b="0"/>
            <wp:docPr id="5" name="图片 5" descr="培养液H2S标准曲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培养液H2S标准曲线"/>
                    <pic:cNvPicPr>
                      <a:picLocks noChangeAspect="1"/>
                    </pic:cNvPicPr>
                  </pic:nvPicPr>
                  <pic:blipFill>
                    <a:blip r:embed="rId17"/>
                    <a:stretch>
                      <a:fillRect/>
                    </a:stretch>
                  </pic:blipFill>
                  <pic:spPr>
                    <a:xfrm>
                      <a:off x="0" y="0"/>
                      <a:ext cx="4102735" cy="320675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jc w:val="center"/>
        <w:textAlignment w:val="auto"/>
        <w:rPr>
          <w:rFonts w:hint="default" w:ascii="Times New Roman" w:hAnsi="Times New Roman" w:cs="Times New Roman"/>
          <w:b w:val="0"/>
          <w:bCs w:val="0"/>
          <w:color w:val="auto"/>
          <w:kern w:val="0"/>
          <w:sz w:val="21"/>
          <w:szCs w:val="21"/>
          <w:highlight w:val="none"/>
          <w:lang w:val="en-US" w:eastAsia="zh-CN" w:bidi="ar"/>
        </w:rPr>
      </w:pPr>
      <w:r>
        <w:rPr>
          <w:rFonts w:hint="default" w:ascii="Times New Roman" w:hAnsi="Times New Roman" w:cs="Times New Roman"/>
          <w:b/>
          <w:bCs/>
          <w:color w:val="auto"/>
          <w:kern w:val="0"/>
          <w:sz w:val="21"/>
          <w:szCs w:val="21"/>
          <w:highlight w:val="none"/>
          <w:lang w:val="en-US" w:eastAsia="zh-CN" w:bidi="ar"/>
        </w:rPr>
        <w:t>Figure S9</w:t>
      </w:r>
      <w:r>
        <w:rPr>
          <w:rFonts w:hint="default" w:ascii="Times New Roman" w:hAnsi="Times New Roman" w:cs="Times New Roman"/>
          <w:b w:val="0"/>
          <w:bCs w:val="0"/>
          <w:color w:val="auto"/>
          <w:kern w:val="0"/>
          <w:sz w:val="21"/>
          <w:szCs w:val="21"/>
          <w:highlight w:val="none"/>
          <w:lang w:val="en-US" w:eastAsia="zh-CN" w:bidi="ar"/>
        </w:rPr>
        <w:t>.</w:t>
      </w:r>
      <w:r>
        <w:rPr>
          <w:rFonts w:hint="eastAsia" w:ascii="Times New Roman" w:hAnsi="Times New Roman" w:cs="Times New Roman"/>
          <w:b w:val="0"/>
          <w:bCs w:val="0"/>
          <w:color w:val="auto"/>
          <w:kern w:val="0"/>
          <w:sz w:val="21"/>
          <w:szCs w:val="21"/>
          <w:highlight w:val="none"/>
          <w:lang w:val="en-US" w:eastAsia="zh-CN" w:bidi="ar"/>
        </w:rPr>
        <w:t xml:space="preserve"> </w:t>
      </w:r>
      <w:r>
        <w:rPr>
          <w:rFonts w:hint="default" w:ascii="Times New Roman" w:hAnsi="Times New Roman" w:cs="Times New Roman"/>
          <w:b w:val="0"/>
          <w:bCs w:val="0"/>
          <w:color w:val="auto"/>
          <w:kern w:val="0"/>
          <w:sz w:val="21"/>
          <w:szCs w:val="21"/>
          <w:highlight w:val="none"/>
          <w:lang w:val="en-US" w:eastAsia="zh-CN" w:bidi="ar"/>
        </w:rPr>
        <w:t>H</w:t>
      </w:r>
      <w:r>
        <w:rPr>
          <w:rFonts w:hint="default" w:ascii="Times New Roman" w:hAnsi="Times New Roman" w:cs="Times New Roman"/>
          <w:b w:val="0"/>
          <w:bCs w:val="0"/>
          <w:color w:val="auto"/>
          <w:kern w:val="0"/>
          <w:sz w:val="21"/>
          <w:szCs w:val="21"/>
          <w:highlight w:val="none"/>
          <w:vertAlign w:val="subscript"/>
          <w:lang w:val="en-US" w:eastAsia="zh-CN" w:bidi="ar"/>
        </w:rPr>
        <w:t>2</w:t>
      </w:r>
      <w:r>
        <w:rPr>
          <w:rFonts w:hint="default" w:ascii="Times New Roman" w:hAnsi="Times New Roman" w:cs="Times New Roman"/>
          <w:b w:val="0"/>
          <w:bCs w:val="0"/>
          <w:color w:val="auto"/>
          <w:kern w:val="0"/>
          <w:sz w:val="21"/>
          <w:szCs w:val="21"/>
          <w:highlight w:val="none"/>
          <w:lang w:val="en-US" w:eastAsia="zh-CN" w:bidi="ar"/>
        </w:rPr>
        <w:t>S standard curve in cell culture medium DMEM/F12.</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20" w:firstLineChars="200"/>
        <w:jc w:val="center"/>
        <w:textAlignment w:val="auto"/>
        <w:rPr>
          <w:rFonts w:hint="default" w:ascii="Times New Roman" w:hAnsi="Times New Roman" w:cs="Times New Roman"/>
          <w:b w:val="0"/>
          <w:bCs w:val="0"/>
          <w:color w:val="auto"/>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360" w:lineRule="auto"/>
        <w:ind w:leftChars="0" w:firstLine="482" w:firstLineChars="200"/>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2.5 Molecular docking and SPR detection</w:t>
      </w:r>
    </w:p>
    <w:p>
      <w:pPr>
        <w:keepNext w:val="0"/>
        <w:keepLines w:val="0"/>
        <w:pageBreakBefore w:val="0"/>
        <w:kinsoku/>
        <w:wordWrap/>
        <w:overflowPunct/>
        <w:topLinePunct w:val="0"/>
        <w:autoSpaceDE/>
        <w:autoSpaceDN/>
        <w:bidi w:val="0"/>
        <w:adjustRightInd/>
        <w:snapToGrid/>
        <w:spacing w:line="360" w:lineRule="auto"/>
        <w:ind w:firstLine="422" w:firstLineChars="200"/>
        <w:jc w:val="center"/>
        <w:rPr>
          <w:rFonts w:hint="default" w:ascii="Times New Roman" w:hAnsi="Times New Roman" w:eastAsia="宋体" w:cs="Times New Roman"/>
          <w:b/>
          <w:bCs/>
          <w:color w:val="auto"/>
          <w:sz w:val="21"/>
          <w:szCs w:val="21"/>
          <w:highlight w:val="yellow"/>
          <w:lang w:val="en-US" w:eastAsia="zh-CN"/>
        </w:rPr>
      </w:pPr>
    </w:p>
    <w:p>
      <w:pPr>
        <w:keepNext w:val="0"/>
        <w:keepLines w:val="0"/>
        <w:pageBreakBefore w:val="0"/>
        <w:kinsoku/>
        <w:wordWrap/>
        <w:overflowPunct/>
        <w:topLinePunct w:val="0"/>
        <w:autoSpaceDE/>
        <w:autoSpaceDN/>
        <w:bidi w:val="0"/>
        <w:adjustRightInd/>
        <w:snapToGrid/>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 xml:space="preserve">Table </w:t>
      </w:r>
      <w:r>
        <w:rPr>
          <w:rFonts w:hint="default" w:ascii="Times New Roman" w:hAnsi="Times New Roman" w:cs="Times New Roman"/>
          <w:b/>
          <w:bCs/>
          <w:color w:val="auto"/>
          <w:sz w:val="21"/>
          <w:szCs w:val="21"/>
          <w:highlight w:val="none"/>
          <w:lang w:val="en-US" w:eastAsia="zh-CN"/>
        </w:rPr>
        <w:t>S2</w:t>
      </w:r>
      <w:r>
        <w:rPr>
          <w:rFonts w:hint="default" w:ascii="Times New Roman" w:hAnsi="Times New Roman" w:eastAsia="宋体" w:cs="Times New Roman"/>
          <w:b/>
          <w:bCs/>
          <w:color w:val="auto"/>
          <w:sz w:val="21"/>
          <w:szCs w:val="21"/>
          <w:highlight w:val="none"/>
          <w:lang w:val="en-US" w:eastAsia="zh-CN"/>
        </w:rPr>
        <w:t>. Protein coupling values.</w:t>
      </w:r>
    </w:p>
    <w:tbl>
      <w:tblPr>
        <w:tblStyle w:val="3"/>
        <w:tblW w:w="4756" w:type="pct"/>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60"/>
        <w:gridCol w:w="1398"/>
        <w:gridCol w:w="1400"/>
        <w:gridCol w:w="1398"/>
        <w:gridCol w:w="1751"/>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332" w:type="pct"/>
            <w:tcBorders>
              <w:bottom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Protein coupling value</w:t>
            </w:r>
          </w:p>
        </w:tc>
        <w:tc>
          <w:tcPr>
            <w:tcW w:w="862" w:type="pct"/>
            <w:tcBorders>
              <w:bottom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L</w:t>
            </w:r>
            <w:r>
              <w:rPr>
                <w:rFonts w:hint="default" w:ascii="Times New Roman" w:hAnsi="Times New Roman" w:eastAsia="宋体" w:cs="Times New Roman"/>
                <w:color w:val="auto"/>
                <w:sz w:val="18"/>
                <w:szCs w:val="18"/>
                <w:highlight w:val="none"/>
              </w:rPr>
              <w:t>igand</w:t>
            </w:r>
          </w:p>
        </w:tc>
        <w:tc>
          <w:tcPr>
            <w:tcW w:w="863" w:type="pct"/>
            <w:tcBorders>
              <w:bottom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KD（M）</w:t>
            </w:r>
          </w:p>
        </w:tc>
        <w:tc>
          <w:tcPr>
            <w:tcW w:w="862" w:type="pct"/>
            <w:tcBorders>
              <w:bottom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ka（1/Ms）</w:t>
            </w:r>
          </w:p>
        </w:tc>
        <w:tc>
          <w:tcPr>
            <w:tcW w:w="1079" w:type="pct"/>
            <w:tcBorders>
              <w:bottom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kd(1/s)</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exact"/>
          <w:jc w:val="center"/>
        </w:trPr>
        <w:tc>
          <w:tcPr>
            <w:tcW w:w="1332" w:type="pct"/>
            <w:tcBorders>
              <w:top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10495.5 RU</w:t>
            </w:r>
          </w:p>
        </w:tc>
        <w:tc>
          <w:tcPr>
            <w:tcW w:w="862" w:type="pct"/>
            <w:tcBorders>
              <w:top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Nano micelles</w:t>
            </w:r>
          </w:p>
        </w:tc>
        <w:tc>
          <w:tcPr>
            <w:tcW w:w="863" w:type="pct"/>
            <w:tcBorders>
              <w:top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9.44e-07</w:t>
            </w:r>
          </w:p>
        </w:tc>
        <w:tc>
          <w:tcPr>
            <w:tcW w:w="862" w:type="pct"/>
            <w:tcBorders>
              <w:top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5.20e+02</w:t>
            </w:r>
          </w:p>
        </w:tc>
        <w:tc>
          <w:tcPr>
            <w:tcW w:w="1079" w:type="pct"/>
            <w:tcBorders>
              <w:top w:val="single" w:color="000000"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4.91e-04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3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1621.2 RU</w:t>
            </w:r>
          </w:p>
        </w:tc>
        <w:tc>
          <w:tcPr>
            <w:tcW w:w="86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Nano micelles</w:t>
            </w:r>
          </w:p>
        </w:tc>
        <w:tc>
          <w:tcPr>
            <w:tcW w:w="86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9.64e-07</w:t>
            </w:r>
          </w:p>
        </w:tc>
        <w:tc>
          <w:tcPr>
            <w:tcW w:w="86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6.94e+02</w:t>
            </w:r>
          </w:p>
        </w:tc>
        <w:tc>
          <w:tcPr>
            <w:tcW w:w="107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firstLine="360" w:firstLineChars="20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6.69e-04</w:t>
            </w:r>
          </w:p>
        </w:tc>
      </w:tr>
    </w:tbl>
    <w:p>
      <w:pPr>
        <w:spacing w:line="360" w:lineRule="auto"/>
        <w:ind w:firstLine="360" w:firstLineChars="200"/>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KD</w:t>
      </w:r>
      <w:r>
        <w:rPr>
          <w:rFonts w:hint="default" w:ascii="Times New Roman" w:hAnsi="Times New Roman" w:cs="Times New Roman"/>
          <w:color w:val="auto"/>
          <w:sz w:val="18"/>
          <w:szCs w:val="18"/>
          <w:highlight w:val="none"/>
          <w:lang w:val="en-US" w:eastAsia="zh-CN"/>
        </w:rPr>
        <w:t xml:space="preserve">: </w:t>
      </w:r>
      <w:r>
        <w:rPr>
          <w:rFonts w:hint="default" w:ascii="Times New Roman" w:hAnsi="Times New Roman" w:eastAsia="宋体" w:cs="Times New Roman"/>
          <w:color w:val="auto"/>
          <w:sz w:val="18"/>
          <w:szCs w:val="18"/>
          <w:highlight w:val="none"/>
        </w:rPr>
        <w:t>dissociation constant</w:t>
      </w:r>
      <w:r>
        <w:rPr>
          <w:rFonts w:hint="default" w:ascii="Times New Roman" w:hAnsi="Times New Roman" w:cs="Times New Roman"/>
          <w:color w:val="auto"/>
          <w:sz w:val="18"/>
          <w:szCs w:val="18"/>
          <w:highlight w:val="none"/>
          <w:lang w:val="en-US" w:eastAsia="zh-CN"/>
        </w:rPr>
        <w:t xml:space="preserve">. </w:t>
      </w:r>
      <w:r>
        <w:rPr>
          <w:rFonts w:hint="default" w:ascii="Times New Roman" w:hAnsi="Times New Roman" w:eastAsia="宋体" w:cs="Times New Roman"/>
          <w:color w:val="auto"/>
          <w:sz w:val="18"/>
          <w:szCs w:val="18"/>
          <w:highlight w:val="none"/>
        </w:rPr>
        <w:t>It reflects the affinity of the compound to the target, and the smaller the value, the stronger the affinity</w:t>
      </w:r>
      <w:r>
        <w:rPr>
          <w:rFonts w:hint="default" w:ascii="Times New Roman" w:hAnsi="Times New Roman" w:cs="Times New Roman"/>
          <w:color w:val="auto"/>
          <w:sz w:val="18"/>
          <w:szCs w:val="18"/>
          <w:highlight w:val="none"/>
          <w:lang w:val="en-US" w:eastAsia="zh-CN"/>
        </w:rPr>
        <w:t>;</w:t>
      </w:r>
    </w:p>
    <w:p>
      <w:pPr>
        <w:spacing w:line="360" w:lineRule="auto"/>
        <w:ind w:firstLine="360" w:firstLineChars="200"/>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Ka: association rate constant</w:t>
      </w:r>
      <w:r>
        <w:rPr>
          <w:rFonts w:hint="default" w:ascii="Times New Roman" w:hAnsi="Times New Roman" w:cs="Times New Roman"/>
          <w:color w:val="auto"/>
          <w:sz w:val="18"/>
          <w:szCs w:val="18"/>
          <w:highlight w:val="none"/>
          <w:lang w:val="en-US" w:eastAsia="zh-CN"/>
        </w:rPr>
        <w:t>. It r</w:t>
      </w:r>
      <w:r>
        <w:rPr>
          <w:rFonts w:hint="default" w:ascii="Times New Roman" w:hAnsi="Times New Roman" w:eastAsia="宋体" w:cs="Times New Roman"/>
          <w:color w:val="auto"/>
          <w:sz w:val="18"/>
          <w:szCs w:val="18"/>
          <w:highlight w:val="none"/>
        </w:rPr>
        <w:t>epresents the speed of intermolecular binding</w:t>
      </w:r>
      <w:r>
        <w:rPr>
          <w:rFonts w:hint="default" w:ascii="Times New Roman" w:hAnsi="Times New Roman" w:cs="Times New Roman"/>
          <w:color w:val="auto"/>
          <w:sz w:val="18"/>
          <w:szCs w:val="18"/>
          <w:highlight w:val="none"/>
          <w:lang w:val="en-US" w:eastAsia="zh-CN"/>
        </w:rPr>
        <w:t>;</w:t>
      </w:r>
    </w:p>
    <w:p>
      <w:pPr>
        <w:spacing w:line="360" w:lineRule="auto"/>
        <w:ind w:firstLine="360" w:firstLineChars="200"/>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Kd: dissociation rate constant</w:t>
      </w:r>
      <w:r>
        <w:rPr>
          <w:rFonts w:hint="default" w:ascii="Times New Roman" w:hAnsi="Times New Roman" w:cs="Times New Roman"/>
          <w:color w:val="auto"/>
          <w:sz w:val="18"/>
          <w:szCs w:val="18"/>
          <w:highlight w:val="none"/>
          <w:lang w:val="en-US" w:eastAsia="zh-CN"/>
        </w:rPr>
        <w:t>. It r</w:t>
      </w:r>
      <w:r>
        <w:rPr>
          <w:rFonts w:hint="default" w:ascii="Times New Roman" w:hAnsi="Times New Roman" w:eastAsia="宋体" w:cs="Times New Roman"/>
          <w:color w:val="auto"/>
          <w:sz w:val="18"/>
          <w:szCs w:val="18"/>
          <w:highlight w:val="none"/>
        </w:rPr>
        <w:t>epresents the speed of intermolecular dissociation</w:t>
      </w:r>
      <w:r>
        <w:rPr>
          <w:rFonts w:hint="default" w:ascii="Times New Roman" w:hAnsi="Times New Roman" w:cs="Times New Roman"/>
          <w:color w:val="auto"/>
          <w:sz w:val="18"/>
          <w:szCs w:val="18"/>
          <w:highlight w:val="none"/>
          <w:lang w:val="en-US" w:eastAsia="zh-CN"/>
        </w:rPr>
        <w:t>.</w:t>
      </w:r>
    </w:p>
    <w:p>
      <w:pPr>
        <w:rPr>
          <w:rFonts w:hint="default" w:ascii="Times New Roman" w:hAnsi="Times New Roman" w:eastAsia="宋体" w:cs="Times New Roman"/>
          <w:color w:val="auto"/>
          <w:sz w:val="21"/>
          <w:szCs w:val="21"/>
          <w:highlight w:val="none"/>
          <w:lang w:val="en-US" w:eastAsia="zh-CN"/>
        </w:rPr>
      </w:pPr>
    </w:p>
    <w:p>
      <w:pPr>
        <w:rPr>
          <w:rFonts w:hint="default" w:ascii="Times New Roman" w:hAnsi="Times New Roman" w:eastAsia="宋体" w:cs="Times New Roman"/>
          <w:color w:val="auto"/>
          <w:sz w:val="21"/>
          <w:szCs w:val="21"/>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vOTce3d9a73">
    <w:altName w:val="Segoe Print"/>
    <w:panose1 w:val="00000000000000000000"/>
    <w:charset w:val="00"/>
    <w:family w:val="auto"/>
    <w:pitch w:val="default"/>
    <w:sig w:usb0="00000000" w:usb1="00000000" w:usb2="00000000" w:usb3="00000000" w:csb0="00040001" w:csb1="00000000"/>
  </w:font>
  <w:font w:name="AdvOTce3d9a73 + fb">
    <w:altName w:val="Segoe Print"/>
    <w:panose1 w:val="00000000000000000000"/>
    <w:charset w:val="00"/>
    <w:family w:val="auto"/>
    <w:pitch w:val="default"/>
    <w:sig w:usb0="00000000" w:usb1="00000000" w:usb2="00000000" w:usb3="00000000" w:csb0="00040001" w:csb1="00000000"/>
  </w:font>
  <w:font w:name="AdvPS_TTB">
    <w:altName w:val="Segoe Print"/>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4BEE75"/>
    <w:multiLevelType w:val="singleLevel"/>
    <w:tmpl w:val="9D4BEE75"/>
    <w:lvl w:ilvl="0" w:tentative="0">
      <w:start w:val="1"/>
      <w:numFmt w:val="decimal"/>
      <w:suff w:val="space"/>
      <w:lvlText w:val="%1."/>
      <w:lvlJc w:val="left"/>
    </w:lvl>
  </w:abstractNum>
  <w:abstractNum w:abstractNumId="1">
    <w:nsid w:val="B8676EB5"/>
    <w:multiLevelType w:val="singleLevel"/>
    <w:tmpl w:val="B8676EB5"/>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iMGM1ZTIwY2E3YzI4M2IzNmUzMTIzODlhMWU1N2YifQ=="/>
  </w:docVars>
  <w:rsids>
    <w:rsidRoot w:val="00000000"/>
    <w:rsid w:val="01C61075"/>
    <w:rsid w:val="026C4FD1"/>
    <w:rsid w:val="02C10DFF"/>
    <w:rsid w:val="0442423B"/>
    <w:rsid w:val="04666B09"/>
    <w:rsid w:val="04770389"/>
    <w:rsid w:val="04A91911"/>
    <w:rsid w:val="050513DE"/>
    <w:rsid w:val="05833CA8"/>
    <w:rsid w:val="061F2E9B"/>
    <w:rsid w:val="067032E2"/>
    <w:rsid w:val="073C1416"/>
    <w:rsid w:val="07484AFA"/>
    <w:rsid w:val="07B74DEB"/>
    <w:rsid w:val="08B103F5"/>
    <w:rsid w:val="0A5E4142"/>
    <w:rsid w:val="0AC87C07"/>
    <w:rsid w:val="0FAC6C20"/>
    <w:rsid w:val="10197E5D"/>
    <w:rsid w:val="101B1B09"/>
    <w:rsid w:val="11002008"/>
    <w:rsid w:val="128E47CA"/>
    <w:rsid w:val="13641F85"/>
    <w:rsid w:val="13A256FD"/>
    <w:rsid w:val="14186D67"/>
    <w:rsid w:val="148836C0"/>
    <w:rsid w:val="14CB5B87"/>
    <w:rsid w:val="15CC1BB7"/>
    <w:rsid w:val="16B07DE6"/>
    <w:rsid w:val="16C3120C"/>
    <w:rsid w:val="180B32A0"/>
    <w:rsid w:val="1811531A"/>
    <w:rsid w:val="185E59DB"/>
    <w:rsid w:val="18D815CC"/>
    <w:rsid w:val="1CDB6B83"/>
    <w:rsid w:val="1D552DD9"/>
    <w:rsid w:val="1DBC6511"/>
    <w:rsid w:val="1E5E3DF0"/>
    <w:rsid w:val="1F5C616D"/>
    <w:rsid w:val="1FDC1078"/>
    <w:rsid w:val="203213A9"/>
    <w:rsid w:val="209854B7"/>
    <w:rsid w:val="20B00B90"/>
    <w:rsid w:val="216B3E44"/>
    <w:rsid w:val="21E32C45"/>
    <w:rsid w:val="229B5146"/>
    <w:rsid w:val="22F36DE9"/>
    <w:rsid w:val="27D06C51"/>
    <w:rsid w:val="2A4B359A"/>
    <w:rsid w:val="2A9211C9"/>
    <w:rsid w:val="2C663EAD"/>
    <w:rsid w:val="2D8D306A"/>
    <w:rsid w:val="2E112405"/>
    <w:rsid w:val="2F1A7380"/>
    <w:rsid w:val="2F461AEB"/>
    <w:rsid w:val="303E0CFF"/>
    <w:rsid w:val="30525DCF"/>
    <w:rsid w:val="32185E34"/>
    <w:rsid w:val="323366D2"/>
    <w:rsid w:val="325C5E74"/>
    <w:rsid w:val="356D6ABA"/>
    <w:rsid w:val="35887450"/>
    <w:rsid w:val="360817AB"/>
    <w:rsid w:val="37955E55"/>
    <w:rsid w:val="37C64260"/>
    <w:rsid w:val="390E29BC"/>
    <w:rsid w:val="3E7C2457"/>
    <w:rsid w:val="3F1375A6"/>
    <w:rsid w:val="40304EEA"/>
    <w:rsid w:val="425F3C2F"/>
    <w:rsid w:val="43581EAC"/>
    <w:rsid w:val="45575091"/>
    <w:rsid w:val="46A317DF"/>
    <w:rsid w:val="47B32780"/>
    <w:rsid w:val="49520049"/>
    <w:rsid w:val="4B5160DF"/>
    <w:rsid w:val="4C9E7102"/>
    <w:rsid w:val="4CA5340D"/>
    <w:rsid w:val="4D4D1254"/>
    <w:rsid w:val="4D5F2D35"/>
    <w:rsid w:val="4DA76B18"/>
    <w:rsid w:val="4EF35683"/>
    <w:rsid w:val="4F471CD3"/>
    <w:rsid w:val="50677D28"/>
    <w:rsid w:val="508C2A1D"/>
    <w:rsid w:val="515A3F3F"/>
    <w:rsid w:val="51A11B6E"/>
    <w:rsid w:val="520C2B4F"/>
    <w:rsid w:val="52301FD6"/>
    <w:rsid w:val="52F67C97"/>
    <w:rsid w:val="56533804"/>
    <w:rsid w:val="56BE0ACC"/>
    <w:rsid w:val="57905B36"/>
    <w:rsid w:val="58283F94"/>
    <w:rsid w:val="5AB32912"/>
    <w:rsid w:val="5B275A8F"/>
    <w:rsid w:val="601E70C9"/>
    <w:rsid w:val="60CF61C3"/>
    <w:rsid w:val="616F50A1"/>
    <w:rsid w:val="61CF2788"/>
    <w:rsid w:val="62093517"/>
    <w:rsid w:val="622746DB"/>
    <w:rsid w:val="659D28CE"/>
    <w:rsid w:val="65FE7137"/>
    <w:rsid w:val="697B45FB"/>
    <w:rsid w:val="6C692E30"/>
    <w:rsid w:val="6DFC6852"/>
    <w:rsid w:val="6E2A65EF"/>
    <w:rsid w:val="6EB04D47"/>
    <w:rsid w:val="6F4C14A0"/>
    <w:rsid w:val="709258EB"/>
    <w:rsid w:val="71617F90"/>
    <w:rsid w:val="722515A8"/>
    <w:rsid w:val="72872262"/>
    <w:rsid w:val="741E709D"/>
    <w:rsid w:val="75E4492E"/>
    <w:rsid w:val="75FE3377"/>
    <w:rsid w:val="760E1E7A"/>
    <w:rsid w:val="761D0291"/>
    <w:rsid w:val="7727015A"/>
    <w:rsid w:val="77C35AEB"/>
    <w:rsid w:val="780C4D0C"/>
    <w:rsid w:val="7CD04806"/>
    <w:rsid w:val="7F735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Autospacing="1" w:afterAutospacing="1"/>
      <w:jc w:val="left"/>
    </w:pPr>
    <w:rPr>
      <w:rFonts w:cs="Times New Roman"/>
      <w:kern w:val="0"/>
      <w:sz w:val="24"/>
    </w:rPr>
  </w:style>
  <w:style w:type="table" w:styleId="4">
    <w:name w:val="Table Grid"/>
    <w:basedOn w:val="3"/>
    <w:autoRedefine/>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Hyperlink"/>
    <w:basedOn w:val="5"/>
    <w:autoRedefine/>
    <w:qFormat/>
    <w:uiPriority w:val="0"/>
    <w:rPr>
      <w:color w:val="0000FF"/>
      <w:u w:val="single"/>
    </w:rPr>
  </w:style>
  <w:style w:type="character" w:customStyle="1" w:styleId="7">
    <w:name w:val="font41"/>
    <w:basedOn w:val="5"/>
    <w:autoRedefine/>
    <w:qFormat/>
    <w:uiPriority w:val="0"/>
    <w:rPr>
      <w:rFonts w:hint="eastAsia" w:ascii="宋体" w:hAnsi="宋体" w:eastAsia="宋体" w:cs="宋体"/>
      <w:b/>
      <w:bCs/>
      <w:color w:val="000000"/>
      <w:sz w:val="20"/>
      <w:szCs w:val="20"/>
      <w:u w:val="none"/>
    </w:rPr>
  </w:style>
  <w:style w:type="character" w:customStyle="1" w:styleId="8">
    <w:name w:val="font01"/>
    <w:basedOn w:val="5"/>
    <w:autoRedefine/>
    <w:qFormat/>
    <w:uiPriority w:val="0"/>
    <w:rPr>
      <w:rFonts w:hint="default" w:ascii="Arial" w:hAnsi="Arial" w:cs="Arial"/>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png"/><Relationship Id="rId7" Type="http://schemas.openxmlformats.org/officeDocument/2006/relationships/image" Target="media/image4.emf"/><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4.tiff"/><Relationship Id="rId16" Type="http://schemas.openxmlformats.org/officeDocument/2006/relationships/image" Target="media/image13.tiff"/><Relationship Id="rId15" Type="http://schemas.openxmlformats.org/officeDocument/2006/relationships/image" Target="media/image12.tiff"/><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emf"/><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2023-10-04T05:52:00Z</dcterms:created>
  <dc:creator>ZCM</dc:creator>
  <cp:lastModifiedBy>LWH</cp:lastModifiedBy>
  <dcterms:modified xsi:type="dcterms:W3CDTF">2024-04-18T06:39:11Z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733B07C70453493D9EA3BBCBCA1C93EB_13</vt:lpwstr>
  </property>
</Properties>
</file>