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36930F" w14:textId="77777777" w:rsidR="00CE39E2" w:rsidRDefault="00CE39E2" w:rsidP="00CE39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Suppl. Fig. 2. </w:t>
      </w:r>
      <w:r>
        <w:rPr>
          <w:rFonts w:ascii="Times New Roman" w:hAnsi="Times New Roman" w:cs="Times New Roman"/>
          <w:b/>
          <w:sz w:val="24"/>
          <w:szCs w:val="24"/>
        </w:rPr>
        <w:t xml:space="preserve">HF diet consumption did not affect breakpoint on a progressive ratio operant task. </w:t>
      </w:r>
      <w:r>
        <w:rPr>
          <w:rFonts w:ascii="Times New Roman" w:hAnsi="Times New Roman" w:cs="Times New Roman"/>
          <w:sz w:val="24"/>
          <w:szCs w:val="24"/>
        </w:rPr>
        <w:t xml:space="preserve">Pre-inoculation data is shown on the left column. Post-inoculation data is shown on the right column. There was no difference in willingness to work for a food reward (breakpoint) at any time point. Pre-inoculation, </w:t>
      </w:r>
      <w:r w:rsidRPr="00B334C1">
        <w:rPr>
          <w:rFonts w:ascii="Times New Roman" w:hAnsi="Times New Roman" w:cs="Times New Roman"/>
          <w:b/>
          <w:bCs/>
          <w:sz w:val="24"/>
          <w:szCs w:val="24"/>
        </w:rPr>
        <w:t>LF</w:t>
      </w:r>
      <w:r>
        <w:rPr>
          <w:rFonts w:ascii="Times New Roman" w:hAnsi="Times New Roman" w:cs="Times New Roman"/>
          <w:sz w:val="24"/>
          <w:szCs w:val="24"/>
        </w:rPr>
        <w:t xml:space="preserve"> n=17, </w:t>
      </w:r>
      <w:r w:rsidRPr="00B334C1">
        <w:rPr>
          <w:rFonts w:ascii="Times New Roman" w:hAnsi="Times New Roman" w:cs="Times New Roman"/>
          <w:b/>
          <w:bCs/>
          <w:sz w:val="24"/>
          <w:szCs w:val="24"/>
        </w:rPr>
        <w:t>HF</w:t>
      </w:r>
      <w:r>
        <w:rPr>
          <w:rFonts w:ascii="Times New Roman" w:hAnsi="Times New Roman" w:cs="Times New Roman"/>
          <w:sz w:val="24"/>
          <w:szCs w:val="24"/>
        </w:rPr>
        <w:t xml:space="preserve"> n=18. Post-inoculation, </w:t>
      </w:r>
      <w:r w:rsidRPr="00D46B21">
        <w:rPr>
          <w:rFonts w:ascii="Times New Roman" w:hAnsi="Times New Roman" w:cs="Times New Roman"/>
          <w:b/>
          <w:bCs/>
          <w:sz w:val="24"/>
          <w:szCs w:val="24"/>
        </w:rPr>
        <w:t>LF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(n=8)</w:t>
      </w:r>
      <w:r>
        <w:rPr>
          <w:rFonts w:ascii="Times New Roman" w:hAnsi="Times New Roman" w:cs="Times New Roman"/>
          <w:sz w:val="24"/>
          <w:szCs w:val="24"/>
        </w:rPr>
        <w:t xml:space="preserve">: Low fat fed control; </w:t>
      </w:r>
      <w:r w:rsidRPr="00D46B21">
        <w:rPr>
          <w:rFonts w:ascii="Times New Roman" w:hAnsi="Times New Roman" w:cs="Times New Roman"/>
          <w:b/>
          <w:bCs/>
          <w:sz w:val="24"/>
          <w:szCs w:val="24"/>
        </w:rPr>
        <w:t>LF-LF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(n=9)</w:t>
      </w:r>
      <w:r>
        <w:rPr>
          <w:rFonts w:ascii="Times New Roman" w:hAnsi="Times New Roman" w:cs="Times New Roman"/>
          <w:sz w:val="24"/>
          <w:szCs w:val="24"/>
        </w:rPr>
        <w:t xml:space="preserve">: Low fat rats that received microbiota from low fat fed donors; </w:t>
      </w:r>
      <w:r w:rsidRPr="00D46B21">
        <w:rPr>
          <w:rFonts w:ascii="Times New Roman" w:hAnsi="Times New Roman" w:cs="Times New Roman"/>
          <w:b/>
          <w:bCs/>
          <w:sz w:val="24"/>
          <w:szCs w:val="24"/>
        </w:rPr>
        <w:t>HF-LF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(n=10)</w:t>
      </w:r>
      <w:r>
        <w:rPr>
          <w:rFonts w:ascii="Times New Roman" w:hAnsi="Times New Roman" w:cs="Times New Roman"/>
          <w:sz w:val="24"/>
          <w:szCs w:val="24"/>
        </w:rPr>
        <w:t xml:space="preserve">; High fat fed rats that received microbiota from low fat fed donors; </w:t>
      </w:r>
      <w:r w:rsidRPr="00D46B21">
        <w:rPr>
          <w:rFonts w:ascii="Times New Roman" w:hAnsi="Times New Roman" w:cs="Times New Roman"/>
          <w:b/>
          <w:bCs/>
          <w:sz w:val="24"/>
          <w:szCs w:val="24"/>
        </w:rPr>
        <w:t>HF-HF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(n=8)</w:t>
      </w:r>
      <w:r>
        <w:rPr>
          <w:rFonts w:ascii="Times New Roman" w:hAnsi="Times New Roman" w:cs="Times New Roman"/>
          <w:sz w:val="24"/>
          <w:szCs w:val="24"/>
        </w:rPr>
        <w:t>: High fat fed rats that received microbiota from high fat fed donors.</w:t>
      </w:r>
    </w:p>
    <w:p w14:paraId="0DB46F0F" w14:textId="77777777" w:rsidR="00CE39E2" w:rsidRPr="008915A9" w:rsidRDefault="00CE39E2" w:rsidP="00CE39E2">
      <w:pPr>
        <w:rPr>
          <w:rFonts w:ascii="Times New Roman" w:hAnsi="Times New Roman" w:cs="Times New Roman"/>
          <w:sz w:val="24"/>
          <w:szCs w:val="24"/>
        </w:rPr>
      </w:pPr>
    </w:p>
    <w:p w14:paraId="5E15464C" w14:textId="77777777" w:rsidR="00CE39E2" w:rsidRPr="00CF108A" w:rsidRDefault="00CE39E2" w:rsidP="00CE39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Suppl. Fig. 3. </w:t>
      </w:r>
      <w:r w:rsidRPr="004777A9">
        <w:rPr>
          <w:rFonts w:ascii="Times New Roman" w:hAnsi="Times New Roman" w:cs="Times New Roman"/>
          <w:b/>
          <w:bCs/>
          <w:sz w:val="24"/>
          <w:szCs w:val="24"/>
        </w:rPr>
        <w:t xml:space="preserve">LF microbiota transfer </w:t>
      </w:r>
      <w:r>
        <w:rPr>
          <w:rFonts w:ascii="Times New Roman" w:hAnsi="Times New Roman" w:cs="Times New Roman"/>
          <w:b/>
          <w:bCs/>
          <w:sz w:val="24"/>
          <w:szCs w:val="24"/>
        </w:rPr>
        <w:t>did not affect the density of vagal afferents in the NTS</w:t>
      </w:r>
      <w:r w:rsidRPr="004777A9">
        <w:rPr>
          <w:rFonts w:ascii="Times New Roman" w:hAnsi="Times New Roman" w:cs="Times New Roman"/>
          <w:b/>
          <w:bCs/>
          <w:sz w:val="24"/>
          <w:szCs w:val="24"/>
        </w:rPr>
        <w:t xml:space="preserve"> in HF fed rats.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637DF">
        <w:rPr>
          <w:rFonts w:ascii="Times New Roman" w:hAnsi="Times New Roman" w:cs="Times New Roman"/>
          <w:sz w:val="24"/>
          <w:szCs w:val="24"/>
        </w:rPr>
        <w:t xml:space="preserve">Representative images of </w:t>
      </w:r>
      <w:r>
        <w:rPr>
          <w:rFonts w:ascii="Times New Roman" w:hAnsi="Times New Roman" w:cs="Times New Roman"/>
          <w:sz w:val="24"/>
          <w:szCs w:val="24"/>
        </w:rPr>
        <w:t>IB4</w:t>
      </w:r>
      <w:r w:rsidRPr="00C637D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staining</w:t>
      </w:r>
      <w:r w:rsidRPr="00C637DF">
        <w:rPr>
          <w:rFonts w:ascii="Times New Roman" w:hAnsi="Times New Roman" w:cs="Times New Roman"/>
          <w:sz w:val="24"/>
          <w:szCs w:val="24"/>
        </w:rPr>
        <w:t xml:space="preserve"> in the hindbrain between bregma −13.10 and −14.10 mm.</w:t>
      </w:r>
      <w:r>
        <w:rPr>
          <w:rFonts w:ascii="Times New Roman" w:hAnsi="Times New Roman" w:cs="Times New Roman"/>
          <w:sz w:val="24"/>
          <w:szCs w:val="24"/>
        </w:rPr>
        <w:t xml:space="preserve"> Binary analysis of the area fraction of IB4-labeled vagal afferents in the NTS revealed no significant differences in the density of labeled afferents terminals among the groups. Bars denoted with the same letter are not statistically different. </w:t>
      </w:r>
      <w:r w:rsidRPr="00D46B21">
        <w:rPr>
          <w:rFonts w:ascii="Times New Roman" w:hAnsi="Times New Roman" w:cs="Times New Roman"/>
          <w:b/>
          <w:bCs/>
          <w:sz w:val="24"/>
          <w:szCs w:val="24"/>
        </w:rPr>
        <w:t>LF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(n=9)</w:t>
      </w:r>
      <w:r>
        <w:rPr>
          <w:rFonts w:ascii="Times New Roman" w:hAnsi="Times New Roman" w:cs="Times New Roman"/>
          <w:sz w:val="24"/>
          <w:szCs w:val="24"/>
        </w:rPr>
        <w:t xml:space="preserve">: Low fat fed control; </w:t>
      </w:r>
      <w:r w:rsidRPr="00D46B21">
        <w:rPr>
          <w:rFonts w:ascii="Times New Roman" w:hAnsi="Times New Roman" w:cs="Times New Roman"/>
          <w:b/>
          <w:bCs/>
          <w:sz w:val="24"/>
          <w:szCs w:val="24"/>
        </w:rPr>
        <w:t>LF-LF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(n=6)</w:t>
      </w:r>
      <w:r>
        <w:rPr>
          <w:rFonts w:ascii="Times New Roman" w:hAnsi="Times New Roman" w:cs="Times New Roman"/>
          <w:sz w:val="24"/>
          <w:szCs w:val="24"/>
        </w:rPr>
        <w:t xml:space="preserve">: Low fat rats that received microbiota from low fat fed donors; </w:t>
      </w:r>
      <w:r w:rsidRPr="00D46B21">
        <w:rPr>
          <w:rFonts w:ascii="Times New Roman" w:hAnsi="Times New Roman" w:cs="Times New Roman"/>
          <w:b/>
          <w:bCs/>
          <w:sz w:val="24"/>
          <w:szCs w:val="24"/>
        </w:rPr>
        <w:t>HF-LF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(n=6)</w:t>
      </w:r>
      <w:r>
        <w:rPr>
          <w:rFonts w:ascii="Times New Roman" w:hAnsi="Times New Roman" w:cs="Times New Roman"/>
          <w:sz w:val="24"/>
          <w:szCs w:val="24"/>
        </w:rPr>
        <w:t xml:space="preserve">; High fat fed rats that received microbiota from low fat fed donors; </w:t>
      </w:r>
      <w:r w:rsidRPr="00D46B21">
        <w:rPr>
          <w:rFonts w:ascii="Times New Roman" w:hAnsi="Times New Roman" w:cs="Times New Roman"/>
          <w:b/>
          <w:bCs/>
          <w:sz w:val="24"/>
          <w:szCs w:val="24"/>
        </w:rPr>
        <w:t>HF-HF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(n=6)</w:t>
      </w:r>
      <w:r>
        <w:rPr>
          <w:rFonts w:ascii="Times New Roman" w:hAnsi="Times New Roman" w:cs="Times New Roman"/>
          <w:sz w:val="24"/>
          <w:szCs w:val="24"/>
        </w:rPr>
        <w:t xml:space="preserve">: High fat fed rats that received microbiota from high fat fed donors; </w:t>
      </w:r>
      <w:r>
        <w:rPr>
          <w:rFonts w:ascii="Times New Roman" w:hAnsi="Times New Roman" w:cs="Times New Roman"/>
          <w:b/>
          <w:sz w:val="24"/>
          <w:szCs w:val="24"/>
        </w:rPr>
        <w:t>AP</w:t>
      </w:r>
      <w:r>
        <w:rPr>
          <w:rFonts w:ascii="Times New Roman" w:hAnsi="Times New Roman" w:cs="Times New Roman"/>
          <w:sz w:val="24"/>
          <w:szCs w:val="24"/>
        </w:rPr>
        <w:t xml:space="preserve">: Area postrema; </w:t>
      </w:r>
      <w:r>
        <w:rPr>
          <w:rFonts w:ascii="Times New Roman" w:hAnsi="Times New Roman" w:cs="Times New Roman"/>
          <w:b/>
          <w:sz w:val="24"/>
          <w:szCs w:val="24"/>
        </w:rPr>
        <w:t>NTS</w:t>
      </w:r>
      <w:r>
        <w:rPr>
          <w:rFonts w:ascii="Times New Roman" w:hAnsi="Times New Roman" w:cs="Times New Roman"/>
          <w:sz w:val="24"/>
          <w:szCs w:val="24"/>
        </w:rPr>
        <w:t xml:space="preserve">: Nucleus Tractus </w:t>
      </w:r>
      <w:proofErr w:type="spellStart"/>
      <w:r>
        <w:rPr>
          <w:rFonts w:ascii="Times New Roman" w:hAnsi="Times New Roman" w:cs="Times New Roman"/>
          <w:sz w:val="24"/>
          <w:szCs w:val="24"/>
        </w:rPr>
        <w:t>Solitarious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7136C61F" w14:textId="77777777" w:rsidR="00CE39E2" w:rsidRDefault="00CE39E2" w:rsidP="00CE39E2">
      <w:pPr>
        <w:rPr>
          <w:rFonts w:ascii="Times New Roman" w:hAnsi="Times New Roman" w:cs="Times New Roman"/>
          <w:sz w:val="24"/>
          <w:szCs w:val="24"/>
        </w:rPr>
      </w:pPr>
    </w:p>
    <w:p w14:paraId="73F5729F" w14:textId="77777777" w:rsidR="00CE39E2" w:rsidRDefault="00CE39E2"/>
    <w:sectPr w:rsidR="00CE39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9E2"/>
    <w:rsid w:val="00CE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D66F9"/>
  <w15:chartTrackingRefBased/>
  <w15:docId w15:val="{58B50649-0BAA-42E0-9EC4-830452BC3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9E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39E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39E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39E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39E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39E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39E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39E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39E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39E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39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39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39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39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39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39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39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39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39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39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E39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39E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E39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39E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E39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39E2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E39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39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39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39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La Serre,Claire</dc:creator>
  <cp:keywords/>
  <dc:description/>
  <cp:lastModifiedBy>de La Serre,Claire</cp:lastModifiedBy>
  <cp:revision>1</cp:revision>
  <dcterms:created xsi:type="dcterms:W3CDTF">2024-05-17T17:53:00Z</dcterms:created>
  <dcterms:modified xsi:type="dcterms:W3CDTF">2024-05-17T17:53:00Z</dcterms:modified>
</cp:coreProperties>
</file>