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48" w:lineRule="auto"/>
        <w:ind w:firstLine="562" w:firstLineChars="200"/>
        <w:jc w:val="center"/>
        <w:rPr>
          <w:rFonts w:hint="default" w:cs="Times New Roman"/>
          <w:b/>
          <w:bCs/>
          <w:sz w:val="28"/>
          <w:szCs w:val="28"/>
          <w:lang w:val="en-US" w:eastAsia="zh-CN"/>
        </w:rPr>
      </w:pPr>
      <w:r>
        <w:rPr>
          <w:rFonts w:hint="eastAsia" w:cs="Times New Roman"/>
          <w:b/>
          <w:bCs/>
          <w:sz w:val="28"/>
          <w:szCs w:val="28"/>
          <w:lang w:val="en-US" w:eastAsia="zh-CN"/>
        </w:rPr>
        <w:t>The first round of expert correspondence questionnaire for CSCMP</w:t>
      </w:r>
    </w:p>
    <w:p>
      <w:pPr>
        <w:adjustRightInd w:val="0"/>
        <w:snapToGrid w:val="0"/>
        <w:spacing w:line="240" w:lineRule="auto"/>
        <w:ind w:firstLine="480" w:firstLineChars="200"/>
        <w:rPr>
          <w:rFonts w:hint="default" w:ascii="Times New Roman" w:hAnsi="Times New Roman" w:cs="Times New Roman" w:eastAsiaTheme="majorEastAsia"/>
          <w:b w:val="0"/>
          <w:bCs w:val="0"/>
          <w:sz w:val="24"/>
          <w:szCs w:val="24"/>
        </w:rPr>
      </w:pPr>
      <w:r>
        <w:rPr>
          <w:rFonts w:hint="default" w:ascii="Times New Roman" w:hAnsi="Times New Roman" w:cs="Times New Roman" w:eastAsiaTheme="majorEastAsia"/>
          <w:b w:val="0"/>
          <w:bCs w:val="0"/>
          <w:sz w:val="24"/>
          <w:szCs w:val="24"/>
        </w:rPr>
        <w:t>Dear expert,</w:t>
      </w:r>
    </w:p>
    <w:p>
      <w:pPr>
        <w:adjustRightInd w:val="0"/>
        <w:snapToGrid w:val="0"/>
        <w:spacing w:line="240" w:lineRule="auto"/>
        <w:ind w:firstLine="480" w:firstLineChars="200"/>
        <w:rPr>
          <w:rFonts w:hint="default" w:ascii="Times New Roman" w:hAnsi="Times New Roman" w:cs="Times New Roman" w:eastAsiaTheme="majorEastAsia"/>
          <w:b w:val="0"/>
          <w:bCs w:val="0"/>
          <w:sz w:val="24"/>
          <w:szCs w:val="24"/>
        </w:rPr>
      </w:pPr>
      <w:r>
        <w:rPr>
          <w:rFonts w:hint="default" w:ascii="Times New Roman" w:hAnsi="Times New Roman" w:cs="Times New Roman" w:eastAsiaTheme="majorEastAsia"/>
          <w:b w:val="0"/>
          <w:bCs w:val="0"/>
          <w:sz w:val="24"/>
          <w:szCs w:val="24"/>
        </w:rPr>
        <w:t xml:space="preserve">Thank you very much for taking time out of your busy schedule to attend this expert consultation. The expert </w:t>
      </w:r>
      <w:r>
        <w:rPr>
          <w:rFonts w:hint="default" w:ascii="Times New Roman" w:hAnsi="Times New Roman" w:cs="Times New Roman"/>
          <w:b w:val="0"/>
          <w:bCs w:val="0"/>
          <w:sz w:val="24"/>
          <w:szCs w:val="24"/>
          <w:lang w:val="en-US" w:eastAsia="zh-CN"/>
        </w:rPr>
        <w:t>correspondence questionnaire</w:t>
      </w:r>
      <w:r>
        <w:rPr>
          <w:rFonts w:hint="default" w:ascii="Times New Roman" w:hAnsi="Times New Roman" w:cs="Times New Roman" w:eastAsiaTheme="majorEastAsia"/>
          <w:b w:val="0"/>
          <w:bCs w:val="0"/>
          <w:sz w:val="24"/>
          <w:szCs w:val="24"/>
        </w:rPr>
        <w:t xml:space="preserve"> is divided into three parts: the first part is the </w:t>
      </w:r>
      <w:r>
        <w:rPr>
          <w:rFonts w:hint="default" w:ascii="Times New Roman" w:hAnsi="Times New Roman" w:cs="Times New Roman" w:eastAsiaTheme="majorEastAsia"/>
          <w:b w:val="0"/>
          <w:bCs w:val="0"/>
          <w:sz w:val="24"/>
          <w:szCs w:val="24"/>
          <w:lang w:val="en-US" w:eastAsia="zh-CN"/>
        </w:rPr>
        <w:t>i</w:t>
      </w:r>
      <w:r>
        <w:rPr>
          <w:rFonts w:hint="default" w:ascii="Times New Roman" w:hAnsi="Times New Roman" w:cs="Times New Roman"/>
          <w:b w:val="0"/>
          <w:bCs w:val="0"/>
          <w:sz w:val="24"/>
          <w:szCs w:val="24"/>
          <w:lang w:val="en-US" w:eastAsia="zh-CN"/>
        </w:rPr>
        <w:t>nstrument</w:t>
      </w:r>
      <w:r>
        <w:rPr>
          <w:rFonts w:hint="default" w:ascii="Times New Roman" w:hAnsi="Times New Roman" w:cs="Times New Roman" w:eastAsiaTheme="majorEastAsia"/>
          <w:b w:val="0"/>
          <w:bCs w:val="0"/>
          <w:sz w:val="24"/>
          <w:szCs w:val="24"/>
        </w:rPr>
        <w:t>, the second part is the program evaluation, and the third part is the expert information.</w:t>
      </w:r>
    </w:p>
    <w:p>
      <w:pPr>
        <w:adjustRightInd w:val="0"/>
        <w:snapToGrid w:val="0"/>
        <w:spacing w:line="240" w:lineRule="auto"/>
        <w:ind w:firstLine="480" w:firstLineChars="200"/>
        <w:rPr>
          <w:rFonts w:hint="default" w:ascii="Times New Roman" w:hAnsi="Times New Roman" w:cs="Times New Roman" w:eastAsiaTheme="majorEastAsia"/>
          <w:sz w:val="24"/>
          <w:szCs w:val="24"/>
        </w:rPr>
      </w:pPr>
    </w:p>
    <w:p>
      <w:pPr>
        <w:adjustRightInd w:val="0"/>
        <w:snapToGrid w:val="0"/>
        <w:spacing w:line="240" w:lineRule="auto"/>
        <w:jc w:val="center"/>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Instrument</w:t>
      </w:r>
    </w:p>
    <w:p>
      <w:pPr>
        <w:adjustRightInd w:val="0"/>
        <w:snapToGrid w:val="0"/>
        <w:spacing w:line="24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As the most dangerous malignant tumor to human health and life, lung cancer has become the focus of global health research. The latest data from the World Health Organization's International Agency for Research on Cancer show that the total number of lung cancer cases accounts for the second highest in the world, ranking first in China. With the innovation of early screening and treatment technology, the 5-year survival rate of lung cancer patients has been improved, and lung cancer has become a chronic disease. In view of the severe burden of chronic diseases, the outline of the Healthy China 2030 Plan issued by The State Council and the report of the 20th National Congress of the Communist Party of China have pointed out that the health management of major chronic diseases should be strengthened. Chemotherapy is the most common treatment for lung cancer patients. Although it can inhibit tumor growth and prolong survival, it can induce many toxic and side effects at the same time. Multi-cycle chemotherapy and multiple combination therapies also cause lung cancer patients to experience more severe symptoms than patients with other types of cancer. Therefore, how to reduce the burden of symptoms and improve the quality of life of patients with lung cancer chemotherapy has become an urgent problem to be solved."Core symptom group" refers to a group of symptoms with a high incidence, stable existence, and the greatest impact on the quality of life of patients in many symptom groups, and can minimize the symptom burden of patients by intervening in the core symptom group. Therefore, this study intends to establish a core symptom group management scheme for patients with lung cancer chemotherapy. Our research group has previously identified the core symptom group of patients with lung cancer chemotherapy as the "pain-fatigue-sleep dis</w:t>
      </w:r>
      <w:r>
        <w:rPr>
          <w:rFonts w:hint="eastAsia" w:cs="Times New Roman"/>
          <w:sz w:val="24"/>
          <w:szCs w:val="24"/>
          <w:lang w:val="en-US" w:eastAsia="zh-CN"/>
        </w:rPr>
        <w:t>turbance</w:t>
      </w:r>
      <w:r>
        <w:rPr>
          <w:rFonts w:hint="default" w:ascii="Times New Roman" w:hAnsi="Times New Roman" w:eastAsia="宋体" w:cs="Times New Roman"/>
          <w:sz w:val="24"/>
          <w:szCs w:val="24"/>
        </w:rPr>
        <w:t xml:space="preserve"> symptom group".</w:t>
      </w:r>
    </w:p>
    <w:p>
      <w:pPr>
        <w:adjustRightInd w:val="0"/>
        <w:snapToGrid w:val="0"/>
        <w:spacing w:line="24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Based on the previous evidence summary of the research group, this study has formed a preliminary draft of the program through a literature supplement and the expert group meeting. Given your many years of valuable experience and profound knowledge in the field of symptom management, we sincerely invite you to serve as a consulting expert for this study. Please review the draft protocol and judge each item. Your comments will be an important basis for our research implementation, and your help will greatly promote this study. Please try your best to feedback on your consultation before December 08, thank you!</w:t>
      </w:r>
    </w:p>
    <w:p>
      <w:pPr>
        <w:adjustRightInd w:val="0"/>
        <w:snapToGrid w:val="0"/>
        <w:spacing w:line="240" w:lineRule="auto"/>
        <w:ind w:firstLine="480" w:firstLineChars="200"/>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If you have any questions about this questionnaire, please send an email to 15333481217@163.com. Thank you very much for your guidance and help.</w:t>
      </w:r>
    </w:p>
    <w:p>
      <w:pPr>
        <w:adjustRightInd w:val="0"/>
        <w:snapToGrid w:val="0"/>
        <w:spacing w:line="240" w:lineRule="auto"/>
        <w:ind w:firstLine="480" w:firstLineChars="200"/>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Sincerely wish: work success, health!</w:t>
      </w:r>
    </w:p>
    <w:p>
      <w:pPr>
        <w:adjustRightInd w:val="0"/>
        <w:snapToGrid w:val="0"/>
        <w:spacing w:line="240" w:lineRule="auto"/>
        <w:ind w:firstLine="480" w:firstLineChars="200"/>
        <w:rPr>
          <w:rFonts w:hint="default" w:ascii="Times New Roman" w:hAnsi="Times New Roman" w:cs="Times New Roman" w:eastAsiaTheme="majorEastAsia"/>
          <w:sz w:val="24"/>
          <w:szCs w:val="24"/>
        </w:rPr>
      </w:pPr>
    </w:p>
    <w:p>
      <w:pPr>
        <w:adjustRightInd w:val="0"/>
        <w:snapToGrid w:val="0"/>
        <w:spacing w:line="240" w:lineRule="auto"/>
        <w:ind w:firstLine="480" w:firstLineChars="200"/>
        <w:rPr>
          <w:rFonts w:hint="default" w:ascii="Times New Roman" w:hAnsi="Times New Roman" w:cs="Times New Roman" w:eastAsiaTheme="majorEastAsia"/>
          <w:sz w:val="24"/>
          <w:szCs w:val="24"/>
        </w:rPr>
      </w:pPr>
    </w:p>
    <w:p>
      <w:pPr>
        <w:wordWrap w:val="0"/>
        <w:adjustRightInd w:val="0"/>
        <w:snapToGrid w:val="0"/>
        <w:spacing w:line="240" w:lineRule="auto"/>
        <w:ind w:firstLine="480" w:firstLineChars="200"/>
        <w:jc w:val="right"/>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rPr>
        <w:t xml:space="preserve">Tutor: </w:t>
      </w:r>
      <w:r>
        <w:rPr>
          <w:rFonts w:hint="default" w:ascii="Times New Roman" w:hAnsi="Times New Roman" w:cs="Times New Roman" w:eastAsiaTheme="majorEastAsia"/>
          <w:sz w:val="24"/>
          <w:szCs w:val="24"/>
          <w:lang w:val="en-US" w:eastAsia="zh-CN"/>
        </w:rPr>
        <w:t>Lili</w:t>
      </w:r>
      <w:r>
        <w:rPr>
          <w:rFonts w:hint="default" w:ascii="Times New Roman" w:hAnsi="Times New Roman" w:cs="Times New Roman" w:eastAsiaTheme="majorEastAsia"/>
          <w:sz w:val="24"/>
          <w:szCs w:val="24"/>
        </w:rPr>
        <w:t xml:space="preserve"> Zhang</w:t>
      </w:r>
      <w:r>
        <w:rPr>
          <w:rFonts w:hint="default" w:ascii="Times New Roman" w:hAnsi="Times New Roman" w:cs="Times New Roman" w:eastAsiaTheme="majorEastAsia"/>
          <w:sz w:val="24"/>
          <w:szCs w:val="24"/>
          <w:lang w:val="en-US" w:eastAsia="zh-CN"/>
        </w:rPr>
        <w:t xml:space="preserve"> </w:t>
      </w:r>
      <w:r>
        <w:rPr>
          <w:rFonts w:hint="default" w:ascii="Times New Roman" w:hAnsi="Times New Roman" w:cs="Times New Roman" w:eastAsiaTheme="majorEastAsia"/>
          <w:sz w:val="24"/>
          <w:szCs w:val="24"/>
        </w:rPr>
        <w:t>Professor</w:t>
      </w:r>
    </w:p>
    <w:p>
      <w:pPr>
        <w:adjustRightInd w:val="0"/>
        <w:snapToGrid w:val="0"/>
        <w:spacing w:line="240" w:lineRule="auto"/>
        <w:ind w:firstLine="480" w:firstLineChars="200"/>
        <w:jc w:val="righ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 xml:space="preserve">Graduate student: </w:t>
      </w:r>
      <w:r>
        <w:rPr>
          <w:rFonts w:hint="default" w:ascii="Times New Roman" w:hAnsi="Times New Roman" w:cs="Times New Roman" w:eastAsiaTheme="majorEastAsia"/>
          <w:sz w:val="24"/>
          <w:szCs w:val="24"/>
          <w:lang w:val="en-US" w:eastAsia="zh-CN"/>
        </w:rPr>
        <w:t xml:space="preserve">Le </w:t>
      </w:r>
      <w:r>
        <w:rPr>
          <w:rFonts w:hint="default" w:ascii="Times New Roman" w:hAnsi="Times New Roman" w:cs="Times New Roman" w:eastAsiaTheme="majorEastAsia"/>
          <w:sz w:val="24"/>
          <w:szCs w:val="24"/>
        </w:rPr>
        <w:t>Zhang</w:t>
      </w:r>
    </w:p>
    <w:p>
      <w:pPr>
        <w:widowControl/>
        <w:jc w:val="left"/>
        <w:rPr>
          <w:rFonts w:hint="default" w:ascii="Times New Roman" w:hAnsi="Times New Roman" w:cs="Times New Roman" w:eastAsiaTheme="majorEastAsia"/>
          <w:b/>
          <w:bCs/>
          <w:sz w:val="24"/>
          <w:szCs w:val="24"/>
        </w:rPr>
      </w:pPr>
      <w:r>
        <w:rPr>
          <w:rFonts w:hint="default" w:ascii="Times New Roman" w:hAnsi="Times New Roman" w:cs="Times New Roman" w:eastAsiaTheme="majorEastAsia"/>
          <w:b/>
          <w:bCs/>
          <w:sz w:val="24"/>
          <w:szCs w:val="24"/>
        </w:rPr>
        <w:br w:type="page"/>
      </w:r>
    </w:p>
    <w:p>
      <w:pPr>
        <w:widowControl/>
        <w:jc w:val="left"/>
        <w:rPr>
          <w:rFonts w:asciiTheme="majorEastAsia" w:hAnsiTheme="majorEastAsia" w:eastAsiaTheme="majorEastAsia" w:cstheme="majorEastAsia"/>
          <w:b/>
          <w:bCs/>
          <w:sz w:val="24"/>
          <w:szCs w:val="24"/>
        </w:rPr>
        <w:sectPr>
          <w:footerReference r:id="rId3" w:type="default"/>
          <w:pgSz w:w="11906" w:h="16838"/>
          <w:pgMar w:top="1440" w:right="1800" w:bottom="1440" w:left="1800" w:header="851" w:footer="992" w:gutter="0"/>
          <w:pgNumType w:start="1"/>
          <w:cols w:space="0" w:num="1"/>
          <w:docGrid w:type="lines" w:linePitch="312" w:charSpace="0"/>
        </w:sectPr>
      </w:pPr>
    </w:p>
    <w:p>
      <w:pPr>
        <w:adjustRightInd w:val="0"/>
        <w:snapToGrid w:val="0"/>
        <w:spacing w:line="240" w:lineRule="auto"/>
        <w:jc w:val="center"/>
        <w:rPr>
          <w:rFonts w:hint="default" w:ascii="Times New Roman" w:hAnsi="Times New Roman" w:cs="Times New Roman" w:eastAsiaTheme="majorEastAsia"/>
          <w:b w:val="0"/>
          <w:bCs w:val="0"/>
          <w:sz w:val="24"/>
          <w:szCs w:val="24"/>
        </w:rPr>
      </w:pPr>
      <w:r>
        <w:rPr>
          <w:rFonts w:hint="default" w:ascii="Times New Roman" w:hAnsi="Times New Roman" w:cs="Times New Roman" w:eastAsiaTheme="majorEastAsia"/>
          <w:b w:val="0"/>
          <w:bCs w:val="0"/>
          <w:sz w:val="24"/>
          <w:szCs w:val="24"/>
          <w:lang w:val="en-US" w:eastAsia="zh-CN"/>
        </w:rPr>
        <w:t>P</w:t>
      </w:r>
      <w:r>
        <w:rPr>
          <w:rFonts w:hint="default" w:ascii="Times New Roman" w:hAnsi="Times New Roman" w:cs="Times New Roman" w:eastAsiaTheme="majorEastAsia"/>
          <w:b w:val="0"/>
          <w:bCs w:val="0"/>
          <w:sz w:val="24"/>
          <w:szCs w:val="24"/>
        </w:rPr>
        <w:t xml:space="preserve">rogram </w:t>
      </w:r>
      <w:r>
        <w:rPr>
          <w:rFonts w:hint="default" w:ascii="Times New Roman" w:hAnsi="Times New Roman" w:cs="Times New Roman" w:eastAsiaTheme="majorEastAsia"/>
          <w:b w:val="0"/>
          <w:bCs w:val="0"/>
          <w:sz w:val="24"/>
          <w:szCs w:val="24"/>
          <w:lang w:val="en-US" w:eastAsia="zh-CN"/>
        </w:rPr>
        <w:t>E</w:t>
      </w:r>
      <w:r>
        <w:rPr>
          <w:rFonts w:hint="default" w:ascii="Times New Roman" w:hAnsi="Times New Roman" w:cs="Times New Roman" w:eastAsiaTheme="majorEastAsia"/>
          <w:b w:val="0"/>
          <w:bCs w:val="0"/>
          <w:sz w:val="24"/>
          <w:szCs w:val="24"/>
        </w:rPr>
        <w:t>valuation</w:t>
      </w:r>
    </w:p>
    <w:p>
      <w:pPr>
        <w:adjustRightInd w:val="0"/>
        <w:snapToGrid w:val="0"/>
        <w:spacing w:line="240" w:lineRule="auto"/>
        <w:ind w:firstLine="480" w:firstLineChars="200"/>
        <w:jc w:val="both"/>
        <w:rPr>
          <w:rFonts w:hint="default" w:ascii="Times New Roman" w:hAnsi="Times New Roman" w:cs="Times New Roman" w:eastAsiaTheme="majorEastAsia"/>
          <w:sz w:val="24"/>
          <w:szCs w:val="24"/>
        </w:rPr>
      </w:pPr>
      <w:r>
        <w:rPr>
          <w:rFonts w:hint="default" w:ascii="Times New Roman" w:hAnsi="Times New Roman" w:eastAsia="宋体" w:cs="Times New Roman"/>
          <w:sz w:val="24"/>
          <w:szCs w:val="24"/>
        </w:rPr>
        <w:t>This part is the preliminary draft of the management plan drawn up by the literature supplement and the expert group based on the summary of evidence. Please score according to your own professional knowledge and practice experience by the importance: 1 is very unimportant, and 5 is very important. The higher the score, the more important the item. Please score the importance of each item and determine whether to include clinical intervention in the end and mark "×" in the corresponding "</w:t>
      </w:r>
      <w:sdt>
        <w:sdtPr>
          <w:rPr>
            <w:rFonts w:hint="default" w:ascii="Times New Roman" w:hAnsi="Times New Roman" w:cs="Times New Roman"/>
            <w:color w:val="000000"/>
            <w:kern w:val="0"/>
            <w:sz w:val="24"/>
            <w:szCs w:val="24"/>
          </w:rPr>
          <w:id w:val="17503864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4"/>
            <w:szCs w:val="24"/>
          </w:rPr>
        </w:sdtEndPr>
        <w:sdtContent>
          <w:r>
            <w:rPr>
              <w:rFonts w:hint="default" w:ascii="Times New Roman" w:hAnsi="Times New Roman" w:eastAsia="MS Gothic" w:cs="Times New Roman"/>
              <w:color w:val="000000"/>
              <w:kern w:val="0"/>
              <w:sz w:val="24"/>
              <w:szCs w:val="24"/>
              <w:lang w:val="en-US" w:eastAsia="zh-CN" w:bidi="ar-SA"/>
            </w:rPr>
            <w:t>☐</w:t>
          </w:r>
        </w:sdtContent>
      </w:sdt>
      <w:r>
        <w:rPr>
          <w:rFonts w:hint="default" w:ascii="Times New Roman" w:hAnsi="Times New Roman" w:eastAsia="宋体" w:cs="Times New Roman"/>
          <w:sz w:val="24"/>
          <w:szCs w:val="24"/>
        </w:rPr>
        <w:t xml:space="preserve">" to indicate your choice. If you have other valuable suggestions, please fill in the "Supplementary Suggestions" box. If you need to modify the place, please fill in the "Modification </w:t>
      </w:r>
      <w:r>
        <w:rPr>
          <w:rFonts w:hint="eastAsia" w:cs="Times New Roman"/>
          <w:sz w:val="24"/>
          <w:szCs w:val="24"/>
          <w:lang w:val="en-US" w:eastAsia="zh-CN"/>
        </w:rPr>
        <w:t>S</w:t>
      </w:r>
      <w:r>
        <w:rPr>
          <w:rFonts w:hint="default" w:ascii="Times New Roman" w:hAnsi="Times New Roman" w:eastAsia="宋体" w:cs="Times New Roman"/>
          <w:sz w:val="24"/>
          <w:szCs w:val="24"/>
        </w:rPr>
        <w:t>uggestion box", thank you again for your patient guidance!</w:t>
      </w:r>
    </w:p>
    <w:tbl>
      <w:tblPr>
        <w:tblStyle w:val="7"/>
        <w:tblW w:w="14199" w:type="dxa"/>
        <w:tblInd w:w="113" w:type="dxa"/>
        <w:tblLayout w:type="fixed"/>
        <w:tblCellMar>
          <w:top w:w="0" w:type="dxa"/>
          <w:left w:w="108" w:type="dxa"/>
          <w:bottom w:w="0" w:type="dxa"/>
          <w:right w:w="108" w:type="dxa"/>
        </w:tblCellMar>
      </w:tblPr>
      <w:tblGrid>
        <w:gridCol w:w="1338"/>
        <w:gridCol w:w="1701"/>
        <w:gridCol w:w="527"/>
        <w:gridCol w:w="5316"/>
        <w:gridCol w:w="5317"/>
      </w:tblGrid>
      <w:tr>
        <w:tblPrEx>
          <w:tblCellMar>
            <w:top w:w="0" w:type="dxa"/>
            <w:left w:w="108" w:type="dxa"/>
            <w:bottom w:w="0" w:type="dxa"/>
            <w:right w:w="108" w:type="dxa"/>
          </w:tblCellMar>
        </w:tblPrEx>
        <w:trPr>
          <w:trHeight w:val="42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ascii="宋体" w:hAnsi="宋体" w:cs="宋体"/>
                <w:b/>
                <w:bCs/>
                <w:color w:val="000000"/>
                <w:kern w:val="0"/>
                <w:sz w:val="24"/>
                <w:szCs w:val="24"/>
              </w:rPr>
            </w:pPr>
            <w:r>
              <w:rPr>
                <w:rFonts w:hint="eastAsia" w:cs="Times New Roman"/>
                <w:b/>
                <w:bCs/>
                <w:sz w:val="24"/>
                <w:szCs w:val="24"/>
                <w:lang w:val="en-US" w:eastAsia="zh-CN"/>
              </w:rPr>
              <w:t xml:space="preserve">Evaluation Form of </w:t>
            </w:r>
            <w:r>
              <w:rPr>
                <w:rFonts w:hint="default" w:ascii="Times New Roman" w:hAnsi="Times New Roman" w:cs="Times New Roman"/>
                <w:b/>
                <w:bCs/>
                <w:sz w:val="24"/>
                <w:szCs w:val="24"/>
              </w:rPr>
              <w:t>management</w:t>
            </w:r>
            <w:r>
              <w:rPr>
                <w:rFonts w:hint="eastAsia" w:cs="Times New Roman"/>
                <w:b/>
                <w:bCs/>
                <w:sz w:val="24"/>
                <w:szCs w:val="24"/>
                <w:lang w:val="en-US" w:eastAsia="zh-CN"/>
              </w:rPr>
              <w:t xml:space="preserve"> Programs for the c</w:t>
            </w:r>
            <w:r>
              <w:rPr>
                <w:rFonts w:hint="default" w:ascii="Times New Roman" w:hAnsi="Times New Roman" w:cs="Times New Roman"/>
                <w:b/>
                <w:bCs/>
                <w:sz w:val="24"/>
                <w:szCs w:val="24"/>
              </w:rPr>
              <w:t xml:space="preserve">ore </w:t>
            </w:r>
            <w:r>
              <w:rPr>
                <w:rFonts w:hint="eastAsia" w:cs="Times New Roman"/>
                <w:b/>
                <w:bCs/>
                <w:sz w:val="24"/>
                <w:szCs w:val="24"/>
                <w:lang w:val="en-US" w:eastAsia="zh-CN"/>
              </w:rPr>
              <w:t>s</w:t>
            </w:r>
            <w:r>
              <w:rPr>
                <w:rFonts w:hint="default" w:ascii="Times New Roman" w:hAnsi="Times New Roman" w:cs="Times New Roman"/>
                <w:b/>
                <w:bCs/>
                <w:sz w:val="24"/>
                <w:szCs w:val="24"/>
              </w:rPr>
              <w:t xml:space="preserve">ymptom cluster </w:t>
            </w:r>
            <w:r>
              <w:rPr>
                <w:rFonts w:hint="eastAsia" w:cs="Times New Roman"/>
                <w:b/>
                <w:bCs/>
                <w:sz w:val="24"/>
                <w:szCs w:val="24"/>
                <w:lang w:val="en-US" w:eastAsia="zh-CN"/>
              </w:rPr>
              <w:t>in Patients with Lung Cancer Undergoing Chemotherapy</w:t>
            </w:r>
          </w:p>
        </w:tc>
      </w:tr>
      <w:tr>
        <w:tblPrEx>
          <w:tblCellMar>
            <w:top w:w="0" w:type="dxa"/>
            <w:left w:w="108" w:type="dxa"/>
            <w:bottom w:w="0" w:type="dxa"/>
            <w:right w:w="108" w:type="dxa"/>
          </w:tblCellMar>
        </w:tblPrEx>
        <w:trPr>
          <w:trHeight w:val="340" w:hRule="atLeast"/>
        </w:trPr>
        <w:tc>
          <w:tcPr>
            <w:tcW w:w="1338" w:type="dxa"/>
            <w:tcBorders>
              <w:top w:val="nil"/>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b/>
                <w:bCs/>
                <w:color w:val="000000"/>
                <w:kern w:val="0"/>
                <w:sz w:val="21"/>
                <w:szCs w:val="21"/>
                <w:lang w:val="en-US" w:eastAsia="zh-CN"/>
              </w:rPr>
            </w:pPr>
            <w:bookmarkStart w:id="0" w:name="OLE_LINK1" w:colFirst="1" w:colLast="10"/>
            <w:r>
              <w:rPr>
                <w:rFonts w:hint="default" w:ascii="Times New Roman" w:hAnsi="Times New Roman" w:cs="Times New Roman"/>
                <w:b/>
                <w:bCs/>
                <w:sz w:val="21"/>
                <w:szCs w:val="21"/>
                <w:lang w:val="en-US" w:eastAsia="zh-CN"/>
              </w:rPr>
              <w:t>Intervention Time</w:t>
            </w:r>
          </w:p>
        </w:tc>
        <w:tc>
          <w:tcPr>
            <w:tcW w:w="1701" w:type="dxa"/>
            <w:tcBorders>
              <w:top w:val="nil"/>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Intervention dimension</w:t>
            </w:r>
          </w:p>
        </w:tc>
        <w:tc>
          <w:tcPr>
            <w:tcW w:w="527" w:type="dxa"/>
            <w:tcBorders>
              <w:top w:val="nil"/>
              <w:left w:val="single" w:color="000000" w:sz="4" w:space="0"/>
              <w:bottom w:val="single" w:color="000000" w:sz="4" w:space="0"/>
              <w:right w:val="single" w:color="auto" w:sz="4" w:space="0"/>
            </w:tcBorders>
            <w:shd w:val="clear" w:color="auto" w:fill="auto"/>
            <w:vAlign w:val="center"/>
          </w:tcPr>
          <w:p>
            <w:pPr>
              <w:widowControl/>
              <w:spacing w:line="240" w:lineRule="auto"/>
              <w:jc w:val="left"/>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cs="Times New Roman"/>
                <w:b/>
                <w:bCs/>
                <w:color w:val="000000"/>
                <w:kern w:val="0"/>
                <w:sz w:val="21"/>
                <w:szCs w:val="21"/>
                <w:lang w:val="en-US" w:eastAsia="zh-CN"/>
              </w:rPr>
              <w:t>No.</w:t>
            </w:r>
          </w:p>
        </w:tc>
        <w:tc>
          <w:tcPr>
            <w:tcW w:w="1063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sz w:val="21"/>
                <w:szCs w:val="21"/>
                <w:lang w:val="en-US" w:eastAsia="zh-CN"/>
              </w:rPr>
              <w:t>Intervention Content</w:t>
            </w:r>
          </w:p>
        </w:tc>
      </w:tr>
      <w:bookmarkEnd w:id="0"/>
      <w:tr>
        <w:tblPrEx>
          <w:tblCellMar>
            <w:top w:w="0" w:type="dxa"/>
            <w:left w:w="108" w:type="dxa"/>
            <w:bottom w:w="0" w:type="dxa"/>
            <w:right w:w="108" w:type="dxa"/>
          </w:tblCellMar>
        </w:tblPrEx>
        <w:trPr>
          <w:trHeight w:val="283" w:hRule="atLeast"/>
        </w:trPr>
        <w:tc>
          <w:tcPr>
            <w:tcW w:w="1338" w:type="dxa"/>
            <w:vMerge w:val="restart"/>
            <w:tcBorders>
              <w:top w:val="single" w:color="auto"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routine</w:t>
            </w:r>
          </w:p>
        </w:tc>
        <w:tc>
          <w:tcPr>
            <w:tcW w:w="1701" w:type="dxa"/>
            <w:vMerge w:val="restart"/>
            <w:tcBorders>
              <w:top w:val="single" w:color="auto"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Intervention Training</w:t>
            </w:r>
          </w:p>
        </w:tc>
        <w:tc>
          <w:tcPr>
            <w:tcW w:w="527" w:type="dxa"/>
            <w:vMerge w:val="restart"/>
            <w:tcBorders>
              <w:top w:val="single" w:color="auto" w:sz="4" w:space="0"/>
              <w:left w:val="single" w:color="000000" w:sz="4" w:space="0"/>
              <w:right w:val="single" w:color="000000" w:sz="4" w:space="0"/>
            </w:tcBorders>
            <w:shd w:val="clear" w:color="auto" w:fill="auto"/>
            <w:vAlign w:val="center"/>
          </w:tcPr>
          <w:p>
            <w:pPr>
              <w:widowControl/>
              <w:spacing w:line="240" w:lineRule="auto"/>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rPr>
              <w:t>1</w:t>
            </w:r>
          </w:p>
        </w:tc>
        <w:tc>
          <w:tcPr>
            <w:tcW w:w="10633"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 xml:space="preserve">Intervention implementers should continuously improve their knowledge and skills in managing fatigue, pain, and sleep </w:t>
            </w:r>
            <w:r>
              <w:rPr>
                <w:rFonts w:hint="eastAsia" w:cs="Times New Roman"/>
                <w:color w:val="000000"/>
                <w:kern w:val="0"/>
                <w:sz w:val="21"/>
                <w:szCs w:val="21"/>
                <w:lang w:eastAsia="zh-CN"/>
              </w:rPr>
              <w:t>disturbance</w:t>
            </w:r>
            <w:r>
              <w:rPr>
                <w:rFonts w:hint="default" w:ascii="Times New Roman" w:hAnsi="Times New Roman" w:cs="Times New Roman"/>
                <w:color w:val="000000"/>
                <w:kern w:val="0"/>
                <w:sz w:val="21"/>
                <w:szCs w:val="21"/>
              </w:rPr>
              <w:t xml:space="preserve"> symptoms. Training sessions are held every Tuesday afternoon in the conference room on the sixth floor of the Oncology Department. Researchers prepare PowerPoint presentations and other materials to expand knowledge, aiming to guide patients in managing fatigue, pain, and sleep </w:t>
            </w:r>
            <w:r>
              <w:rPr>
                <w:rFonts w:hint="eastAsia" w:cs="Times New Roman"/>
                <w:color w:val="000000"/>
                <w:kern w:val="0"/>
                <w:sz w:val="21"/>
                <w:szCs w:val="21"/>
                <w:lang w:eastAsia="zh-CN"/>
              </w:rPr>
              <w:t>disturbance</w:t>
            </w:r>
            <w:r>
              <w:rPr>
                <w:rFonts w:hint="default" w:ascii="Times New Roman" w:hAnsi="Times New Roman" w:cs="Times New Roman"/>
                <w:color w:val="000000"/>
                <w:kern w:val="0"/>
                <w:sz w:val="21"/>
                <w:szCs w:val="21"/>
              </w:rPr>
              <w:t xml:space="preserve"> symptoms and identify patients requiring Multidisciplinary Consultation.</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p>
        </w:tc>
        <w:tc>
          <w:tcPr>
            <w:tcW w:w="527" w:type="dxa"/>
            <w:vMerge w:val="continue"/>
            <w:tcBorders>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83" w:hRule="atLeast"/>
        </w:trPr>
        <w:tc>
          <w:tcPr>
            <w:tcW w:w="1338"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Optimizing Environment</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2</w:t>
            </w:r>
          </w:p>
        </w:tc>
        <w:tc>
          <w:tcPr>
            <w:tcW w:w="10633" w:type="dxa"/>
            <w:gridSpan w:val="2"/>
            <w:tcBorders>
              <w:top w:val="single" w:color="000000" w:sz="4" w:space="0"/>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Maintain the temperature and humidity in the hospital room within an appropriate range, and ensure regular ventilation to create a comfortable environment for the patient. Post gentle reminders in the room to encourage patients to rest and maintain a good routine during their hospital stay. Healthcare workers should be mindful of their movements during rounds and nursing procedures, minimize nighttime interventions, and avoid loud conversations to prevent disturbing the patient's rest.</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p>
        </w:tc>
        <w:tc>
          <w:tcPr>
            <w:tcW w:w="527" w:type="dxa"/>
            <w:vMerge w:val="continue"/>
            <w:tcBorders>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nil"/>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020" w:hRule="atLeast"/>
        </w:trPr>
        <w:tc>
          <w:tcPr>
            <w:tcW w:w="1338"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At admission</w:t>
            </w: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R</w:t>
            </w:r>
            <w:r>
              <w:rPr>
                <w:rFonts w:hint="default" w:ascii="Times New Roman" w:hAnsi="Times New Roman" w:cs="Times New Roman"/>
                <w:b/>
                <w:bCs/>
                <w:color w:val="000000"/>
                <w:kern w:val="0"/>
                <w:sz w:val="21"/>
                <w:szCs w:val="21"/>
              </w:rPr>
              <w:t>elationship Building</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3</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Care for patients according to the "Ten Ones" service philosophy (A sincere smile, a set of proper etiquette, a comfortable patient room, a warm privacy curtain, a standardized procedure, a patient explanation, thoughtful instruction, a set of convenient measures, a friendly farewell, and a follow-up visit filled with care). Display photos and introductions of relevant medical staff in the ward to foster a closer nurse-patient relationship. Introduce the attending physician, head nurse, primary nurse, and the hospital ward environment to establish a trust-based relationship.</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eastAsia="宋体" w:cs="Times New Roman"/>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eastAsia="宋体" w:cs="Times New Roman"/>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361" w:hRule="atLeast"/>
        </w:trPr>
        <w:tc>
          <w:tcPr>
            <w:tcW w:w="1338"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strike/>
                <w:dstrike w:val="0"/>
                <w:color w:val="000000"/>
                <w:kern w:val="0"/>
                <w:sz w:val="21"/>
                <w:szCs w:val="21"/>
              </w:rPr>
            </w:pPr>
            <w:r>
              <w:rPr>
                <w:rFonts w:hint="default" w:ascii="Times New Roman" w:hAnsi="Times New Roman" w:cs="Times New Roman"/>
                <w:b/>
                <w:bCs/>
                <w:strike w:val="0"/>
                <w:dstrike w:val="0"/>
                <w:color w:val="000000"/>
                <w:kern w:val="0"/>
                <w:sz w:val="21"/>
                <w:szCs w:val="21"/>
              </w:rPr>
              <w:t>Comprehensive Assessment</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strike/>
                <w:dstrike w:val="0"/>
                <w:color w:val="000000"/>
                <w:kern w:val="0"/>
                <w:sz w:val="21"/>
                <w:szCs w:val="21"/>
              </w:rPr>
            </w:pPr>
            <w:r>
              <w:rPr>
                <w:rFonts w:hint="default" w:ascii="Times New Roman" w:hAnsi="Times New Roman" w:cs="Times New Roman"/>
                <w:strike/>
                <w:dstrike w:val="0"/>
                <w:color w:val="000000"/>
                <w:kern w:val="0"/>
                <w:sz w:val="21"/>
                <w:szCs w:val="21"/>
              </w:rPr>
              <w:t>4</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dstrike w:val="0"/>
                <w:color w:val="000000"/>
                <w:kern w:val="0"/>
                <w:sz w:val="21"/>
                <w:szCs w:val="21"/>
              </w:rPr>
            </w:pPr>
            <w:r>
              <w:rPr>
                <w:rFonts w:hint="default" w:ascii="Times New Roman" w:hAnsi="Times New Roman" w:cs="Times New Roman"/>
                <w:strike w:val="0"/>
                <w:dstrike w:val="0"/>
                <w:color w:val="000000"/>
                <w:kern w:val="0"/>
                <w:sz w:val="21"/>
                <w:szCs w:val="21"/>
              </w:rPr>
              <w:t xml:space="preserve">Use communication skills to show concern for the patient, encouraging them to accurately describe the nature, duration, intensity, and factors affecting their fatigue, pain, and sleep </w:t>
            </w:r>
            <w:r>
              <w:rPr>
                <w:rFonts w:hint="eastAsia" w:cs="Times New Roman"/>
                <w:strike w:val="0"/>
                <w:dstrike w:val="0"/>
                <w:color w:val="000000"/>
                <w:kern w:val="0"/>
                <w:sz w:val="21"/>
                <w:szCs w:val="21"/>
                <w:lang w:eastAsia="zh-CN"/>
              </w:rPr>
              <w:t>disturbance</w:t>
            </w:r>
            <w:r>
              <w:rPr>
                <w:rFonts w:hint="default" w:ascii="Times New Roman" w:hAnsi="Times New Roman" w:cs="Times New Roman"/>
                <w:strike w:val="0"/>
                <w:dstrike w:val="0"/>
                <w:color w:val="000000"/>
                <w:kern w:val="0"/>
                <w:sz w:val="21"/>
                <w:szCs w:val="21"/>
              </w:rPr>
              <w:t>. This includes past comorbidities, factors influencing symptom severity, and nutritional issues. Carefully observe the patient's physical expressions, such as facial expressions, body posture, and forced positions, to accurately and scientifically assess the symptoms. Regularly measure the patient using the Brief Fatigue Inventory (BFI), Brief Pain Inventory (BPI), and Pittsburgh Sleep Quality Index (PSQI) scales.</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strike w:val="0"/>
                <w:dstrike w:val="0"/>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strike/>
                <w:dstrike w:val="0"/>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val="0"/>
                <w:dstrike w:val="0"/>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val="0"/>
                <w:dstrike w:val="0"/>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clinical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020" w:hRule="atLeast"/>
        </w:trPr>
        <w:tc>
          <w:tcPr>
            <w:tcW w:w="1338"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strike/>
                <w:dstrike w:val="0"/>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strike w:val="0"/>
                <w:dstrike w:val="0"/>
                <w:color w:val="000000"/>
                <w:kern w:val="0"/>
                <w:sz w:val="21"/>
                <w:szCs w:val="21"/>
              </w:rPr>
            </w:pPr>
            <w:r>
              <w:rPr>
                <w:rFonts w:hint="default" w:ascii="Times New Roman" w:hAnsi="Times New Roman" w:cs="Times New Roman"/>
                <w:strike w:val="0"/>
                <w:dstrike w:val="0"/>
                <w:color w:val="000000"/>
                <w:kern w:val="0"/>
                <w:sz w:val="21"/>
                <w:szCs w:val="21"/>
              </w:rPr>
              <w:t>5</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val="0"/>
                <w:dstrike w:val="0"/>
                <w:color w:val="000000"/>
                <w:kern w:val="0"/>
                <w:sz w:val="21"/>
                <w:szCs w:val="21"/>
              </w:rPr>
            </w:pPr>
            <w:r>
              <w:rPr>
                <w:rFonts w:hint="default" w:ascii="Times New Roman" w:hAnsi="Times New Roman" w:cs="Times New Roman"/>
                <w:strike w:val="0"/>
                <w:dstrike w:val="0"/>
                <w:color w:val="000000"/>
                <w:kern w:val="0"/>
                <w:sz w:val="21"/>
                <w:szCs w:val="21"/>
              </w:rPr>
              <w:t>Discuss the patient's condition with both the patient and their family, assess the patient's literacy skills, understand the patient's and family's level of understanding of the illness and their knowledge needs, evaluate the patient's emotional state and social support situation; ascertain the patient's medical history, tumor classification and staging, presence of metastasis, and assess the patient's expected level of prognosis.</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strike/>
                <w:dstrike w:val="0"/>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strike w:val="0"/>
                <w:dstrike w:val="0"/>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val="0"/>
                <w:dstrike w:val="0"/>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strike w:val="0"/>
                <w:dstrike w:val="0"/>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bl>
    <w:p/>
    <w:p/>
    <w:p/>
    <w:tbl>
      <w:tblPr>
        <w:tblStyle w:val="7"/>
        <w:tblW w:w="14199" w:type="dxa"/>
        <w:tblInd w:w="113" w:type="dxa"/>
        <w:tblLayout w:type="fixed"/>
        <w:tblCellMar>
          <w:top w:w="0" w:type="dxa"/>
          <w:left w:w="108" w:type="dxa"/>
          <w:bottom w:w="0" w:type="dxa"/>
          <w:right w:w="108" w:type="dxa"/>
        </w:tblCellMar>
      </w:tblPr>
      <w:tblGrid>
        <w:gridCol w:w="1338"/>
        <w:gridCol w:w="1701"/>
        <w:gridCol w:w="527"/>
        <w:gridCol w:w="5316"/>
        <w:gridCol w:w="5317"/>
      </w:tblGrid>
      <w:tr>
        <w:tblPrEx>
          <w:tblCellMar>
            <w:top w:w="0" w:type="dxa"/>
            <w:left w:w="108" w:type="dxa"/>
            <w:bottom w:w="0" w:type="dxa"/>
            <w:right w:w="108" w:type="dxa"/>
          </w:tblCellMar>
        </w:tblPrEx>
        <w:trPr>
          <w:trHeight w:val="1417"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In</w:t>
            </w:r>
            <w:r>
              <w:rPr>
                <w:rFonts w:hint="eastAsia" w:cs="Times New Roman"/>
                <w:b/>
                <w:bCs/>
                <w:color w:val="000000"/>
                <w:kern w:val="0"/>
                <w:sz w:val="21"/>
                <w:szCs w:val="21"/>
                <w:lang w:val="en-US" w:eastAsia="zh-CN"/>
              </w:rPr>
              <w:t xml:space="preserve"> </w:t>
            </w:r>
            <w:r>
              <w:rPr>
                <w:rFonts w:hint="default" w:ascii="Times New Roman" w:hAnsi="Times New Roman" w:cs="Times New Roman"/>
                <w:b/>
                <w:bCs/>
                <w:color w:val="000000"/>
                <w:kern w:val="0"/>
                <w:sz w:val="21"/>
                <w:szCs w:val="21"/>
              </w:rPr>
              <w:t>the hospital</w:t>
            </w:r>
            <w:r>
              <w:rPr>
                <w:rFonts w:hint="eastAsia" w:cs="Times New Roman"/>
                <w:b/>
                <w:bCs/>
                <w:color w:val="000000"/>
                <w:kern w:val="0"/>
                <w:sz w:val="21"/>
                <w:szCs w:val="21"/>
                <w:lang w:val="en-US" w:eastAsia="zh-CN"/>
              </w:rPr>
              <w:t xml:space="preserve"> </w:t>
            </w:r>
            <w:r>
              <w:rPr>
                <w:rFonts w:hint="default" w:ascii="Times New Roman" w:hAnsi="Times New Roman" w:cs="Times New Roman"/>
                <w:b/>
                <w:bCs/>
                <w:color w:val="000000"/>
                <w:kern w:val="0"/>
                <w:sz w:val="21"/>
                <w:szCs w:val="21"/>
              </w:rPr>
              <w:t>/</w:t>
            </w:r>
            <w:r>
              <w:rPr>
                <w:rFonts w:hint="eastAsia" w:cs="Times New Roman"/>
                <w:b/>
                <w:bCs/>
                <w:color w:val="000000"/>
                <w:kern w:val="0"/>
                <w:sz w:val="21"/>
                <w:szCs w:val="21"/>
                <w:lang w:val="en-US" w:eastAsia="zh-CN"/>
              </w:rPr>
              <w:t xml:space="preserve"> </w:t>
            </w:r>
            <w:r>
              <w:rPr>
                <w:rFonts w:hint="default" w:ascii="Times New Roman" w:hAnsi="Times New Roman" w:cs="Times New Roman"/>
                <w:b/>
                <w:bCs/>
                <w:color w:val="000000"/>
                <w:kern w:val="0"/>
                <w:sz w:val="21"/>
                <w:szCs w:val="21"/>
              </w:rPr>
              <w:t>at home</w:t>
            </w: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 xml:space="preserve">Health </w:t>
            </w:r>
            <w:r>
              <w:rPr>
                <w:rFonts w:hint="eastAsia" w:cs="Times New Roman"/>
                <w:b/>
                <w:bCs/>
                <w:color w:val="000000"/>
                <w:kern w:val="0"/>
                <w:sz w:val="21"/>
                <w:szCs w:val="21"/>
                <w:lang w:val="en-US" w:eastAsia="zh-CN"/>
              </w:rPr>
              <w:t>E</w:t>
            </w:r>
            <w:r>
              <w:rPr>
                <w:rFonts w:hint="default" w:ascii="Times New Roman" w:hAnsi="Times New Roman" w:cs="Times New Roman"/>
                <w:b/>
                <w:bCs/>
                <w:color w:val="000000"/>
                <w:kern w:val="0"/>
                <w:sz w:val="21"/>
                <w:szCs w:val="21"/>
              </w:rPr>
              <w:t>ducation</w:t>
            </w:r>
          </w:p>
          <w:p>
            <w:pPr>
              <w:widowControl/>
              <w:spacing w:line="240" w:lineRule="auto"/>
              <w:jc w:val="both"/>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6</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 xml:space="preserve">Invite patients to join the "Cheer for AI" WeChat group 2, distribute fatigue-pain-sleep </w:t>
            </w:r>
            <w:r>
              <w:rPr>
                <w:rFonts w:hint="eastAsia" w:cs="Times New Roman"/>
                <w:color w:val="000000"/>
                <w:kern w:val="0"/>
                <w:sz w:val="21"/>
                <w:szCs w:val="21"/>
                <w:lang w:eastAsia="zh-CN"/>
              </w:rPr>
              <w:t>disturbance</w:t>
            </w:r>
            <w:r>
              <w:rPr>
                <w:rFonts w:hint="default" w:ascii="Times New Roman" w:hAnsi="Times New Roman" w:cs="Times New Roman"/>
                <w:color w:val="000000"/>
                <w:kern w:val="0"/>
                <w:sz w:val="21"/>
                <w:szCs w:val="21"/>
              </w:rPr>
              <w:t xml:space="preserve"> </w:t>
            </w:r>
            <w:r>
              <w:rPr>
                <w:rFonts w:hint="eastAsia" w:cs="Times New Roman"/>
                <w:color w:val="000000"/>
                <w:kern w:val="0"/>
                <w:sz w:val="21"/>
                <w:szCs w:val="21"/>
                <w:lang w:eastAsia="zh-CN"/>
              </w:rPr>
              <w:t>core</w:t>
            </w:r>
            <w:r>
              <w:rPr>
                <w:rFonts w:hint="default" w:ascii="Times New Roman" w:hAnsi="Times New Roman" w:cs="Times New Roman"/>
                <w:color w:val="000000"/>
                <w:kern w:val="0"/>
                <w:sz w:val="21"/>
                <w:szCs w:val="21"/>
              </w:rPr>
              <w:t xml:space="preserve"> symptom cluster management handbooks to patients, jointly develop fatigue management plans with patients based on their knowledge and behavior regarding fatigue management, help patients recognize the adverse habits and hazards in their daily lives, explain the importance of lifestyle changes to patients, and collaborate with them to develop plans to eliminate unhealthy habits and incorporate healthy diet and exercise into their lives. </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nil"/>
            </w:tcBorders>
            <w:shd w:val="clear" w:color="auto" w:fill="auto"/>
            <w:vAlign w:val="center"/>
          </w:tcPr>
          <w:p>
            <w:pPr>
              <w:widowControl/>
              <w:spacing w:line="240" w:lineRule="auto"/>
              <w:jc w:val="both"/>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1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7</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 xml:space="preserve">Provide patients with easy-to-understand education of fatigue, pain, and sleep </w:t>
            </w:r>
            <w:r>
              <w:rPr>
                <w:rFonts w:hint="eastAsia" w:cs="Times New Roman"/>
                <w:color w:val="000000"/>
                <w:kern w:val="0"/>
                <w:sz w:val="21"/>
                <w:szCs w:val="21"/>
                <w:lang w:eastAsia="zh-CN"/>
              </w:rPr>
              <w:t>disturbance</w:t>
            </w:r>
            <w:r>
              <w:rPr>
                <w:rFonts w:hint="default" w:ascii="Times New Roman" w:hAnsi="Times New Roman" w:cs="Times New Roman"/>
                <w:color w:val="000000"/>
                <w:kern w:val="0"/>
                <w:sz w:val="21"/>
                <w:szCs w:val="21"/>
              </w:rPr>
              <w:t xml:space="preserve"> symptoms. This can involve filming relevant knowledge into videos or creating pamphlets for patients to review. If a patient can correctly answer the researcher's questions, it indicates that they have understood the educational content. Otherwise, areas of misunderstanding should be explained again to ensure that each patient correctly understands lung cancer and its treatment. This helps alleviate excessive anxiety, depression, and other emotions stemming from a lack of understanding of the disease.</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30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90"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 xml:space="preserve">Fatigue </w:t>
            </w: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ntervention</w:t>
            </w: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jc w:val="center"/>
              <w:rPr>
                <w:rFonts w:hint="default" w:ascii="Times New Roman" w:hAnsi="Times New Roman" w:cs="Times New Roman"/>
                <w:b/>
                <w:bCs/>
                <w:color w:val="000000"/>
                <w:kern w:val="0"/>
                <w:sz w:val="21"/>
                <w:szCs w:val="21"/>
              </w:rPr>
            </w:pPr>
          </w:p>
          <w:p>
            <w:pPr>
              <w:widowControl/>
              <w:spacing w:line="240" w:lineRule="auto"/>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8</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Inform patients about the efficacy of the Baduanjin Qigong in managing fatigue. When a patient's BFI score is ≤7, exercise is recommended. Researchers lead the practice of the baduanjin daily at 20:30 in the oncology department.</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7"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9</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After exercise training, patients can listen to relaxing music recommended by researchers or choose soothing music according to their preferences for a 10-minute relaxation exercise.</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83"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rPr>
              <w:t>1</w:t>
            </w:r>
            <w:r>
              <w:rPr>
                <w:rFonts w:hint="default" w:ascii="Times New Roman" w:hAnsi="Times New Roman" w:cs="Times New Roman"/>
                <w:color w:val="000000"/>
                <w:kern w:val="0"/>
                <w:sz w:val="21"/>
                <w:szCs w:val="21"/>
                <w:lang w:val="en-US" w:eastAsia="zh-CN"/>
              </w:rPr>
              <w:t>0</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If patients are unable to tolerate regular Baduanjin training, they will practice the simplified seated version of Baduanjin or Sun Simiao's health exercises. These exercises include: frequent combing of the hair, regular eye movements, teeth tapping, saliva rinsing, ear drumming, face washing, head shaking, waist swaying, abdominal rubbing, contracting the perineum, knee twisting, regular walking, and foot rubbing.</w:t>
            </w:r>
          </w:p>
        </w:tc>
      </w:tr>
      <w:tr>
        <w:tblPrEx>
          <w:tblCellMar>
            <w:top w:w="0" w:type="dxa"/>
            <w:left w:w="108" w:type="dxa"/>
            <w:bottom w:w="0" w:type="dxa"/>
            <w:right w:w="108" w:type="dxa"/>
          </w:tblCellMar>
        </w:tblPrEx>
        <w:trPr>
          <w:trHeight w:val="300" w:hRule="atLeast"/>
        </w:trPr>
        <w:tc>
          <w:tcPr>
            <w:tcW w:w="1338" w:type="dxa"/>
            <w:vMerge w:val="continue"/>
            <w:tcBorders>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737"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rPr>
              <w:t>1</w:t>
            </w:r>
            <w:r>
              <w:rPr>
                <w:rFonts w:hint="default" w:ascii="Times New Roman" w:hAnsi="Times New Roman" w:cs="Times New Roman"/>
                <w:color w:val="000000"/>
                <w:kern w:val="0"/>
                <w:sz w:val="21"/>
                <w:szCs w:val="21"/>
                <w:lang w:val="en-US" w:eastAsia="zh-CN"/>
              </w:rPr>
              <w:t>1</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Exercise should be scheduled 1 hour after breakfast or dinner, with each session lasting 30 to 40 minutes. If patients perform the Baduanjin / health exercises at home 1 to 2 times daily after returning home, and the intervention will last for 12 weeks. If patients feel uncomfortable during exercise, they can consult researchers via WeChat group/phone.</w:t>
            </w:r>
          </w:p>
        </w:tc>
      </w:tr>
      <w:tr>
        <w:tblPrEx>
          <w:tblCellMar>
            <w:top w:w="0" w:type="dxa"/>
            <w:left w:w="108" w:type="dxa"/>
            <w:bottom w:w="0" w:type="dxa"/>
            <w:right w:w="108" w:type="dxa"/>
          </w:tblCellMar>
        </w:tblPrEx>
        <w:trPr>
          <w:trHeight w:val="300"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850"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rPr>
              <w:t>1</w:t>
            </w:r>
            <w:r>
              <w:rPr>
                <w:rFonts w:hint="default" w:ascii="Times New Roman" w:hAnsi="Times New Roman" w:cs="Times New Roman"/>
                <w:color w:val="000000"/>
                <w:kern w:val="0"/>
                <w:sz w:val="21"/>
                <w:szCs w:val="21"/>
                <w:lang w:val="en-US" w:eastAsia="zh-CN"/>
              </w:rPr>
              <w:t>2</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During the patient's hospital stay, provide guidance on the Baduanjin or health exercises 1 to 2 times. Teach patients and their primary caregivers how to measure their pulse. If symptoms such as chest tightness, nausea, vomiting, lower limb pain, or irregular pulse occur within 24 hours after exercise, they should cease activity. Patients should refrain from exercising when experiencing a fever.</w:t>
            </w:r>
          </w:p>
        </w:tc>
      </w:tr>
      <w:tr>
        <w:tblPrEx>
          <w:tblCellMar>
            <w:top w:w="0" w:type="dxa"/>
            <w:left w:w="108" w:type="dxa"/>
            <w:bottom w:w="0" w:type="dxa"/>
            <w:right w:w="108" w:type="dxa"/>
          </w:tblCellMar>
        </w:tblPrEx>
        <w:trPr>
          <w:trHeight w:val="300"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967"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rPr>
              <w:t>1</w:t>
            </w:r>
            <w:r>
              <w:rPr>
                <w:rFonts w:hint="default" w:ascii="Times New Roman" w:hAnsi="Times New Roman" w:cs="Times New Roman"/>
                <w:color w:val="000000"/>
                <w:kern w:val="0"/>
                <w:sz w:val="21"/>
                <w:szCs w:val="21"/>
                <w:lang w:val="en-US" w:eastAsia="zh-CN"/>
              </w:rPr>
              <w:t>3</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Auricular Acupressure can be simultaneously used to alleviate patient fatigue. Acupoints selection includes: Sympathetic (at the junction of the lower border of the earlobe and the inner side of the helix), Shenmen (one-third of the triangular fossa, at the intersection of the upper and lower borders of the helix), Subcortex (inner side of the antitragus), Lung (upper, lower, and outer sides of the heart point), and Bronchus (central part of the ear fossa). Specific procedure involves inspecting the skin of the ear auricle, using a probe to locate the "qi arrival" reaction point, disinfecting the skin, applying adhesive tape with Vaccaria seeds onto the ear acupoints, instructing patients to press the points 3 to 5 times daily, pressing each point for 30 to 60 seconds each time, changing the tape every 3 days, and alternating between left and right ears. Patients should feel a sense of warmth and soreness in the ears. Patients should be advised not to rub the ear during pressing, and if loosening, displacement, redness, swelling, or allergies occur, the ear patches should be removed.</w:t>
            </w:r>
          </w:p>
        </w:tc>
      </w:tr>
      <w:tr>
        <w:tblPrEx>
          <w:tblCellMar>
            <w:top w:w="0" w:type="dxa"/>
            <w:left w:w="108" w:type="dxa"/>
            <w:bottom w:w="0" w:type="dxa"/>
            <w:right w:w="108" w:type="dxa"/>
          </w:tblCellMar>
        </w:tblPrEx>
        <w:trPr>
          <w:trHeight w:val="300" w:hRule="atLeast"/>
        </w:trPr>
        <w:tc>
          <w:tcPr>
            <w:tcW w:w="1338" w:type="dxa"/>
            <w:vMerge w:val="continue"/>
            <w:tcBorders>
              <w:top w:val="single" w:color="auto" w:sz="4" w:space="0"/>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300" w:hRule="atLeast"/>
        </w:trPr>
        <w:tc>
          <w:tcPr>
            <w:tcW w:w="14199" w:type="dxa"/>
            <w:gridSpan w:val="5"/>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300" w:hRule="atLeast"/>
        </w:trPr>
        <w:tc>
          <w:tcPr>
            <w:tcW w:w="14199" w:type="dxa"/>
            <w:gridSpan w:val="5"/>
            <w:tcBorders>
              <w:top w:val="single" w:color="auto" w:sz="4" w:space="0"/>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bl>
    <w:p/>
    <w:p/>
    <w:p/>
    <w:tbl>
      <w:tblPr>
        <w:tblStyle w:val="7"/>
        <w:tblW w:w="14199" w:type="dxa"/>
        <w:tblInd w:w="113" w:type="dxa"/>
        <w:tblLayout w:type="fixed"/>
        <w:tblCellMar>
          <w:top w:w="0" w:type="dxa"/>
          <w:left w:w="108" w:type="dxa"/>
          <w:bottom w:w="0" w:type="dxa"/>
          <w:right w:w="108" w:type="dxa"/>
        </w:tblCellMar>
      </w:tblPr>
      <w:tblGrid>
        <w:gridCol w:w="1338"/>
        <w:gridCol w:w="1701"/>
        <w:gridCol w:w="527"/>
        <w:gridCol w:w="5316"/>
        <w:gridCol w:w="5317"/>
      </w:tblGrid>
      <w:tr>
        <w:tblPrEx>
          <w:tblCellMar>
            <w:top w:w="0" w:type="dxa"/>
            <w:left w:w="108" w:type="dxa"/>
            <w:bottom w:w="0" w:type="dxa"/>
            <w:right w:w="108" w:type="dxa"/>
          </w:tblCellMar>
        </w:tblPrEx>
        <w:trPr>
          <w:trHeight w:val="737" w:hRule="atLeast"/>
        </w:trPr>
        <w:tc>
          <w:tcPr>
            <w:tcW w:w="1338" w:type="dxa"/>
            <w:vMerge w:val="restart"/>
            <w:tcBorders>
              <w:top w:val="single" w:color="auto" w:sz="4" w:space="0"/>
              <w:left w:val="single" w:color="000000" w:sz="4" w:space="0"/>
              <w:right w:val="nil"/>
            </w:tcBorders>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auto" w:sz="4" w:space="0"/>
              <w:left w:val="single" w:color="000000" w:sz="4" w:space="0"/>
              <w:right w:val="single" w:color="000000" w:sz="4" w:space="0"/>
            </w:tcBorders>
            <w:vAlign w:val="center"/>
          </w:tcPr>
          <w:p>
            <w:pPr>
              <w:widowControl/>
              <w:spacing w:line="240" w:lineRule="auto"/>
              <w:jc w:val="center"/>
              <w:rPr>
                <w:rFonts w:hint="eastAsia" w:cs="Times New Roman"/>
                <w:b/>
                <w:bCs/>
                <w:color w:val="000000"/>
                <w:kern w:val="0"/>
                <w:sz w:val="21"/>
                <w:szCs w:val="21"/>
                <w:lang w:val="en-US" w:eastAsia="zh-CN"/>
              </w:rPr>
            </w:pPr>
            <w:r>
              <w:rPr>
                <w:rFonts w:hint="eastAsia" w:cs="Times New Roman"/>
                <w:b/>
                <w:bCs/>
                <w:color w:val="000000"/>
                <w:kern w:val="0"/>
                <w:sz w:val="21"/>
                <w:szCs w:val="21"/>
                <w:lang w:val="en-US" w:eastAsia="zh-CN"/>
              </w:rPr>
              <w:t>Pain</w:t>
            </w:r>
          </w:p>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ntervention</w:t>
            </w:r>
          </w:p>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14</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When patients experience pain, they often sweat profusely, feel physically and mentally exhausted, and experience a decline in self-care ability. It is important to promptly change their damp clothes, and provide comprehensive oral care, skin care, and dietary care. Patients should be taught how to divert their attention, such as listening to their favorite music, watching interesting videos, or chatting with others.</w:t>
            </w:r>
          </w:p>
        </w:tc>
      </w:tr>
      <w:tr>
        <w:tblPrEx>
          <w:tblCellMar>
            <w:top w:w="0" w:type="dxa"/>
            <w:left w:w="108" w:type="dxa"/>
            <w:bottom w:w="0" w:type="dxa"/>
            <w:right w:w="108" w:type="dxa"/>
          </w:tblCellMar>
        </w:tblPrEx>
        <w:trPr>
          <w:trHeight w:val="57"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454"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15</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Routine pain medication may potentially lead to constipation in patients. Advise patients that when necessary, they can use glycerin suppositories and lactulose to relieve constipation, thereby avoiding exacerbation of pain.</w:t>
            </w:r>
          </w:p>
        </w:tc>
      </w:tr>
      <w:tr>
        <w:tblPrEx>
          <w:tblCellMar>
            <w:top w:w="0" w:type="dxa"/>
            <w:left w:w="108" w:type="dxa"/>
            <w:bottom w:w="0" w:type="dxa"/>
            <w:right w:w="108" w:type="dxa"/>
          </w:tblCellMar>
        </w:tblPrEx>
        <w:trPr>
          <w:trHeight w:val="17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85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16</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When experiencing bodily pain, patients can be advised to press the Ashi acupoint. They should gently press the most painful point on the opposite thumb, with pressure sufficient to turn the color of the nail from red to white during pressing. This pressure should be maintained for 10 to 15 seconds, repeated 3 to 5 times. Additionally, pain relief can be achieved through acupoint application patches and wrist-ankle acupuncture.</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83"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17</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Distribute pain diaries to patients and educate them on how to use them effectively to facilitate communication between patients and healthcare providers.</w:t>
            </w:r>
          </w:p>
        </w:tc>
      </w:tr>
      <w:tr>
        <w:tblPrEx>
          <w:tblCellMar>
            <w:top w:w="0" w:type="dxa"/>
            <w:left w:w="108" w:type="dxa"/>
            <w:bottom w:w="0" w:type="dxa"/>
            <w:right w:w="108" w:type="dxa"/>
          </w:tblCellMar>
        </w:tblPrEx>
        <w:trPr>
          <w:trHeight w:val="283" w:hRule="atLeast"/>
        </w:trPr>
        <w:tc>
          <w:tcPr>
            <w:tcW w:w="1338" w:type="dxa"/>
            <w:vMerge w:val="continue"/>
            <w:tcBorders>
              <w:left w:val="single" w:color="000000" w:sz="4" w:space="0"/>
              <w:bottom w:val="single" w:color="auto"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83" w:hRule="atLeast"/>
        </w:trPr>
        <w:tc>
          <w:tcPr>
            <w:tcW w:w="14199" w:type="dxa"/>
            <w:gridSpan w:val="5"/>
            <w:tcBorders>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283" w:hRule="atLeast"/>
        </w:trPr>
        <w:tc>
          <w:tcPr>
            <w:tcW w:w="14199" w:type="dxa"/>
            <w:gridSpan w:val="5"/>
            <w:tcBorders>
              <w:left w:val="single" w:color="000000" w:sz="4" w:space="0"/>
              <w:bottom w:val="single" w:color="auto" w:sz="4" w:space="0"/>
              <w:right w:val="single" w:color="000000" w:sz="4" w:space="0"/>
            </w:tcBorders>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2721" w:hRule="atLeast"/>
        </w:trPr>
        <w:tc>
          <w:tcPr>
            <w:tcW w:w="1338" w:type="dxa"/>
            <w:vMerge w:val="restart"/>
            <w:tcBorders>
              <w:top w:val="single" w:color="auto" w:sz="4" w:space="0"/>
              <w:left w:val="single" w:color="000000" w:sz="4" w:space="0"/>
              <w:right w:val="nil"/>
            </w:tcBorders>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auto" w:sz="4" w:space="0"/>
              <w:left w:val="single" w:color="000000" w:sz="4" w:space="0"/>
              <w:right w:val="single" w:color="000000" w:sz="4" w:space="0"/>
            </w:tcBorders>
            <w:vAlign w:val="center"/>
          </w:tcPr>
          <w:p>
            <w:pPr>
              <w:widowControl/>
              <w:spacing w:line="240" w:lineRule="auto"/>
              <w:jc w:val="center"/>
              <w:rPr>
                <w:rFonts w:hint="eastAsia" w:cs="Times New Roman"/>
                <w:b/>
                <w:bCs/>
                <w:color w:val="000000"/>
                <w:kern w:val="0"/>
                <w:sz w:val="21"/>
                <w:szCs w:val="21"/>
                <w:lang w:val="en-US" w:eastAsia="zh-CN"/>
              </w:rPr>
            </w:pPr>
            <w:r>
              <w:rPr>
                <w:rFonts w:hint="eastAsia" w:cs="Times New Roman"/>
                <w:b/>
                <w:bCs/>
                <w:color w:val="000000"/>
                <w:kern w:val="0"/>
                <w:sz w:val="21"/>
                <w:szCs w:val="21"/>
                <w:lang w:val="en-US" w:eastAsia="zh-CN"/>
              </w:rPr>
              <w:t>Sleep</w:t>
            </w:r>
          </w:p>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ntervention</w:t>
            </w:r>
          </w:p>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18</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Sleep Hygiene Education:</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 Advise patients to use the bed only for rest, avoiding work and eating in bed.</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2. Guide patients to maintain a regular sleep and wake schedule daily.</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3. Inform patients to limit daytime naps to no more than 30 minutes to prevent affecting nighttime sleep quality.</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4. Suggest patients get adequate light exposure during the day and reduce exposure to bright lights (such as computer and phone screens, and light sources close to the eyes) before bedtime and at night.</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5. Provide a light dinner and remind patients to avoid caffeine-containing beverages, strong tea, or smoking before bedtime.</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6. Advise patients to manage their emotions and avoid excessive nighttime excitement that may hinder sleep. Encourage engaging in relaxing activities before bed, such as meditation, mindfulness, stretching, or reading.</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7. Recommend listening to soothing music, soaking feet in warm water, practicing the 4-7-8 breathing technique, or using the butterfly hug method to aid sleep.</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8. Restrict fluid intake three hours before bedtime to prevent nighttime awakenings and avoid moderate to vigorous physical activity.</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9. If patients wake up in the middle of the night, advise them not to check the time. If unable to fall back asleep within about 30 minutes, suggest leaving the bedroom and engaging in low-stimulation activities, returning to bed only when feeling sleepy.</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34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19</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Alpha Wave Music for Sleep Assistance: If patients experience insomnia, they can listen to the audio files shared in the WeChat group. This may help stimulate the secretion of endorphins in the brain and improve sleep quality.</w:t>
            </w:r>
          </w:p>
        </w:tc>
      </w:tr>
      <w:tr>
        <w:tblPrEx>
          <w:tblCellMar>
            <w:top w:w="0" w:type="dxa"/>
            <w:left w:w="108" w:type="dxa"/>
            <w:bottom w:w="0" w:type="dxa"/>
            <w:right w:w="108" w:type="dxa"/>
          </w:tblCellMar>
        </w:tblPrEx>
        <w:trPr>
          <w:trHeight w:val="57" w:hRule="atLeast"/>
        </w:trPr>
        <w:tc>
          <w:tcPr>
            <w:tcW w:w="1338" w:type="dxa"/>
            <w:vMerge w:val="continue"/>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227"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bl>
    <w:p/>
    <w:p/>
    <w:p/>
    <w:p/>
    <w:tbl>
      <w:tblPr>
        <w:tblStyle w:val="7"/>
        <w:tblW w:w="14199" w:type="dxa"/>
        <w:tblInd w:w="113" w:type="dxa"/>
        <w:tblLayout w:type="fixed"/>
        <w:tblCellMar>
          <w:top w:w="0" w:type="dxa"/>
          <w:left w:w="108" w:type="dxa"/>
          <w:bottom w:w="0" w:type="dxa"/>
          <w:right w:w="108" w:type="dxa"/>
        </w:tblCellMar>
      </w:tblPr>
      <w:tblGrid>
        <w:gridCol w:w="1338"/>
        <w:gridCol w:w="1701"/>
        <w:gridCol w:w="527"/>
        <w:gridCol w:w="5316"/>
        <w:gridCol w:w="5317"/>
      </w:tblGrid>
      <w:tr>
        <w:trPr>
          <w:trHeight w:val="907"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Acupressure</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Before Acupressure, instruct the patient to empty the bladder. Acupressure the acupoints such as Hegu, Yangchi, Neiguan, Zusanli, Yongquan, and Shangxing using fingertip pressure for 3 to 5 minutes per point, twice a day.</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bottom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13" w:hRule="atLeast"/>
        </w:trPr>
        <w:tc>
          <w:tcPr>
            <w:tcW w:w="14199" w:type="dxa"/>
            <w:gridSpan w:val="5"/>
            <w:tcBorders>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13" w:hRule="atLeast"/>
        </w:trPr>
        <w:tc>
          <w:tcPr>
            <w:tcW w:w="14199" w:type="dxa"/>
            <w:gridSpan w:val="5"/>
            <w:tcBorders>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928" w:hRule="atLeast"/>
        </w:trPr>
        <w:tc>
          <w:tcPr>
            <w:tcW w:w="1338" w:type="dxa"/>
            <w:vMerge w:val="restart"/>
            <w:tcBorders>
              <w:top w:val="single" w:color="000000" w:sz="4" w:space="0"/>
              <w:left w:val="single" w:color="000000" w:sz="4" w:space="0"/>
              <w:right w:val="nil"/>
            </w:tcBorders>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Dietary Care</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21</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Inform patients about the four major dietary principles: food diversity, reasonable variety of staple foods, balanced proportion of fruits and vegetables, and safe selection of oils. Inform patients that they can have additional meals as needed during treatment, and provide recommendations for supplementary foods. Emphasize the importance of a balanced diet. While ensuring that patients have adequate nutrition, choose easily digestible semi-liquid foods as much as possible, eat small meals frequently, avoid spicy, fried, and pickled foods, and advise patients to supplement high-quality protein and vitamins, quit smoking and alcohol, and patients with a history of severe vomiting should eat less on the day of chemotherapy.</w:t>
            </w:r>
          </w:p>
        </w:tc>
      </w:tr>
      <w:tr>
        <w:tblPrEx>
          <w:tblCellMar>
            <w:top w:w="0" w:type="dxa"/>
            <w:left w:w="108" w:type="dxa"/>
            <w:bottom w:w="0" w:type="dxa"/>
            <w:right w:w="108" w:type="dxa"/>
          </w:tblCellMar>
        </w:tblPrEx>
        <w:trPr>
          <w:trHeight w:val="308"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984" w:hRule="atLeast"/>
        </w:trPr>
        <w:tc>
          <w:tcPr>
            <w:tcW w:w="1338" w:type="dxa"/>
            <w:vMerge w:val="continue"/>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22</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Calculate the patient's daily energy requirements according to the formula: 25 kcal/(kg·d) for bedridden patients, 30 kcal/(kg·d) for non-bedridden patients, protein intake of 1.2 to 2 g/(kg·d). Calculate the total daily energy as: Standard body weight × Physical activity coefficient. Recommend the following proportions for patient intake: carbohydrates 30-50%, protein 15-30%, fat 25-40%. Distribute the total daily energy as: breakfast 30%, lunch 40%, dinner 30%. If the patient still does not intake enough energy orally after dietary guidance, consult with the physician to provide oral nutritional supplements (ONS) or supplementary enteral nutrition. For patients unable to eat, consult with the physician to provide parenteral nutrition after discussion.</w:t>
            </w:r>
          </w:p>
        </w:tc>
      </w:tr>
      <w:tr>
        <w:tblPrEx>
          <w:tblCellMar>
            <w:top w:w="0" w:type="dxa"/>
            <w:left w:w="108" w:type="dxa"/>
            <w:bottom w:w="0" w:type="dxa"/>
            <w:right w:w="108" w:type="dxa"/>
          </w:tblCellMar>
        </w:tblPrEx>
        <w:trPr>
          <w:trHeight w:val="113" w:hRule="atLeast"/>
        </w:trPr>
        <w:tc>
          <w:tcPr>
            <w:tcW w:w="1338" w:type="dxa"/>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23"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531"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cs="Times New Roman"/>
                <w:b/>
                <w:bCs/>
                <w:color w:val="000000"/>
                <w:kern w:val="0"/>
                <w:sz w:val="21"/>
                <w:szCs w:val="21"/>
                <w:lang w:val="en-US" w:eastAsia="zh-CN"/>
              </w:rPr>
              <w:t>Psychological Care</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23</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Psychological Counseling Based on Different Stages of Treatment:</w:t>
            </w:r>
          </w:p>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Upon admission, the primary focus is on calming the patient's anxiety. At this stage, efforts should be made to help the patient become familiar with the hospital environment, treatment methods, and medical staff, thereby reducing feelings of unfamiliarity. During the treatment phase, reinforce encouraging language in daily interactions to boost the patient's confidence in facing the illness and treatment. Additionally, communicate with family members to seek their understanding and support.</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lang w:val="en-US" w:eastAsia="zh-CN"/>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077"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24</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Patiently listen to the patient's needs, initiate conversations, and communicate actively to understand their thoughts. Address the underlying causes of their concerns with targeted interventions, guiding them to express their true feelings. Provide psychological care services, encouraging patients to maintain a calm and optimistic mindset and to approach each day with energy.</w:t>
            </w:r>
          </w:p>
        </w:tc>
      </w:tr>
      <w:tr>
        <w:tblPrEx>
          <w:tblCellMar>
            <w:top w:w="0" w:type="dxa"/>
            <w:left w:w="108" w:type="dxa"/>
            <w:bottom w:w="0" w:type="dxa"/>
            <w:right w:w="108" w:type="dxa"/>
          </w:tblCellMar>
        </w:tblPrEx>
        <w:trPr>
          <w:trHeight w:val="170"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020"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25</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Anxiety and Fear: Patients' questions and concerns can be addressed through informational brochures or videos, informing them that maintaining a positive attitude has a beneficial effect on recovery. This approach can help alleviate patients' anxiety and fear. If patients are excessively worried, strategies to reduce anxiety can be implemented, such as writing a "to-do list" or designating specific "worry time."</w:t>
            </w:r>
          </w:p>
        </w:tc>
      </w:tr>
      <w:tr>
        <w:tblPrEx>
          <w:tblCellMar>
            <w:top w:w="0" w:type="dxa"/>
            <w:left w:w="108" w:type="dxa"/>
            <w:bottom w:w="0" w:type="dxa"/>
            <w:right w:w="108" w:type="dxa"/>
          </w:tblCellMar>
        </w:tblPrEx>
        <w:trPr>
          <w:trHeight w:val="57"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020"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26</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Pessimism and Despair: Explain the benefits and prognosis of the disease treatment to patients, helping them establish a positive outlook on life. Provide psychological comfort and encouragement, and increase their confidence in treatment by sharing success stories. Additionally, suggest activities such as watching videos or listening to music to distract from pessimistic feelings.</w:t>
            </w:r>
          </w:p>
        </w:tc>
      </w:tr>
      <w:tr>
        <w:tblPrEx>
          <w:tblCellMar>
            <w:top w:w="0" w:type="dxa"/>
            <w:left w:w="108" w:type="dxa"/>
            <w:bottom w:w="0" w:type="dxa"/>
            <w:right w:w="108" w:type="dxa"/>
          </w:tblCellMar>
        </w:tblPrEx>
        <w:trPr>
          <w:trHeight w:val="170"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eastAsia" w:ascii="Times New Roman" w:hAnsi="Times New Roman" w:eastAsia="宋体" w:cs="Times New Roman"/>
                <w:color w:val="000000"/>
                <w:kern w:val="0"/>
                <w:sz w:val="21"/>
                <w:szCs w:val="21"/>
                <w:lang w:eastAsia="zh-CN"/>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eastAsia" w:cs="Times New Roman"/>
                <w:color w:val="000000"/>
                <w:kern w:val="0"/>
                <w:sz w:val="21"/>
                <w:szCs w:val="21"/>
                <w:lang w:eastAsia="zh-CN"/>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020" w:hRule="atLeast"/>
        </w:trPr>
        <w:tc>
          <w:tcPr>
            <w:tcW w:w="1338" w:type="dxa"/>
            <w:vMerge w:val="continue"/>
            <w:tcBorders>
              <w:left w:val="single" w:color="000000" w:sz="4" w:space="0"/>
              <w:bottom w:val="single" w:color="auto"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27</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Depression: Encourage patients to engage in social activities to boost their confidence in treatment. Assist patients in gaining understanding and support from their families, further enhancing their confidence in managing the illness. If patients have psychological issues that cannot be resolved by the researchers, promptly involve mental health specialists for intervention and counseling.</w:t>
            </w:r>
          </w:p>
        </w:tc>
      </w:tr>
      <w:tr>
        <w:tblPrEx>
          <w:tblCellMar>
            <w:top w:w="0" w:type="dxa"/>
            <w:left w:w="108" w:type="dxa"/>
            <w:bottom w:w="0" w:type="dxa"/>
            <w:right w:w="108" w:type="dxa"/>
          </w:tblCellMar>
        </w:tblPrEx>
        <w:trPr>
          <w:trHeight w:val="170" w:hRule="atLeast"/>
        </w:trPr>
        <w:tc>
          <w:tcPr>
            <w:tcW w:w="1338" w:type="dxa"/>
            <w:vMerge w:val="continue"/>
            <w:tcBorders>
              <w:top w:val="single" w:color="auto" w:sz="4" w:space="0"/>
              <w:left w:val="single" w:color="000000" w:sz="4" w:space="0"/>
              <w:bottom w:val="single" w:color="auto"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304" w:hRule="atLeast"/>
        </w:trPr>
        <w:tc>
          <w:tcPr>
            <w:tcW w:w="1338" w:type="dxa"/>
            <w:vMerge w:val="continue"/>
            <w:tcBorders>
              <w:top w:val="single" w:color="auto" w:sz="4" w:space="0"/>
              <w:left w:val="single" w:color="000000" w:sz="4" w:space="0"/>
              <w:bottom w:val="single" w:color="auto"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28</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Verbal Encouragement: Researchers should engage in a daily conversation with patients, lasting 15 minutes each time, with a kind and sincere attitude, patiently explaining relevant information. During these conversations, emphasize the use of encouraging phrases like "you can" and "you can do it" to help patients build confidence. Acknowledge their successes promptly and suggest areas for improvement. Provide timely guidance and feedback tailored to each patient's specific situation to reinforce good habits.</w:t>
            </w:r>
          </w:p>
        </w:tc>
      </w:tr>
      <w:tr>
        <w:tblPrEx>
          <w:tblCellMar>
            <w:top w:w="0" w:type="dxa"/>
            <w:left w:w="108" w:type="dxa"/>
            <w:bottom w:w="0" w:type="dxa"/>
            <w:right w:w="108" w:type="dxa"/>
          </w:tblCellMar>
        </w:tblPrEx>
        <w:trPr>
          <w:trHeight w:val="170" w:hRule="atLeast"/>
        </w:trPr>
        <w:tc>
          <w:tcPr>
            <w:tcW w:w="1338" w:type="dxa"/>
            <w:vMerge w:val="continue"/>
            <w:tcBorders>
              <w:top w:val="single" w:color="auto" w:sz="4" w:space="0"/>
              <w:left w:val="single" w:color="000000" w:sz="4" w:space="0"/>
              <w:bottom w:val="single" w:color="auto"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13"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13"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417"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cs="Times New Roman"/>
                <w:b/>
                <w:bCs/>
                <w:color w:val="000000"/>
                <w:kern w:val="0"/>
                <w:sz w:val="21"/>
                <w:szCs w:val="21"/>
                <w:lang w:val="en-US" w:eastAsia="zh-CN"/>
              </w:rPr>
              <w:t>Breathing Exercises</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29</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Breathing Gymnastics: Perform the following exercises in a standing position: inhale calmly, lean forward and exhale; raise one arm and inhale, press the abdomen with both hands and exhale; raise both arms to shoulder height and inhale, lower them and exhale; extend both arms forward and inhale, press the abdomen with both hands and exhale; clasp hands behind the head and inhale, twist the torso and exhale; raise both arms overhead in a standing position and inhale, squat down and exhale; practice diaphragmatic breathing with pursed lips; conclude with calm breathing. Patients are advised to perform these exercises twice daily for 5 to 10 minutes each time.</w:t>
            </w:r>
          </w:p>
        </w:tc>
      </w:tr>
      <w:tr>
        <w:tblPrEx>
          <w:tblCellMar>
            <w:top w:w="0" w:type="dxa"/>
            <w:left w:w="108" w:type="dxa"/>
            <w:bottom w:w="0" w:type="dxa"/>
            <w:right w:w="108" w:type="dxa"/>
          </w:tblCellMar>
        </w:tblPrEx>
        <w:trPr>
          <w:trHeight w:val="57" w:hRule="atLeast"/>
        </w:trPr>
        <w:tc>
          <w:tcPr>
            <w:tcW w:w="1338" w:type="dxa"/>
            <w:vMerge w:val="continue"/>
            <w:tcBorders>
              <w:left w:val="single" w:color="000000" w:sz="4" w:space="0"/>
              <w:bottom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lang w:val="en-US" w:eastAsia="zh-CN"/>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7"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57"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077"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b/>
                <w:bCs/>
                <w:color w:val="000000"/>
                <w:kern w:val="0"/>
                <w:sz w:val="21"/>
                <w:szCs w:val="21"/>
                <w:lang w:val="en-US" w:eastAsia="zh-CN"/>
              </w:rPr>
            </w:pPr>
            <w:r>
              <w:rPr>
                <w:rFonts w:hint="default" w:ascii="Times New Roman" w:hAnsi="Times New Roman" w:cs="Times New Roman"/>
                <w:b/>
                <w:bCs/>
                <w:color w:val="000000"/>
                <w:kern w:val="0"/>
                <w:sz w:val="21"/>
                <w:szCs w:val="21"/>
                <w:lang w:val="en-US" w:eastAsia="zh-CN"/>
              </w:rPr>
              <w:t>Cough Training</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30</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Instruct patients to adjust their breathing by performing diaphragmatic (deep) breathing while crossing their arms over their chest. Exhale deeply and continuously until mucus accumulates in the throat, then cough forcefully to expel it. If necessary, researchers or caregivers can assist by cupping their hand and using wrist movements to tap the patient's back, facilitating mucus clearance.</w:t>
            </w:r>
          </w:p>
        </w:tc>
      </w:tr>
      <w:tr>
        <w:tblPrEx>
          <w:tblCellMar>
            <w:top w:w="0" w:type="dxa"/>
            <w:left w:w="108" w:type="dxa"/>
            <w:bottom w:w="0" w:type="dxa"/>
            <w:right w:w="108" w:type="dxa"/>
          </w:tblCellMar>
        </w:tblPrEx>
        <w:trPr>
          <w:trHeight w:val="170" w:hRule="atLeast"/>
        </w:trPr>
        <w:tc>
          <w:tcPr>
            <w:tcW w:w="1338" w:type="dxa"/>
            <w:vMerge w:val="continue"/>
            <w:tcBorders>
              <w:left w:val="single" w:color="000000" w:sz="4" w:space="0"/>
              <w:bottom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lang w:val="en-US" w:eastAsia="zh-CN"/>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247"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Exercise Monitoring</w:t>
            </w:r>
          </w:p>
        </w:tc>
        <w:tc>
          <w:tcPr>
            <w:tcW w:w="52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31</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Establish fatigue symptom management manual, brochure for Baduanjin and health exercise training steps, and introduce how to use them. Remind patients through the WeChat group every morning at 10:00 to manage symptoms based on the knowledge and skills provided, encourage patients to express their feelings, and promote experience exchange among patients. Conduct weekly follow-up via WeChat/phone to inquire about the use of the fatigue symptom management manual and the level of fatigue distress.</w:t>
            </w:r>
          </w:p>
        </w:tc>
      </w:tr>
      <w:tr>
        <w:tblPrEx>
          <w:tblCellMar>
            <w:top w:w="0" w:type="dxa"/>
            <w:left w:w="108" w:type="dxa"/>
            <w:bottom w:w="0" w:type="dxa"/>
            <w:right w:w="108" w:type="dxa"/>
          </w:tblCellMar>
        </w:tblPrEx>
        <w:trPr>
          <w:trHeight w:val="170" w:hRule="atLeast"/>
        </w:trPr>
        <w:tc>
          <w:tcPr>
            <w:tcW w:w="1338" w:type="dxa"/>
            <w:vMerge w:val="continue"/>
            <w:tcBorders>
              <w:left w:val="single" w:color="000000" w:sz="4" w:space="0"/>
              <w:bottom w:val="single" w:color="auto"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auto"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70" w:hRule="atLeast"/>
        </w:trPr>
        <w:tc>
          <w:tcPr>
            <w:tcW w:w="14199" w:type="dxa"/>
            <w:gridSpan w:val="5"/>
            <w:tcBorders>
              <w:top w:val="single" w:color="auto" w:sz="4" w:space="0"/>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70" w:hRule="atLeast"/>
        </w:trPr>
        <w:tc>
          <w:tcPr>
            <w:tcW w:w="14199" w:type="dxa"/>
            <w:gridSpan w:val="5"/>
            <w:tcBorders>
              <w:top w:val="single" w:color="auto" w:sz="4" w:space="0"/>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587" w:hRule="atLeast"/>
        </w:trPr>
        <w:tc>
          <w:tcPr>
            <w:tcW w:w="1338" w:type="dxa"/>
            <w:vMerge w:val="restart"/>
            <w:tcBorders>
              <w:top w:val="single" w:color="auto" w:sz="4" w:space="0"/>
              <w:left w:val="single" w:color="000000" w:sz="4" w:space="0"/>
              <w:right w:val="nil"/>
            </w:tcBorders>
            <w:vAlign w:val="center"/>
          </w:tcPr>
          <w:p>
            <w:pPr>
              <w:widowControl/>
              <w:spacing w:line="240" w:lineRule="auto"/>
              <w:jc w:val="center"/>
              <w:rPr>
                <w:rFonts w:hint="eastAsia" w:cs="Times New Roman"/>
                <w:b/>
                <w:bCs/>
                <w:color w:val="000000"/>
                <w:kern w:val="0"/>
                <w:sz w:val="21"/>
                <w:szCs w:val="21"/>
                <w:lang w:val="en-US" w:eastAsia="zh-CN"/>
              </w:rPr>
            </w:pPr>
          </w:p>
          <w:p>
            <w:pPr>
              <w:widowControl/>
              <w:spacing w:line="240" w:lineRule="auto"/>
              <w:jc w:val="center"/>
              <w:rPr>
                <w:rFonts w:hint="eastAsia" w:cs="Times New Roman"/>
                <w:b/>
                <w:bCs/>
                <w:color w:val="000000"/>
                <w:kern w:val="0"/>
                <w:sz w:val="21"/>
                <w:szCs w:val="21"/>
                <w:lang w:val="en-US" w:eastAsia="zh-CN"/>
              </w:rPr>
            </w:pPr>
          </w:p>
          <w:p>
            <w:pPr>
              <w:widowControl/>
              <w:spacing w:line="240" w:lineRule="auto"/>
              <w:jc w:val="center"/>
              <w:rPr>
                <w:rFonts w:hint="eastAsia" w:cs="Times New Roman"/>
                <w:b/>
                <w:bCs/>
                <w:color w:val="000000"/>
                <w:kern w:val="0"/>
                <w:sz w:val="21"/>
                <w:szCs w:val="21"/>
                <w:lang w:val="en-US" w:eastAsia="zh-CN"/>
              </w:rPr>
            </w:pPr>
          </w:p>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p>
            <w:pPr>
              <w:widowControl/>
              <w:spacing w:line="240" w:lineRule="auto"/>
              <w:jc w:val="left"/>
              <w:rPr>
                <w:rFonts w:hint="default" w:ascii="Times New Roman" w:hAnsi="Times New Roman" w:cs="Times New Roman"/>
                <w:b/>
                <w:bCs/>
                <w:color w:val="000000"/>
                <w:kern w:val="0"/>
                <w:sz w:val="21"/>
                <w:szCs w:val="21"/>
              </w:rPr>
            </w:pPr>
          </w:p>
        </w:tc>
        <w:tc>
          <w:tcPr>
            <w:tcW w:w="1701" w:type="dxa"/>
            <w:vMerge w:val="restart"/>
            <w:tcBorders>
              <w:top w:val="single" w:color="auto"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Experience Sharing</w:t>
            </w:r>
          </w:p>
        </w:tc>
        <w:tc>
          <w:tcPr>
            <w:tcW w:w="527" w:type="dxa"/>
            <w:vMerge w:val="restart"/>
            <w:tcBorders>
              <w:top w:val="single" w:color="000000" w:sz="4" w:space="0"/>
              <w:left w:val="nil"/>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32</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WeChat Education: Regularly post relevant updates in the WeChat group, focusing on the management of fatigue in lung cancer patients. This should also include post-discharge considerations and self-care techniques, ensuring timely reading by patients and their families. Inquire within the WeChat group if patients have any questions and promptly and patiently address their inquiries. Encourage mutual communication among patients and their families within the group and provide mutual encouragement. Invite representatives of patients with significant fatigue symptom control effects to conduct online/offline explanations regularly to boost patients' confidence in disease treatment.</w:t>
            </w:r>
          </w:p>
        </w:tc>
      </w:tr>
      <w:tr>
        <w:tblPrEx>
          <w:tblCellMar>
            <w:top w:w="0" w:type="dxa"/>
            <w:left w:w="108" w:type="dxa"/>
            <w:bottom w:w="0" w:type="dxa"/>
            <w:right w:w="108" w:type="dxa"/>
          </w:tblCellMar>
        </w:tblPrEx>
        <w:trPr>
          <w:trHeight w:val="251"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nil"/>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1"/>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MS Gothic" w:hAnsi="MS Gothic"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7" w:hRule="atLeast"/>
        </w:trPr>
        <w:tc>
          <w:tcPr>
            <w:tcW w:w="1338" w:type="dxa"/>
            <w:vMerge w:val="restart"/>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nil"/>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33</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Encourage patients when they make progress, enhancing their confidence while continuously gaining successful experiences. For patients who have not yet achieved nursing goals, encourage them not to be discouraged and work with them to identify the reasons for failure, gradually achieving the set nursing objectives together.</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nil"/>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7"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57"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644" w:hRule="atLeast"/>
        </w:trPr>
        <w:tc>
          <w:tcPr>
            <w:tcW w:w="1338" w:type="dxa"/>
            <w:vMerge w:val="restart"/>
            <w:tcBorders>
              <w:top w:val="single" w:color="000000" w:sz="4" w:space="0"/>
              <w:left w:val="single" w:color="000000" w:sz="4" w:space="0"/>
              <w:right w:val="nil"/>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eastAsia" w:cs="Times New Roman"/>
                <w:b/>
                <w:bCs/>
                <w:color w:val="000000"/>
                <w:kern w:val="0"/>
                <w:sz w:val="21"/>
                <w:szCs w:val="21"/>
                <w:lang w:val="en-US" w:eastAsia="zh-CN"/>
              </w:rPr>
              <w:t>I</w:t>
            </w:r>
            <w:r>
              <w:rPr>
                <w:rFonts w:hint="default" w:ascii="Times New Roman" w:hAnsi="Times New Roman" w:cs="Times New Roman"/>
                <w:b/>
                <w:bCs/>
                <w:color w:val="000000"/>
                <w:kern w:val="0"/>
                <w:sz w:val="21"/>
                <w:szCs w:val="21"/>
              </w:rPr>
              <w:t>n the hospital/at home</w:t>
            </w:r>
          </w:p>
        </w:tc>
        <w:tc>
          <w:tcPr>
            <w:tcW w:w="17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Follow-up Tracking</w:t>
            </w:r>
          </w:p>
        </w:tc>
        <w:tc>
          <w:tcPr>
            <w:tcW w:w="527" w:type="dxa"/>
            <w:vMerge w:val="restart"/>
            <w:tcBorders>
              <w:top w:val="single" w:color="000000" w:sz="4" w:space="0"/>
              <w:left w:val="nil"/>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34</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Phone/WeChat Follow-up: Set the next chemotherapy cycle appointment with the patient and remind them one day in advance by phone. Evaluate the effectiveness, provide psychological and dietary guidance, encouragement, and urge patients to persist in exercises. Patients can also consult via WeChat/phone if they have any questions. When patients return to the hospital after chemotherapy, check their fatigue symptom management manual, evaluate the effectiveness, provide answers to any questions, and maintain follow-up records. The follow-up frequency is once per chemotherapy cycle (21 days).</w:t>
            </w:r>
          </w:p>
        </w:tc>
      </w:tr>
      <w:tr>
        <w:tblPrEx>
          <w:tblCellMar>
            <w:top w:w="0" w:type="dxa"/>
            <w:left w:w="108" w:type="dxa"/>
            <w:bottom w:w="0" w:type="dxa"/>
            <w:right w:w="108" w:type="dxa"/>
          </w:tblCellMar>
        </w:tblPrEx>
        <w:trPr>
          <w:trHeight w:val="227" w:hRule="atLeast"/>
        </w:trPr>
        <w:tc>
          <w:tcPr>
            <w:tcW w:w="1338" w:type="dxa"/>
            <w:vMerge w:val="continue"/>
            <w:tcBorders>
              <w:left w:val="single" w:color="000000" w:sz="4" w:space="0"/>
              <w:right w:val="nil"/>
            </w:tcBorders>
            <w:shd w:val="clear" w:color="auto" w:fill="auto"/>
            <w:vAlign w:val="center"/>
          </w:tcPr>
          <w:p>
            <w:pPr>
              <w:widowControl/>
              <w:spacing w:line="240" w:lineRule="auto"/>
              <w:jc w:val="center"/>
              <w:rPr>
                <w:rFonts w:hint="eastAsia" w:cs="Times New Roman"/>
                <w:b/>
                <w:bCs/>
                <w:color w:val="000000"/>
                <w:kern w:val="0"/>
                <w:sz w:val="21"/>
                <w:szCs w:val="21"/>
                <w:lang w:val="en-US" w:eastAsia="zh-CN"/>
              </w:rPr>
            </w:pPr>
          </w:p>
        </w:tc>
        <w:tc>
          <w:tcPr>
            <w:tcW w:w="1701" w:type="dxa"/>
            <w:vMerge w:val="continue"/>
            <w:tcBorders>
              <w:left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b/>
                <w:bCs/>
                <w:color w:val="000000"/>
                <w:kern w:val="0"/>
                <w:sz w:val="21"/>
                <w:szCs w:val="21"/>
              </w:rPr>
            </w:pPr>
          </w:p>
        </w:tc>
        <w:tc>
          <w:tcPr>
            <w:tcW w:w="527" w:type="dxa"/>
            <w:vMerge w:val="continue"/>
            <w:tcBorders>
              <w:left w:val="nil"/>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510" w:hRule="atLeast"/>
        </w:trPr>
        <w:tc>
          <w:tcPr>
            <w:tcW w:w="1338" w:type="dxa"/>
            <w:vMerge w:val="continue"/>
            <w:tcBorders>
              <w:left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restart"/>
            <w:tcBorders>
              <w:top w:val="single" w:color="000000" w:sz="4" w:space="0"/>
              <w:left w:val="nil"/>
              <w:right w:val="single" w:color="000000" w:sz="4" w:space="0"/>
            </w:tcBorders>
            <w:shd w:val="clear" w:color="auto" w:fill="auto"/>
            <w:vAlign w:val="center"/>
          </w:tcPr>
          <w:p>
            <w:pPr>
              <w:widowControl/>
              <w:spacing w:line="240" w:lineRule="auto"/>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35</w:t>
            </w:r>
          </w:p>
        </w:tc>
        <w:tc>
          <w:tcPr>
            <w:tcW w:w="10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 xml:space="preserve">When fatigue, pain, and sleep </w:t>
            </w:r>
            <w:r>
              <w:rPr>
                <w:rFonts w:hint="eastAsia" w:cs="Times New Roman"/>
                <w:color w:val="000000"/>
                <w:kern w:val="0"/>
                <w:sz w:val="21"/>
                <w:szCs w:val="21"/>
                <w:lang w:eastAsia="zh-CN"/>
              </w:rPr>
              <w:t>disturbance</w:t>
            </w:r>
            <w:r>
              <w:rPr>
                <w:rFonts w:hint="default" w:ascii="Times New Roman" w:hAnsi="Times New Roman" w:cs="Times New Roman"/>
                <w:color w:val="000000"/>
                <w:kern w:val="0"/>
                <w:sz w:val="21"/>
                <w:szCs w:val="21"/>
              </w:rPr>
              <w:t xml:space="preserve"> symptoms are poorly controlled and there is significant discomfort and/or consideration of specialized intervention or evaluation, Multidisciplinary Consultation should be considered.</w:t>
            </w:r>
          </w:p>
        </w:tc>
      </w:tr>
      <w:tr>
        <w:tblPrEx>
          <w:tblCellMar>
            <w:top w:w="0" w:type="dxa"/>
            <w:left w:w="108" w:type="dxa"/>
            <w:bottom w:w="0" w:type="dxa"/>
            <w:right w:w="108" w:type="dxa"/>
          </w:tblCellMar>
        </w:tblPrEx>
        <w:trPr>
          <w:trHeight w:val="113" w:hRule="atLeast"/>
        </w:trPr>
        <w:tc>
          <w:tcPr>
            <w:tcW w:w="1338" w:type="dxa"/>
            <w:vMerge w:val="continue"/>
            <w:tcBorders>
              <w:left w:val="single" w:color="000000" w:sz="4" w:space="0"/>
              <w:bottom w:val="single" w:color="000000" w:sz="4" w:space="0"/>
              <w:right w:val="nil"/>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1701" w:type="dxa"/>
            <w:vMerge w:val="continue"/>
            <w:tcBorders>
              <w:left w:val="single" w:color="000000" w:sz="4" w:space="0"/>
              <w:bottom w:val="single" w:color="000000" w:sz="4" w:space="0"/>
              <w:right w:val="single" w:color="000000" w:sz="4" w:space="0"/>
            </w:tcBorders>
            <w:vAlign w:val="center"/>
          </w:tcPr>
          <w:p>
            <w:pPr>
              <w:widowControl/>
              <w:spacing w:line="240" w:lineRule="auto"/>
              <w:jc w:val="left"/>
              <w:rPr>
                <w:rFonts w:hint="default" w:ascii="Times New Roman" w:hAnsi="Times New Roman" w:cs="Times New Roman"/>
                <w:b/>
                <w:bCs/>
                <w:color w:val="000000"/>
                <w:kern w:val="0"/>
                <w:sz w:val="21"/>
                <w:szCs w:val="21"/>
              </w:rPr>
            </w:pPr>
          </w:p>
        </w:tc>
        <w:tc>
          <w:tcPr>
            <w:tcW w:w="527" w:type="dxa"/>
            <w:vMerge w:val="continue"/>
            <w:tcBorders>
              <w:left w:val="nil"/>
              <w:bottom w:val="single" w:color="000000" w:sz="4" w:space="0"/>
              <w:right w:val="single" w:color="000000" w:sz="4" w:space="0"/>
            </w:tcBorders>
            <w:shd w:val="clear" w:color="auto" w:fill="auto"/>
            <w:vAlign w:val="center"/>
          </w:tcPr>
          <w:p>
            <w:pPr>
              <w:widowControl/>
              <w:spacing w:line="240" w:lineRule="auto"/>
              <w:jc w:val="center"/>
              <w:rPr>
                <w:rFonts w:hint="default" w:ascii="Times New Roman" w:hAnsi="Times New Roman" w:cs="Times New Roman"/>
                <w:color w:val="000000"/>
                <w:kern w:val="0"/>
                <w:sz w:val="21"/>
                <w:szCs w:val="21"/>
                <w:lang w:val="en-US" w:eastAsia="zh-CN"/>
              </w:rPr>
            </w:pPr>
          </w:p>
        </w:tc>
        <w:tc>
          <w:tcPr>
            <w:tcW w:w="5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Importance</w:t>
            </w:r>
            <w:r>
              <w:rPr>
                <w:rFonts w:hint="default" w:ascii="Times New Roman" w:hAnsi="Times New Roman" w:cs="Times New Roman"/>
                <w:color w:val="000000"/>
                <w:kern w:val="0"/>
                <w:sz w:val="21"/>
                <w:szCs w:val="21"/>
                <w:lang w:val="en-US" w:eastAsia="zh-CN" w:bidi="ar"/>
              </w:rPr>
              <w:t xml:space="preserve">: </w:t>
            </w:r>
            <w:sdt>
              <w:sdtPr>
                <w:rPr>
                  <w:rFonts w:hint="default" w:ascii="Times New Roman" w:hAnsi="Times New Roman" w:cs="Times New Roman"/>
                  <w:color w:val="000000"/>
                  <w:kern w:val="0"/>
                  <w:sz w:val="21"/>
                  <w:szCs w:val="21"/>
                </w:rPr>
                <w:id w:val="-83714331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1     </w:t>
            </w:r>
            <w:sdt>
              <w:sdtPr>
                <w:rPr>
                  <w:rFonts w:hint="default" w:ascii="Times New Roman" w:hAnsi="Times New Roman" w:cs="Times New Roman"/>
                  <w:color w:val="000000"/>
                  <w:kern w:val="0"/>
                  <w:sz w:val="21"/>
                  <w:szCs w:val="21"/>
                </w:rPr>
                <w:id w:val="2491752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2     </w:t>
            </w:r>
            <w:sdt>
              <w:sdtPr>
                <w:rPr>
                  <w:rFonts w:hint="default" w:ascii="Times New Roman" w:hAnsi="Times New Roman" w:cs="Times New Roman"/>
                  <w:color w:val="000000"/>
                  <w:kern w:val="0"/>
                  <w:sz w:val="21"/>
                  <w:szCs w:val="21"/>
                </w:rPr>
                <w:id w:val="827631027"/>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3     </w:t>
            </w:r>
            <w:sdt>
              <w:sdtPr>
                <w:rPr>
                  <w:rFonts w:hint="default" w:ascii="Times New Roman" w:hAnsi="Times New Roman" w:cs="Times New Roman"/>
                  <w:color w:val="000000"/>
                  <w:kern w:val="0"/>
                  <w:sz w:val="21"/>
                  <w:szCs w:val="21"/>
                </w:rPr>
                <w:id w:val="889394009"/>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bidi="ar"/>
              </w:rPr>
              <w:t xml:space="preserve">4       </w:t>
            </w:r>
            <w:sdt>
              <w:sdtPr>
                <w:rPr>
                  <w:rFonts w:hint="default" w:ascii="Times New Roman" w:hAnsi="Times New Roman" w:cs="Times New Roman"/>
                  <w:color w:val="000000"/>
                  <w:kern w:val="0"/>
                  <w:sz w:val="21"/>
                  <w:szCs w:val="21"/>
                </w:rPr>
                <w:id w:val="-173368605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bidi="ar"/>
              </w:rPr>
              <w:t>5</w:t>
            </w:r>
          </w:p>
        </w:tc>
        <w:tc>
          <w:tcPr>
            <w:tcW w:w="5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both"/>
              <w:rPr>
                <w:rFonts w:hint="default" w:ascii="Times New Roman" w:hAnsi="Times New Roman" w:cs="Times New Roman"/>
                <w:color w:val="000000"/>
                <w:kern w:val="0"/>
                <w:sz w:val="21"/>
                <w:szCs w:val="21"/>
              </w:rPr>
            </w:pPr>
            <w:r>
              <w:rPr>
                <w:rFonts w:hint="eastAsia" w:cs="Times New Roman"/>
                <w:b w:val="0"/>
                <w:bCs w:val="0"/>
                <w:sz w:val="21"/>
                <w:szCs w:val="21"/>
                <w:lang w:val="en-US" w:eastAsia="zh-CN"/>
              </w:rPr>
              <w:t>C</w:t>
            </w:r>
            <w:bookmarkStart w:id="1" w:name="_GoBack"/>
            <w:bookmarkEnd w:id="1"/>
            <w:r>
              <w:rPr>
                <w:rFonts w:hint="default" w:ascii="Times New Roman" w:hAnsi="Times New Roman" w:cs="Times New Roman"/>
                <w:b w:val="0"/>
                <w:bCs w:val="0"/>
                <w:sz w:val="21"/>
                <w:szCs w:val="21"/>
                <w:lang w:val="en-US" w:eastAsia="zh-CN"/>
              </w:rPr>
              <w:t>linical usability:</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7523966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lang w:val="en-US" w:eastAsia="zh-CN" w:bidi="ar-SA"/>
                  </w:rPr>
                  <w:t>☐</w:t>
                </w:r>
              </w:sdtContent>
            </w:sdt>
            <w:r>
              <w:rPr>
                <w:rFonts w:hint="default" w:ascii="Times New Roman" w:hAnsi="Times New Roman" w:cs="Times New Roman"/>
                <w:color w:val="000000"/>
                <w:kern w:val="0"/>
                <w:sz w:val="21"/>
                <w:szCs w:val="21"/>
                <w:lang w:val="en-US" w:eastAsia="zh-CN"/>
              </w:rPr>
              <w:t>Yes</w:t>
            </w:r>
            <w:r>
              <w:rPr>
                <w:rFonts w:hint="default" w:ascii="Times New Roman" w:hAnsi="Times New Roman" w:cs="Times New Roman"/>
                <w:color w:val="000000"/>
                <w:kern w:val="0"/>
                <w:sz w:val="21"/>
                <w:szCs w:val="21"/>
                <w:lang w:bidi="ar"/>
              </w:rPr>
              <w:t xml:space="preserve">            </w:t>
            </w:r>
            <w:sdt>
              <w:sdtPr>
                <w:rPr>
                  <w:rFonts w:hint="default" w:ascii="Times New Roman" w:hAnsi="Times New Roman" w:cs="Times New Roman"/>
                  <w:color w:val="000000"/>
                  <w:kern w:val="0"/>
                  <w:sz w:val="21"/>
                  <w:szCs w:val="21"/>
                </w:rPr>
                <w:id w:val="-533033238"/>
                <w14:checkbox>
                  <w14:checked w14:val="0"/>
                  <w14:checkedState w14:val="2612" w14:font="MS Gothic"/>
                  <w14:uncheckedState w14:val="2610" w14:font="MS Gothic"/>
                </w14:checkbox>
              </w:sdtPr>
              <w:sdtEndPr>
                <w:rPr>
                  <w:rFonts w:hint="default" w:ascii="Times New Roman" w:hAnsi="Times New Roman" w:cs="Times New Roman"/>
                  <w:color w:val="000000"/>
                  <w:kern w:val="0"/>
                  <w:sz w:val="21"/>
                  <w:szCs w:val="21"/>
                </w:rPr>
              </w:sdtEndPr>
              <w:sdtContent>
                <w:r>
                  <w:rPr>
                    <w:rFonts w:hint="default" w:ascii="Times New Roman" w:hAnsi="Times New Roman" w:eastAsia="MS Gothic" w:cs="Times New Roman"/>
                    <w:color w:val="000000"/>
                    <w:kern w:val="0"/>
                    <w:sz w:val="21"/>
                    <w:szCs w:val="21"/>
                  </w:rPr>
                  <w:t>☐</w:t>
                </w:r>
              </w:sdtContent>
            </w:sdt>
            <w:r>
              <w:rPr>
                <w:rFonts w:hint="default" w:ascii="Times New Roman" w:hAnsi="Times New Roman" w:cs="Times New Roman"/>
                <w:color w:val="000000"/>
                <w:kern w:val="0"/>
                <w:sz w:val="21"/>
                <w:szCs w:val="21"/>
                <w:lang w:val="en-US" w:eastAsia="zh-CN"/>
              </w:rPr>
              <w:t>No</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cs="Times New Roman"/>
                <w:color w:val="000000"/>
                <w:kern w:val="0"/>
                <w:sz w:val="21"/>
                <w:szCs w:val="21"/>
              </w:rPr>
            </w:pPr>
            <w:r>
              <w:rPr>
                <w:rFonts w:hint="default" w:ascii="Times New Roman" w:hAnsi="Times New Roman" w:eastAsia="宋体" w:cs="Times New Roman"/>
                <w:sz w:val="21"/>
                <w:szCs w:val="21"/>
              </w:rPr>
              <w:t>Supplementary Suggestions</w:t>
            </w:r>
            <w:r>
              <w:rPr>
                <w:rFonts w:hint="default" w:ascii="Times New Roman" w:hAnsi="Times New Roman" w:cs="Times New Roman"/>
                <w:sz w:val="21"/>
                <w:szCs w:val="21"/>
                <w:lang w:val="en-US" w:eastAsia="zh-CN"/>
              </w:rPr>
              <w:t>:</w:t>
            </w:r>
          </w:p>
        </w:tc>
      </w:tr>
      <w:tr>
        <w:tblPrEx>
          <w:tblCellMar>
            <w:top w:w="0" w:type="dxa"/>
            <w:left w:w="108" w:type="dxa"/>
            <w:bottom w:w="0" w:type="dxa"/>
            <w:right w:w="108" w:type="dxa"/>
          </w:tblCellMar>
        </w:tblPrEx>
        <w:trPr>
          <w:trHeight w:val="170" w:hRule="atLeast"/>
        </w:trPr>
        <w:tc>
          <w:tcPr>
            <w:tcW w:w="141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jc w:val="left"/>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sz w:val="21"/>
                <w:szCs w:val="21"/>
              </w:rPr>
              <w:t>Modification suggestion</w:t>
            </w:r>
            <w:r>
              <w:rPr>
                <w:rFonts w:hint="default" w:ascii="Times New Roman" w:hAnsi="Times New Roman" w:cs="Times New Roman"/>
                <w:sz w:val="21"/>
                <w:szCs w:val="21"/>
                <w:lang w:val="en-US" w:eastAsia="zh-CN"/>
              </w:rPr>
              <w:t>:</w:t>
            </w:r>
          </w:p>
        </w:tc>
      </w:tr>
    </w:tbl>
    <w:p>
      <w:pPr>
        <w:adjustRightInd w:val="0"/>
        <w:snapToGrid w:val="0"/>
        <w:spacing w:line="360" w:lineRule="auto"/>
        <w:ind w:firstLine="480" w:firstLineChars="200"/>
        <w:jc w:val="left"/>
        <w:rPr>
          <w:rFonts w:asciiTheme="majorEastAsia" w:hAnsiTheme="majorEastAsia" w:eastAsiaTheme="majorEastAsia" w:cstheme="majorEastAsia"/>
          <w:sz w:val="24"/>
          <w:szCs w:val="24"/>
        </w:rPr>
      </w:pPr>
    </w:p>
    <w:p>
      <w:pPr>
        <w:adjustRightInd w:val="0"/>
        <w:snapToGrid w:val="0"/>
        <w:spacing w:line="360" w:lineRule="auto"/>
        <w:ind w:firstLine="480" w:firstLineChars="200"/>
        <w:jc w:val="left"/>
        <w:rPr>
          <w:rFonts w:asciiTheme="majorEastAsia" w:hAnsiTheme="majorEastAsia" w:eastAsiaTheme="majorEastAsia" w:cstheme="majorEastAsia"/>
          <w:sz w:val="24"/>
          <w:szCs w:val="24"/>
        </w:rPr>
      </w:pPr>
    </w:p>
    <w:p>
      <w:pPr>
        <w:widowControl/>
        <w:jc w:val="left"/>
        <w:rPr>
          <w:rFonts w:asciiTheme="majorEastAsia" w:hAnsiTheme="majorEastAsia" w:eastAsiaTheme="majorEastAsia" w:cstheme="majorEastAsia"/>
          <w:sz w:val="24"/>
          <w:szCs w:val="24"/>
        </w:rPr>
      </w:pPr>
    </w:p>
    <w:p>
      <w:pPr>
        <w:widowControl/>
        <w:ind w:firstLine="480" w:firstLineChars="200"/>
        <w:jc w:val="left"/>
        <w:rPr>
          <w:rFonts w:hint="eastAsia" w:asciiTheme="majorEastAsia" w:hAnsiTheme="majorEastAsia" w:eastAsiaTheme="majorEastAsia" w:cstheme="majorEastAsia"/>
          <w:sz w:val="24"/>
          <w:szCs w:val="24"/>
        </w:rPr>
        <w:sectPr>
          <w:footerReference r:id="rId4" w:type="default"/>
          <w:pgSz w:w="16838" w:h="11906" w:orient="landscape"/>
          <w:pgMar w:top="1800" w:right="1440" w:bottom="1800" w:left="1440" w:header="851" w:footer="992" w:gutter="0"/>
          <w:pgNumType w:start="1"/>
          <w:cols w:space="425" w:num="1"/>
          <w:docGrid w:type="lines" w:linePitch="312" w:charSpace="0"/>
        </w:sectPr>
      </w:pPr>
    </w:p>
    <w:p>
      <w:pPr>
        <w:adjustRightInd w:val="0"/>
        <w:snapToGrid w:val="0"/>
        <w:spacing w:line="360" w:lineRule="auto"/>
        <w:jc w:val="center"/>
        <w:rPr>
          <w:rFonts w:hint="default" w:ascii="Times New Roman" w:hAnsi="Times New Roman" w:cs="Times New Roman" w:eastAsiaTheme="majorEastAsia"/>
          <w:b w:val="0"/>
          <w:bCs w:val="0"/>
          <w:sz w:val="24"/>
          <w:szCs w:val="24"/>
        </w:rPr>
      </w:pPr>
      <w:r>
        <w:rPr>
          <w:rFonts w:hint="default" w:ascii="Times New Roman" w:hAnsi="Times New Roman" w:cs="Times New Roman" w:eastAsiaTheme="majorEastAsia"/>
          <w:b w:val="0"/>
          <w:bCs w:val="0"/>
          <w:sz w:val="24"/>
          <w:szCs w:val="24"/>
          <w:lang w:val="en-US" w:eastAsia="zh-CN"/>
        </w:rPr>
        <w:t>E</w:t>
      </w:r>
      <w:r>
        <w:rPr>
          <w:rFonts w:hint="default" w:ascii="Times New Roman" w:hAnsi="Times New Roman" w:cs="Times New Roman" w:eastAsiaTheme="majorEastAsia"/>
          <w:b w:val="0"/>
          <w:bCs w:val="0"/>
          <w:sz w:val="24"/>
          <w:szCs w:val="24"/>
        </w:rPr>
        <w:t xml:space="preserve">xpert </w:t>
      </w:r>
      <w:r>
        <w:rPr>
          <w:rFonts w:hint="default" w:ascii="Times New Roman" w:hAnsi="Times New Roman" w:cs="Times New Roman" w:eastAsiaTheme="majorEastAsia"/>
          <w:b w:val="0"/>
          <w:bCs w:val="0"/>
          <w:sz w:val="24"/>
          <w:szCs w:val="24"/>
          <w:lang w:val="en-US" w:eastAsia="zh-CN"/>
        </w:rPr>
        <w:t>I</w:t>
      </w:r>
      <w:r>
        <w:rPr>
          <w:rFonts w:hint="default" w:ascii="Times New Roman" w:hAnsi="Times New Roman" w:cs="Times New Roman" w:eastAsiaTheme="majorEastAsia"/>
          <w:b w:val="0"/>
          <w:bCs w:val="0"/>
          <w:sz w:val="24"/>
          <w:szCs w:val="24"/>
        </w:rPr>
        <w:t>nformation</w:t>
      </w:r>
    </w:p>
    <w:p>
      <w:pPr>
        <w:adjustRightInd w:val="0"/>
        <w:snapToGrid w:val="0"/>
        <w:spacing w:line="360" w:lineRule="auto"/>
        <w:ind w:firstLine="480" w:firstLineChars="200"/>
        <w:jc w:val="both"/>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 xml:space="preserve">After reviewing the </w:t>
      </w:r>
      <w:r>
        <w:rPr>
          <w:rFonts w:hint="eastAsia" w:cs="Times New Roman" w:eastAsiaTheme="majorEastAsia"/>
          <w:sz w:val="24"/>
          <w:szCs w:val="24"/>
          <w:lang w:val="en-US" w:eastAsia="zh-CN"/>
        </w:rPr>
        <w:t>program</w:t>
      </w:r>
      <w:r>
        <w:rPr>
          <w:rFonts w:hint="default" w:ascii="Times New Roman" w:hAnsi="Times New Roman" w:cs="Times New Roman" w:eastAsiaTheme="majorEastAsia"/>
          <w:sz w:val="24"/>
          <w:szCs w:val="24"/>
        </w:rPr>
        <w:t>, please evaluate your judgment basis and tick "</w:t>
      </w:r>
      <w:r>
        <w:rPr>
          <w:rFonts w:hint="default" w:ascii="Times New Roman" w:hAnsi="Times New Roman" w:eastAsia="宋体" w:cs="Times New Roman"/>
          <w:sz w:val="24"/>
          <w:szCs w:val="24"/>
        </w:rPr>
        <w:t>×</w:t>
      </w:r>
      <w:r>
        <w:rPr>
          <w:rFonts w:hint="default" w:ascii="Times New Roman" w:hAnsi="Times New Roman" w:cs="Times New Roman" w:eastAsiaTheme="majorEastAsia"/>
          <w:sz w:val="24"/>
          <w:szCs w:val="24"/>
        </w:rPr>
        <w:t xml:space="preserve">" in the corresponding </w:t>
      </w:r>
      <w:r>
        <w:rPr>
          <w:rFonts w:hint="default" w:ascii="Times New Roman" w:hAnsi="Times New Roman" w:eastAsia="宋体" w:cs="Times New Roman"/>
          <w:sz w:val="24"/>
          <w:szCs w:val="24"/>
        </w:rPr>
        <w:t>"</w:t>
      </w:r>
      <w:sdt>
        <w:sdtPr>
          <w:rPr>
            <w:rFonts w:hint="default" w:ascii="Times New Roman" w:hAnsi="Times New Roman" w:cs="Times New Roman"/>
            <w:color w:val="000000"/>
            <w:kern w:val="0"/>
            <w:sz w:val="24"/>
            <w:szCs w:val="24"/>
          </w:rPr>
          <w:id w:val="17503864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4"/>
            <w:szCs w:val="24"/>
          </w:rPr>
        </w:sdtEndPr>
        <w:sdtContent>
          <w:r>
            <w:rPr>
              <w:rFonts w:hint="default" w:ascii="Times New Roman" w:hAnsi="Times New Roman" w:eastAsia="MS Gothic" w:cs="Times New Roman"/>
              <w:color w:val="000000"/>
              <w:kern w:val="0"/>
              <w:sz w:val="24"/>
              <w:szCs w:val="24"/>
              <w:lang w:val="en-US" w:eastAsia="zh-CN" w:bidi="ar-SA"/>
            </w:rPr>
            <w:t>☐</w:t>
          </w:r>
        </w:sdtContent>
      </w:sdt>
      <w:r>
        <w:rPr>
          <w:rFonts w:hint="default" w:ascii="Times New Roman" w:hAnsi="Times New Roman" w:eastAsia="宋体" w:cs="Times New Roman"/>
          <w:sz w:val="24"/>
          <w:szCs w:val="24"/>
        </w:rPr>
        <w:t>"</w:t>
      </w:r>
      <w:r>
        <w:rPr>
          <w:rFonts w:hint="default" w:ascii="Times New Roman" w:hAnsi="Times New Roman" w:cs="Times New Roman" w:eastAsiaTheme="majorEastAsia"/>
          <w:sz w:val="24"/>
          <w:szCs w:val="24"/>
        </w:rPr>
        <w:t>.</w:t>
      </w:r>
    </w:p>
    <w:p>
      <w:pPr>
        <w:adjustRightInd w:val="0"/>
        <w:snapToGrid w:val="0"/>
        <w:spacing w:line="360" w:lineRule="auto"/>
        <w:ind w:firstLine="420" w:firstLineChars="200"/>
        <w:jc w:val="center"/>
        <w:rPr>
          <w:rFonts w:hint="eastAsia" w:asciiTheme="majorEastAsia" w:hAnsiTheme="majorEastAsia" w:eastAsiaTheme="majorEastAsia" w:cstheme="majorEastAsia"/>
          <w:szCs w:val="21"/>
        </w:rPr>
      </w:pPr>
      <w:r>
        <w:rPr>
          <w:rFonts w:hint="default" w:ascii="Times New Roman" w:hAnsi="Times New Roman" w:cs="Times New Roman" w:eastAsiaTheme="majorEastAsia"/>
          <w:szCs w:val="21"/>
        </w:rPr>
        <w:t>Evaluation table of expert's judgment basis and influence degree of the problem</w:t>
      </w:r>
    </w:p>
    <w:tbl>
      <w:tblPr>
        <w:tblStyle w:val="7"/>
        <w:tblW w:w="750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48"/>
        <w:gridCol w:w="1616"/>
        <w:gridCol w:w="1534"/>
        <w:gridCol w:w="120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3148" w:type="dxa"/>
            <w:vMerge w:val="restart"/>
            <w:shd w:val="clear" w:color="auto" w:fill="auto"/>
            <w:vAlign w:val="center"/>
          </w:tcPr>
          <w:p>
            <w:pPr>
              <w:adjustRightInd w:val="0"/>
              <w:snapToGrid w:val="0"/>
              <w:jc w:val="center"/>
              <w:rPr>
                <w:rFonts w:hint="default" w:ascii="Times New Roman" w:hAnsi="Times New Roman" w:cs="Times New Roman" w:eastAsiaTheme="majorEastAsia"/>
                <w:b/>
                <w:bCs/>
                <w:szCs w:val="21"/>
              </w:rPr>
            </w:pPr>
            <w:r>
              <w:rPr>
                <w:rFonts w:hint="default" w:ascii="Times New Roman" w:hAnsi="Times New Roman" w:cs="Times New Roman" w:eastAsiaTheme="majorEastAsia"/>
                <w:b/>
                <w:bCs/>
                <w:szCs w:val="21"/>
              </w:rPr>
              <w:t>Judgment basis</w:t>
            </w:r>
          </w:p>
        </w:tc>
        <w:tc>
          <w:tcPr>
            <w:tcW w:w="4355" w:type="dxa"/>
            <w:gridSpan w:val="3"/>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b/>
                <w:bCs/>
                <w:szCs w:val="21"/>
              </w:rPr>
            </w:pPr>
            <w:r>
              <w:rPr>
                <w:rFonts w:hint="default" w:ascii="Times New Roman" w:hAnsi="Times New Roman" w:cs="Times New Roman" w:eastAsiaTheme="majorEastAsia"/>
                <w:b/>
                <w:bCs/>
                <w:szCs w:val="21"/>
              </w:rPr>
              <w:t>Influence degree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3148" w:type="dxa"/>
            <w:vMerge w:val="continue"/>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b/>
                <w:bCs/>
                <w:szCs w:val="21"/>
              </w:rPr>
            </w:pPr>
          </w:p>
        </w:tc>
        <w:tc>
          <w:tcPr>
            <w:tcW w:w="1616" w:type="dxa"/>
            <w:tcBorders>
              <w:top w:val="single" w:color="auto" w:sz="4" w:space="0"/>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b/>
                <w:bCs/>
                <w:szCs w:val="21"/>
              </w:rPr>
            </w:pPr>
            <w:r>
              <w:rPr>
                <w:rFonts w:hint="default" w:ascii="Times New Roman" w:hAnsi="Times New Roman" w:cs="Times New Roman" w:eastAsiaTheme="majorEastAsia"/>
                <w:b/>
                <w:bCs/>
                <w:szCs w:val="21"/>
              </w:rPr>
              <w:t>Large</w:t>
            </w:r>
          </w:p>
        </w:tc>
        <w:tc>
          <w:tcPr>
            <w:tcW w:w="1534" w:type="dxa"/>
            <w:tcBorders>
              <w:top w:val="single" w:color="auto" w:sz="4" w:space="0"/>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b/>
                <w:bCs/>
                <w:szCs w:val="21"/>
              </w:rPr>
            </w:pPr>
            <w:r>
              <w:rPr>
                <w:rFonts w:hint="default" w:ascii="Times New Roman" w:hAnsi="Times New Roman" w:cs="Times New Roman" w:eastAsiaTheme="majorEastAsia"/>
                <w:b/>
                <w:bCs/>
                <w:szCs w:val="21"/>
              </w:rPr>
              <w:t>medium</w:t>
            </w:r>
          </w:p>
        </w:tc>
        <w:tc>
          <w:tcPr>
            <w:tcW w:w="1205" w:type="dxa"/>
            <w:tcBorders>
              <w:top w:val="single" w:color="auto" w:sz="4" w:space="0"/>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b/>
                <w:bCs/>
                <w:szCs w:val="21"/>
              </w:rPr>
            </w:pPr>
            <w:r>
              <w:rPr>
                <w:rFonts w:hint="default" w:ascii="Times New Roman" w:hAnsi="Times New Roman" w:cs="Times New Roman" w:eastAsiaTheme="majorEastAsia"/>
                <w:b/>
                <w:bCs/>
                <w:szCs w:val="21"/>
              </w:rPr>
              <w:t>small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 w:hRule="exact"/>
          <w:jc w:val="center"/>
        </w:trPr>
        <w:tc>
          <w:tcPr>
            <w:tcW w:w="3148" w:type="dxa"/>
            <w:tcBorders>
              <w:top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Cs w:val="21"/>
              </w:rPr>
            </w:pPr>
            <w:r>
              <w:rPr>
                <w:rFonts w:hint="default" w:ascii="Times New Roman" w:hAnsi="Times New Roman" w:cs="Times New Roman" w:eastAsiaTheme="majorEastAsia"/>
                <w:szCs w:val="21"/>
              </w:rPr>
              <w:t>Practical experience</w:t>
            </w:r>
          </w:p>
        </w:tc>
        <w:tc>
          <w:tcPr>
            <w:tcW w:w="1616" w:type="dxa"/>
            <w:tcBorders>
              <w:top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421451367"/>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534" w:type="dxa"/>
            <w:tcBorders>
              <w:top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663420451"/>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205" w:type="dxa"/>
            <w:tcBorders>
              <w:top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546021193"/>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szCs w:val="21"/>
                  </w:rPr>
                  <w:t>☐</w:t>
                </w:r>
              </w:sdtContent>
            </w:sdt>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 w:hRule="exact"/>
          <w:jc w:val="center"/>
        </w:trPr>
        <w:tc>
          <w:tcPr>
            <w:tcW w:w="3148" w:type="dxa"/>
            <w:shd w:val="clear" w:color="auto" w:fill="auto"/>
            <w:vAlign w:val="center"/>
          </w:tcPr>
          <w:p>
            <w:pPr>
              <w:adjustRightInd w:val="0"/>
              <w:snapToGrid w:val="0"/>
              <w:jc w:val="center"/>
              <w:rPr>
                <w:rFonts w:hint="default" w:ascii="Times New Roman" w:hAnsi="Times New Roman" w:cs="Times New Roman" w:eastAsiaTheme="majorEastAsia"/>
                <w:szCs w:val="21"/>
              </w:rPr>
            </w:pPr>
            <w:r>
              <w:rPr>
                <w:rFonts w:hint="default" w:ascii="Times New Roman" w:hAnsi="Times New Roman" w:cs="Times New Roman" w:eastAsiaTheme="majorEastAsia"/>
                <w:szCs w:val="21"/>
              </w:rPr>
              <w:t>Theoretical analysis</w:t>
            </w:r>
          </w:p>
        </w:tc>
        <w:tc>
          <w:tcPr>
            <w:tcW w:w="1616"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539953386"/>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534"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2011862301"/>
                <w14:checkbox>
                  <w14:checked w14:val="1"/>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MS Gothic" w:hAnsi="MS Gothic" w:eastAsia="MS Gothic" w:cs="Times New Roman"/>
                    <w:kern w:val="2"/>
                    <w:sz w:val="21"/>
                    <w:szCs w:val="21"/>
                    <w:lang w:val="en-US" w:eastAsia="zh-CN" w:bidi="ar-SA"/>
                  </w:rPr>
                  <w:t>☒</w:t>
                </w:r>
              </w:sdtContent>
            </w:sdt>
          </w:p>
        </w:tc>
        <w:tc>
          <w:tcPr>
            <w:tcW w:w="1205"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774984089"/>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szCs w:val="21"/>
                  </w:rPr>
                  <w:t>☐</w:t>
                </w:r>
              </w:sdtContent>
            </w:sdt>
          </w:p>
        </w:tc>
      </w:tr>
      <w:tr>
        <w:tblPrEx>
          <w:tblCellMar>
            <w:top w:w="0" w:type="dxa"/>
            <w:left w:w="108" w:type="dxa"/>
            <w:bottom w:w="0" w:type="dxa"/>
            <w:right w:w="108" w:type="dxa"/>
          </w:tblCellMar>
        </w:tblPrEx>
        <w:trPr>
          <w:cantSplit/>
          <w:trHeight w:val="510" w:hRule="exact"/>
          <w:jc w:val="center"/>
        </w:trPr>
        <w:tc>
          <w:tcPr>
            <w:tcW w:w="3148" w:type="dxa"/>
            <w:shd w:val="clear" w:color="auto" w:fill="auto"/>
            <w:vAlign w:val="center"/>
          </w:tcPr>
          <w:p>
            <w:pPr>
              <w:adjustRightInd w:val="0"/>
              <w:snapToGrid w:val="0"/>
              <w:jc w:val="center"/>
              <w:rPr>
                <w:rFonts w:hint="default" w:ascii="Times New Roman" w:hAnsi="Times New Roman" w:cs="Times New Roman" w:eastAsiaTheme="majorEastAsia"/>
                <w:szCs w:val="21"/>
              </w:rPr>
            </w:pPr>
            <w:r>
              <w:rPr>
                <w:rFonts w:hint="default" w:ascii="Times New Roman" w:hAnsi="Times New Roman" w:cs="Times New Roman" w:eastAsiaTheme="majorEastAsia"/>
                <w:szCs w:val="21"/>
              </w:rPr>
              <w:t>Reference materials or peer understanding</w:t>
            </w:r>
          </w:p>
        </w:tc>
        <w:tc>
          <w:tcPr>
            <w:tcW w:w="1616"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906306212"/>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534"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16226880"/>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205"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239317417"/>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szCs w:val="21"/>
                  </w:rPr>
                  <w:t>☐</w:t>
                </w:r>
              </w:sdtContent>
            </w:sdt>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 w:hRule="exact"/>
          <w:jc w:val="center"/>
        </w:trPr>
        <w:tc>
          <w:tcPr>
            <w:tcW w:w="3148" w:type="dxa"/>
            <w:shd w:val="clear" w:color="auto" w:fill="auto"/>
            <w:vAlign w:val="center"/>
          </w:tcPr>
          <w:p>
            <w:pPr>
              <w:adjustRightInd w:val="0"/>
              <w:snapToGrid w:val="0"/>
              <w:jc w:val="center"/>
              <w:rPr>
                <w:rFonts w:hint="default" w:ascii="Times New Roman" w:hAnsi="Times New Roman" w:cs="Times New Roman" w:eastAsiaTheme="majorEastAsia"/>
                <w:szCs w:val="21"/>
              </w:rPr>
            </w:pPr>
            <w:r>
              <w:rPr>
                <w:rFonts w:hint="default" w:ascii="Times New Roman" w:hAnsi="Times New Roman" w:cs="Times New Roman" w:eastAsiaTheme="majorEastAsia"/>
                <w:szCs w:val="21"/>
              </w:rPr>
              <w:t>Intuitive feeling</w:t>
            </w:r>
          </w:p>
        </w:tc>
        <w:tc>
          <w:tcPr>
            <w:tcW w:w="1616"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272909541"/>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szCs w:val="21"/>
                  </w:rPr>
                  <w:t>☐</w:t>
                </w:r>
              </w:sdtContent>
            </w:sdt>
          </w:p>
        </w:tc>
        <w:tc>
          <w:tcPr>
            <w:tcW w:w="1534"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773818704"/>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205" w:type="dxa"/>
            <w:shd w:val="clear" w:color="auto" w:fill="auto"/>
            <w:vAlign w:val="center"/>
          </w:tcPr>
          <w:p>
            <w:pPr>
              <w:adjustRightInd w:val="0"/>
              <w:snapToGrid w:val="0"/>
              <w:jc w:val="center"/>
              <w:rPr>
                <w:rFonts w:hint="default" w:ascii="Times New Roman" w:hAnsi="Times New Roman" w:cs="Times New Roman" w:eastAsiaTheme="majorEastAsia"/>
                <w:szCs w:val="21"/>
              </w:rPr>
            </w:pPr>
            <w:sdt>
              <w:sdtPr>
                <w:rPr>
                  <w:rFonts w:hint="default" w:ascii="Times New Roman" w:hAnsi="Times New Roman" w:cs="Times New Roman" w:eastAsiaTheme="majorEastAsia"/>
                  <w:szCs w:val="21"/>
                </w:rPr>
                <w:id w:val="-1731996626"/>
                <w14:checkbox>
                  <w14:checked w14:val="0"/>
                  <w14:checkedState w14:val="2612" w14:font="MS Gothic"/>
                  <w14:uncheckedState w14:val="2610" w14:font="MS Gothic"/>
                </w14:checkbox>
              </w:sdtPr>
              <w:sdtEndPr>
                <w:rPr>
                  <w:rFonts w:hint="default" w:ascii="Times New Roman" w:hAnsi="Times New Roman" w:cs="Times New Roman" w:eastAsiaTheme="majorEastAsia"/>
                  <w:szCs w:val="21"/>
                </w:rPr>
              </w:sdtEndPr>
              <w:sdtContent>
                <w:r>
                  <w:rPr>
                    <w:rFonts w:hint="default" w:ascii="Times New Roman" w:hAnsi="Times New Roman" w:eastAsia="MS Gothic" w:cs="Times New Roman"/>
                    <w:szCs w:val="21"/>
                  </w:rPr>
                  <w:t>☐</w:t>
                </w:r>
              </w:sdtContent>
            </w:sdt>
          </w:p>
        </w:tc>
      </w:tr>
    </w:tbl>
    <w:p>
      <w:pPr>
        <w:adjustRightInd w:val="0"/>
        <w:snapToGrid w:val="0"/>
        <w:spacing w:line="360" w:lineRule="auto"/>
        <w:ind w:firstLine="480" w:firstLineChars="200"/>
        <w:rPr>
          <w:rFonts w:asciiTheme="majorEastAsia" w:hAnsiTheme="majorEastAsia" w:eastAsiaTheme="majorEastAsia" w:cstheme="majorEastAsia"/>
          <w:sz w:val="24"/>
          <w:szCs w:val="24"/>
        </w:rPr>
      </w:pPr>
    </w:p>
    <w:p>
      <w:pPr>
        <w:adjustRightInd w:val="0"/>
        <w:snapToGrid w:val="0"/>
        <w:spacing w:line="360" w:lineRule="auto"/>
        <w:ind w:firstLine="480" w:firstLineChars="200"/>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 xml:space="preserve">Please make an assessment based on your familiarity with the content of this consultation and tick an "x" in the corresponding </w:t>
      </w:r>
      <w:r>
        <w:rPr>
          <w:rFonts w:hint="default" w:ascii="Times New Roman" w:hAnsi="Times New Roman" w:eastAsia="宋体" w:cs="Times New Roman"/>
          <w:sz w:val="24"/>
          <w:szCs w:val="24"/>
        </w:rPr>
        <w:t>"</w:t>
      </w:r>
      <w:sdt>
        <w:sdtPr>
          <w:rPr>
            <w:rFonts w:hint="default" w:ascii="Times New Roman" w:hAnsi="Times New Roman" w:cs="Times New Roman"/>
            <w:color w:val="000000"/>
            <w:kern w:val="0"/>
            <w:sz w:val="24"/>
            <w:szCs w:val="24"/>
          </w:rPr>
          <w:id w:val="1750386485"/>
          <w14:checkbox>
            <w14:checked w14:val="0"/>
            <w14:checkedState w14:val="2612" w14:font="MS Gothic"/>
            <w14:uncheckedState w14:val="2610" w14:font="MS Gothic"/>
          </w14:checkbox>
        </w:sdtPr>
        <w:sdtEndPr>
          <w:rPr>
            <w:rFonts w:hint="default" w:ascii="Times New Roman" w:hAnsi="Times New Roman" w:cs="Times New Roman"/>
            <w:color w:val="000000"/>
            <w:kern w:val="0"/>
            <w:sz w:val="24"/>
            <w:szCs w:val="24"/>
          </w:rPr>
        </w:sdtEndPr>
        <w:sdtContent>
          <w:r>
            <w:rPr>
              <w:rFonts w:hint="default" w:ascii="Times New Roman" w:hAnsi="Times New Roman" w:eastAsia="MS Gothic" w:cs="Times New Roman"/>
              <w:color w:val="000000"/>
              <w:kern w:val="0"/>
              <w:sz w:val="24"/>
              <w:szCs w:val="24"/>
              <w:lang w:val="en-US" w:eastAsia="zh-CN" w:bidi="ar-SA"/>
            </w:rPr>
            <w:t>☐</w:t>
          </w:r>
        </w:sdtContent>
      </w:sdt>
      <w:r>
        <w:rPr>
          <w:rFonts w:hint="default" w:ascii="Times New Roman" w:hAnsi="Times New Roman" w:eastAsia="宋体" w:cs="Times New Roman"/>
          <w:sz w:val="24"/>
          <w:szCs w:val="24"/>
        </w:rPr>
        <w:t>"</w:t>
      </w:r>
      <w:r>
        <w:rPr>
          <w:rFonts w:hint="default" w:ascii="Times New Roman" w:hAnsi="Times New Roman" w:cs="Times New Roman" w:eastAsiaTheme="majorEastAsia"/>
          <w:sz w:val="24"/>
          <w:szCs w:val="24"/>
        </w:rPr>
        <w:t>.</w:t>
      </w:r>
    </w:p>
    <w:p>
      <w:pPr>
        <w:adjustRightInd w:val="0"/>
        <w:snapToGrid w:val="0"/>
        <w:spacing w:line="360" w:lineRule="auto"/>
        <w:ind w:firstLine="420" w:firstLineChars="200"/>
        <w:jc w:val="center"/>
        <w:rPr>
          <w:rFonts w:hint="eastAsia" w:asciiTheme="majorEastAsia" w:hAnsiTheme="majorEastAsia" w:eastAsiaTheme="majorEastAsia" w:cstheme="majorEastAsia"/>
          <w:szCs w:val="21"/>
        </w:rPr>
      </w:pPr>
    </w:p>
    <w:p>
      <w:pPr>
        <w:adjustRightInd w:val="0"/>
        <w:snapToGrid w:val="0"/>
        <w:spacing w:line="360" w:lineRule="auto"/>
        <w:ind w:firstLine="420" w:firstLineChars="20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Expert's self-rating of familiarity with the problem</w:t>
      </w:r>
    </w:p>
    <w:tbl>
      <w:tblPr>
        <w:tblStyle w:val="7"/>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37"/>
        <w:gridCol w:w="1378"/>
        <w:gridCol w:w="1252"/>
        <w:gridCol w:w="1389"/>
        <w:gridCol w:w="1428"/>
        <w:gridCol w:w="109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537"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familiarity</w:t>
            </w:r>
          </w:p>
        </w:tc>
        <w:tc>
          <w:tcPr>
            <w:tcW w:w="1378"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Very familiar</w:t>
            </w:r>
            <w:sdt>
              <w:sdtPr>
                <w:rPr>
                  <w:rFonts w:hint="default" w:ascii="Times New Roman" w:hAnsi="Times New Roman" w:cs="Times New Roman" w:eastAsiaTheme="majorEastAsia"/>
                  <w:sz w:val="21"/>
                  <w:szCs w:val="21"/>
                </w:rPr>
                <w:id w:val="-380785284"/>
                <w14:checkbox>
                  <w14:checked w14:val="0"/>
                  <w14:checkedState w14:val="2612" w14:font="MS Gothic"/>
                  <w14:uncheckedState w14:val="2610" w14:font="MS Gothic"/>
                </w14:checkbox>
              </w:sdtPr>
              <w:sdtEndPr>
                <w:rPr>
                  <w:rFonts w:hint="default" w:ascii="Times New Roman" w:hAnsi="Times New Roman" w:cs="Times New Roman" w:eastAsiaTheme="majorEastAsia"/>
                  <w:sz w:val="21"/>
                  <w:szCs w:val="21"/>
                </w:rPr>
              </w:sdtEndPr>
              <w:sdtContent>
                <w:r>
                  <w:rPr>
                    <w:rFonts w:hint="default" w:ascii="Times New Roman" w:hAnsi="Times New Roman" w:eastAsia="MS Gothic" w:cs="Times New Roman"/>
                    <w:kern w:val="2"/>
                    <w:sz w:val="21"/>
                    <w:szCs w:val="21"/>
                    <w:lang w:val="en-US" w:eastAsia="zh-CN" w:bidi="ar-SA"/>
                  </w:rPr>
                  <w:t>☐</w:t>
                </w:r>
              </w:sdtContent>
            </w:sdt>
          </w:p>
        </w:tc>
        <w:tc>
          <w:tcPr>
            <w:tcW w:w="1252"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relatively familiar</w:t>
            </w:r>
            <w:sdt>
              <w:sdtPr>
                <w:rPr>
                  <w:rFonts w:hint="default" w:ascii="Times New Roman" w:hAnsi="Times New Roman" w:cs="Times New Roman" w:eastAsiaTheme="majorEastAsia"/>
                  <w:sz w:val="21"/>
                  <w:szCs w:val="21"/>
                </w:rPr>
                <w:id w:val="887608399"/>
                <w14:checkbox>
                  <w14:checked w14:val="0"/>
                  <w14:checkedState w14:val="2612" w14:font="MS Gothic"/>
                  <w14:uncheckedState w14:val="2610" w14:font="MS Gothic"/>
                </w14:checkbox>
              </w:sdtPr>
              <w:sdtEndPr>
                <w:rPr>
                  <w:rFonts w:hint="default" w:ascii="Times New Roman" w:hAnsi="Times New Roman" w:cs="Times New Roman" w:eastAsiaTheme="majorEastAsia"/>
                  <w:sz w:val="21"/>
                  <w:szCs w:val="21"/>
                </w:rPr>
              </w:sdtEndPr>
              <w:sdtContent>
                <w:r>
                  <w:rPr>
                    <w:rFonts w:hint="default" w:ascii="Times New Roman" w:hAnsi="Times New Roman" w:eastAsia="MS Gothic" w:cs="Times New Roman"/>
                    <w:sz w:val="21"/>
                    <w:szCs w:val="21"/>
                  </w:rPr>
                  <w:t>☐</w:t>
                </w:r>
              </w:sdtContent>
            </w:sdt>
          </w:p>
        </w:tc>
        <w:tc>
          <w:tcPr>
            <w:tcW w:w="1389"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moderately familiar</w:t>
            </w:r>
            <w:sdt>
              <w:sdtPr>
                <w:rPr>
                  <w:rFonts w:hint="default" w:ascii="Times New Roman" w:hAnsi="Times New Roman" w:cs="Times New Roman" w:eastAsiaTheme="majorEastAsia"/>
                  <w:sz w:val="21"/>
                  <w:szCs w:val="21"/>
                </w:rPr>
                <w:id w:val="-1483933721"/>
                <w14:checkbox>
                  <w14:checked w14:val="0"/>
                  <w14:checkedState w14:val="2612" w14:font="MS Gothic"/>
                  <w14:uncheckedState w14:val="2610" w14:font="MS Gothic"/>
                </w14:checkbox>
              </w:sdtPr>
              <w:sdtEndPr>
                <w:rPr>
                  <w:rFonts w:hint="default" w:ascii="Times New Roman" w:hAnsi="Times New Roman" w:cs="Times New Roman" w:eastAsiaTheme="majorEastAsia"/>
                  <w:sz w:val="21"/>
                  <w:szCs w:val="21"/>
                </w:rPr>
              </w:sdtEndPr>
              <w:sdtContent>
                <w:r>
                  <w:rPr>
                    <w:rFonts w:hint="default" w:ascii="Times New Roman" w:hAnsi="Times New Roman" w:eastAsia="MS Gothic" w:cs="Times New Roman"/>
                    <w:sz w:val="21"/>
                    <w:szCs w:val="21"/>
                  </w:rPr>
                  <w:t>☐</w:t>
                </w:r>
              </w:sdtContent>
            </w:sdt>
          </w:p>
        </w:tc>
        <w:tc>
          <w:tcPr>
            <w:tcW w:w="1428"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not very familiar</w:t>
            </w:r>
            <w:sdt>
              <w:sdtPr>
                <w:rPr>
                  <w:rFonts w:hint="default" w:ascii="Times New Roman" w:hAnsi="Times New Roman" w:cs="Times New Roman" w:eastAsiaTheme="majorEastAsia"/>
                  <w:sz w:val="21"/>
                  <w:szCs w:val="21"/>
                </w:rPr>
                <w:id w:val="195828748"/>
                <w14:checkbox>
                  <w14:checked w14:val="0"/>
                  <w14:checkedState w14:val="2612" w14:font="MS Gothic"/>
                  <w14:uncheckedState w14:val="2610" w14:font="MS Gothic"/>
                </w14:checkbox>
              </w:sdtPr>
              <w:sdtEndPr>
                <w:rPr>
                  <w:rFonts w:hint="default" w:ascii="Times New Roman" w:hAnsi="Times New Roman" w:cs="Times New Roman" w:eastAsiaTheme="majorEastAsia"/>
                  <w:sz w:val="21"/>
                  <w:szCs w:val="21"/>
                </w:rPr>
              </w:sdtEndPr>
              <w:sdtContent>
                <w:r>
                  <w:rPr>
                    <w:rFonts w:hint="default" w:ascii="Times New Roman" w:hAnsi="Times New Roman" w:eastAsia="MS Gothic" w:cs="Times New Roman"/>
                    <w:sz w:val="21"/>
                    <w:szCs w:val="21"/>
                  </w:rPr>
                  <w:t>☐</w:t>
                </w:r>
              </w:sdtContent>
            </w:sdt>
          </w:p>
        </w:tc>
        <w:tc>
          <w:tcPr>
            <w:tcW w:w="1097" w:type="dxa"/>
            <w:tcBorders>
              <w:bottom w:val="single" w:color="auto" w:sz="4" w:space="0"/>
            </w:tcBorders>
            <w:shd w:val="clear" w:color="auto" w:fill="auto"/>
            <w:vAlign w:val="center"/>
          </w:tcPr>
          <w:p>
            <w:pPr>
              <w:adjustRightInd w:val="0"/>
              <w:snapToGrid w:val="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not familiar</w:t>
            </w:r>
            <w:sdt>
              <w:sdtPr>
                <w:rPr>
                  <w:rFonts w:hint="default" w:ascii="Times New Roman" w:hAnsi="Times New Roman" w:cs="Times New Roman" w:eastAsiaTheme="majorEastAsia"/>
                  <w:sz w:val="21"/>
                  <w:szCs w:val="21"/>
                </w:rPr>
                <w:id w:val="-277876234"/>
                <w14:checkbox>
                  <w14:checked w14:val="0"/>
                  <w14:checkedState w14:val="2612" w14:font="MS Gothic"/>
                  <w14:uncheckedState w14:val="2610" w14:font="MS Gothic"/>
                </w14:checkbox>
              </w:sdtPr>
              <w:sdtEndPr>
                <w:rPr>
                  <w:rFonts w:hint="default" w:ascii="Times New Roman" w:hAnsi="Times New Roman" w:cs="Times New Roman" w:eastAsiaTheme="majorEastAsia"/>
                  <w:sz w:val="21"/>
                  <w:szCs w:val="21"/>
                </w:rPr>
              </w:sdtEndPr>
              <w:sdtContent>
                <w:r>
                  <w:rPr>
                    <w:rFonts w:hint="default" w:ascii="Times New Roman" w:hAnsi="Times New Roman" w:eastAsia="MS Gothic" w:cs="Times New Roman"/>
                    <w:sz w:val="21"/>
                    <w:szCs w:val="21"/>
                  </w:rPr>
                  <w:t>☐</w:t>
                </w:r>
              </w:sdtContent>
            </w:sdt>
          </w:p>
        </w:tc>
      </w:tr>
    </w:tbl>
    <w:p>
      <w:pPr>
        <w:adjustRightInd w:val="0"/>
        <w:snapToGrid w:val="0"/>
        <w:spacing w:line="360" w:lineRule="auto"/>
        <w:ind w:firstLine="480" w:firstLineChars="200"/>
        <w:rPr>
          <w:rFonts w:asciiTheme="majorEastAsia" w:hAnsiTheme="majorEastAsia" w:eastAsiaTheme="majorEastAsia" w:cstheme="majorEastAsia"/>
          <w:sz w:val="24"/>
          <w:szCs w:val="24"/>
        </w:rPr>
      </w:pPr>
    </w:p>
    <w:p>
      <w:pPr>
        <w:adjustRightInd w:val="0"/>
        <w:snapToGrid w:val="0"/>
        <w:spacing w:line="360" w:lineRule="auto"/>
        <w:ind w:firstLine="480" w:firstLineChars="200"/>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rPr>
        <w:t>Expert general information</w:t>
      </w:r>
      <w:r>
        <w:rPr>
          <w:rFonts w:hint="default" w:ascii="Times New Roman" w:hAnsi="Times New Roman" w:cs="Times New Roman" w:eastAsiaTheme="majorEastAsia"/>
          <w:sz w:val="24"/>
          <w:szCs w:val="24"/>
          <w:lang w:val="en-US" w:eastAsia="zh-CN"/>
        </w:rPr>
        <w:t>:</w:t>
      </w:r>
    </w:p>
    <w:p>
      <w:pPr>
        <w:adjustRightInd w:val="0"/>
        <w:snapToGrid w:val="0"/>
        <w:spacing w:line="360" w:lineRule="auto"/>
        <w:ind w:firstLine="480" w:firstLineChars="200"/>
        <w:rPr>
          <w:rFonts w:hint="default" w:ascii="Times New Roman" w:hAnsi="Times New Roman" w:cs="Times New Roman" w:eastAsiaTheme="majorEastAsia"/>
          <w:sz w:val="24"/>
          <w:szCs w:val="24"/>
          <w:u w:val="single"/>
        </w:rPr>
      </w:pPr>
      <w:r>
        <w:rPr>
          <w:rFonts w:hint="default" w:ascii="Times New Roman" w:hAnsi="Times New Roman" w:cs="Times New Roman" w:eastAsiaTheme="majorEastAsia"/>
          <w:sz w:val="24"/>
          <w:szCs w:val="24"/>
        </w:rPr>
        <w:t>Name</w:t>
      </w:r>
      <w:r>
        <w:rPr>
          <w:rFonts w:hint="default" w:ascii="Times New Roman" w:hAnsi="Times New Roman" w:cs="Times New Roman" w:eastAsiaTheme="majorEastAsia"/>
          <w:sz w:val="24"/>
          <w:szCs w:val="24"/>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rPr>
        <w:t xml:space="preserve"> </w:t>
      </w:r>
      <w:r>
        <w:rPr>
          <w:rFonts w:hint="default" w:ascii="Times New Roman" w:hAnsi="Times New Roman" w:cs="Times New Roman" w:eastAsiaTheme="majorEastAsia"/>
          <w:sz w:val="24"/>
          <w:szCs w:val="24"/>
          <w:lang w:val="en-US" w:eastAsia="zh-CN"/>
        </w:rPr>
        <w:t>S</w:t>
      </w:r>
      <w:r>
        <w:rPr>
          <w:rFonts w:hint="default" w:ascii="Times New Roman" w:hAnsi="Times New Roman" w:cs="Times New Roman" w:eastAsiaTheme="majorEastAsia"/>
          <w:sz w:val="24"/>
          <w:szCs w:val="24"/>
        </w:rPr>
        <w:t>ex</w:t>
      </w:r>
      <w:r>
        <w:rPr>
          <w:rFonts w:hint="default" w:ascii="Times New Roman" w:hAnsi="Times New Roman" w:cs="Times New Roman" w:eastAsiaTheme="majorEastAsia"/>
          <w:sz w:val="24"/>
          <w:szCs w:val="24"/>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rPr>
        <w:t xml:space="preserve"> Highest degree</w:t>
      </w:r>
      <w:r>
        <w:rPr>
          <w:rFonts w:hint="default" w:ascii="Times New Roman" w:hAnsi="Times New Roman" w:cs="Times New Roman" w:eastAsiaTheme="majorEastAsia"/>
          <w:sz w:val="24"/>
          <w:szCs w:val="24"/>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p>
    <w:p>
      <w:pPr>
        <w:adjustRightInd w:val="0"/>
        <w:snapToGrid w:val="0"/>
        <w:spacing w:line="360" w:lineRule="auto"/>
        <w:ind w:firstLine="482" w:firstLineChars="200"/>
        <w:rPr>
          <w:rFonts w:hint="default" w:ascii="Times New Roman" w:hAnsi="Times New Roman" w:cs="Times New Roman" w:eastAsiaTheme="majorEastAsia"/>
          <w:sz w:val="24"/>
          <w:szCs w:val="24"/>
        </w:rPr>
      </w:pPr>
      <w:r>
        <w:rPr>
          <w:rFonts w:hint="default" w:ascii="Times New Roman" w:hAnsi="Times New Roman" w:eastAsia="宋体" w:cs="Times New Roman"/>
          <w:b/>
          <w:bCs/>
          <w:color w:val="auto"/>
          <w:sz w:val="24"/>
          <w:szCs w:val="24"/>
          <w:vertAlign w:val="baseline"/>
          <w:lang w:val="en-US" w:eastAsia="zh-CN"/>
        </w:rPr>
        <w:t>Professional title</w:t>
      </w:r>
      <w:r>
        <w:rPr>
          <w:rFonts w:hint="default" w:ascii="Times New Roman" w:hAnsi="Times New Roman" w:cs="Times New Roman"/>
          <w:b/>
          <w:bCs/>
          <w:color w:val="auto"/>
          <w:sz w:val="24"/>
          <w:szCs w:val="24"/>
          <w:vertAlign w:val="baselin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u w:val="single"/>
          <w:lang w:val="en-US" w:eastAsia="zh-CN"/>
        </w:rPr>
        <w:t xml:space="preserve">  </w:t>
      </w:r>
      <w:r>
        <w:rPr>
          <w:rFonts w:hint="eastAsia"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rPr>
        <w:t xml:space="preserve"> Working years</w:t>
      </w:r>
      <w:r>
        <w:rPr>
          <w:rFonts w:hint="default" w:ascii="Times New Roman" w:hAnsi="Times New Roman" w:cs="Times New Roman" w:eastAsiaTheme="majorEastAsia"/>
          <w:sz w:val="24"/>
          <w:szCs w:val="24"/>
          <w:lang w:val="en-US" w:eastAsia="zh-CN"/>
        </w:rPr>
        <w:t xml:space="preserve">: </w:t>
      </w:r>
      <w:r>
        <w:rPr>
          <w:rFonts w:hint="default" w:ascii="Times New Roman" w:hAnsi="Times New Roman" w:cs="Times New Roman" w:eastAsiaTheme="majorEastAsia"/>
          <w:sz w:val="24"/>
          <w:szCs w:val="24"/>
          <w:u w:val="single"/>
        </w:rPr>
        <w:t xml:space="preserve"> </w:t>
      </w:r>
      <w:r>
        <w:rPr>
          <w:rFonts w:hint="eastAsia"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rPr>
        <w:t xml:space="preserve"> </w:t>
      </w:r>
    </w:p>
    <w:p>
      <w:pPr>
        <w:adjustRightInd w:val="0"/>
        <w:snapToGrid w:val="0"/>
        <w:spacing w:line="360" w:lineRule="auto"/>
        <w:ind w:firstLine="482" w:firstLineChars="200"/>
        <w:rPr>
          <w:rFonts w:asciiTheme="majorEastAsia" w:hAnsiTheme="majorEastAsia" w:eastAsiaTheme="majorEastAsia" w:cstheme="majorEastAsia"/>
          <w:sz w:val="24"/>
          <w:szCs w:val="24"/>
          <w:u w:val="single"/>
        </w:rPr>
      </w:pPr>
      <w:r>
        <w:rPr>
          <w:rFonts w:hint="default" w:ascii="Times New Roman" w:hAnsi="Times New Roman" w:eastAsia="宋体" w:cs="Times New Roman"/>
          <w:b/>
          <w:bCs/>
          <w:color w:val="auto"/>
          <w:sz w:val="24"/>
          <w:szCs w:val="24"/>
          <w:vertAlign w:val="baseline"/>
          <w:lang w:val="en-US" w:eastAsia="zh-CN"/>
        </w:rPr>
        <w:t>Field of work</w:t>
      </w:r>
      <w:r>
        <w:rPr>
          <w:rFonts w:hint="default" w:ascii="Times New Roman" w:hAnsi="Times New Roman" w:cs="Times New Roman"/>
          <w:b/>
          <w:bCs/>
          <w:color w:val="auto"/>
          <w:sz w:val="24"/>
          <w:szCs w:val="24"/>
          <w:vertAlign w:val="baseline"/>
          <w:lang w:val="en-US" w:eastAsia="zh-CN"/>
        </w:rPr>
        <w:t xml:space="preserve">: </w:t>
      </w:r>
      <w:r>
        <w:rPr>
          <w:rFonts w:hint="default" w:ascii="Times New Roman" w:hAnsi="Times New Roman" w:cs="Times New Roman" w:eastAsiaTheme="majorEastAsia"/>
          <w:sz w:val="24"/>
          <w:szCs w:val="24"/>
          <w:u w:val="single"/>
        </w:rPr>
        <w:t xml:space="preserve">  </w:t>
      </w:r>
      <w:r>
        <w:rPr>
          <w:rFonts w:hint="default" w:ascii="Times New Roman" w:hAnsi="Times New Roman" w:cs="Times New Roman" w:eastAsiaTheme="majorEastAsia"/>
          <w:sz w:val="24"/>
          <w:szCs w:val="24"/>
          <w:u w:val="single"/>
          <w:lang w:val="en-US" w:eastAsia="zh-CN"/>
        </w:rPr>
        <w:t xml:space="preserve"> </w:t>
      </w:r>
      <w:r>
        <w:rPr>
          <w:rFonts w:hint="eastAsia"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lang w:val="en-US" w:eastAsia="zh-CN"/>
        </w:rPr>
        <w:t xml:space="preserve"> </w:t>
      </w:r>
      <w:r>
        <w:rPr>
          <w:rFonts w:hint="default" w:ascii="Times New Roman" w:hAnsi="Times New Roman" w:cs="Times New Roman" w:eastAsiaTheme="majorEastAsia"/>
          <w:sz w:val="24"/>
          <w:szCs w:val="24"/>
          <w:u w:val="single"/>
        </w:rPr>
        <w:t xml:space="preserve"> </w:t>
      </w:r>
      <w:r>
        <w:rPr>
          <w:rFonts w:hint="eastAsia" w:asciiTheme="majorEastAsia" w:hAnsiTheme="majorEastAsia" w:eastAsiaTheme="majorEastAsia" w:cstheme="majorEastAsia"/>
          <w:sz w:val="24"/>
          <w:szCs w:val="24"/>
          <w:u w:val="single"/>
        </w:rPr>
        <w:t xml:space="preserve">  </w:t>
      </w:r>
    </w:p>
    <w:p>
      <w:pPr>
        <w:rPr>
          <w:rFonts w:hint="eastAsia"/>
          <w:b/>
          <w:bCs/>
          <w:sz w:val="24"/>
          <w:szCs w:val="28"/>
        </w:rPr>
      </w:pPr>
    </w:p>
    <w:p>
      <w:pPr>
        <w:ind w:firstLine="482" w:firstLineChars="200"/>
        <w:rPr>
          <w:b/>
          <w:bCs/>
          <w:sz w:val="24"/>
          <w:szCs w:val="28"/>
        </w:rPr>
      </w:pPr>
      <w:r>
        <w:rPr>
          <w:rFonts w:hint="eastAsia"/>
          <w:b/>
          <w:bCs/>
          <w:sz w:val="24"/>
          <w:szCs w:val="28"/>
        </w:rPr>
        <w:t>Thank you for your guidance. This consultation is now closed.</w:t>
      </w:r>
    </w:p>
    <w:p>
      <w:pPr>
        <w:rPr>
          <w:b/>
          <w:bCs/>
          <w:sz w:val="24"/>
          <w:szCs w:val="28"/>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B0604020202020204"/>
    <w:charset w:val="86"/>
    <w:family w:val="modern"/>
    <w:pitch w:val="default"/>
    <w:sig w:usb0="00000000" w:usb1="00000000" w:usb2="00000010" w:usb3="00000000" w:csb0="00040000" w:csb1="00000000"/>
  </w:font>
  <w:font w:name="Wingdings 2">
    <w:panose1 w:val="05020102010507070707"/>
    <w:charset w:val="00"/>
    <w:family w:val="decorative"/>
    <w:pitch w:val="default"/>
    <w:sig w:usb0="00000000" w:usb1="00000000" w:usb2="00000000" w:usb3="00000000" w:csb0="80000000" w:csb1="00000000"/>
  </w:font>
  <w:font w:name="Calibri Light">
    <w:panose1 w:val="020F0302020204030204"/>
    <w:charset w:val="00"/>
    <w:family w:val="swiss"/>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single" w:color="4874CB" w:themeColor="accent1" w:sz="12" w:space="11"/>
      </w:pBdr>
      <w:tabs>
        <w:tab w:val="left" w:pos="622"/>
      </w:tabs>
      <w:rPr>
        <w:rFonts w:asciiTheme="majorHAnsi" w:hAnsiTheme="majorHAnsi" w:eastAsiaTheme="majorEastAsia" w:cstheme="majorBidi"/>
        <w:color w:val="2E54A1" w:themeColor="accent1" w:themeShade="BF"/>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single" w:color="4874CB" w:themeColor="accent1" w:sz="12" w:space="11"/>
      </w:pBdr>
      <w:tabs>
        <w:tab w:val="left" w:pos="622"/>
      </w:tabs>
      <w:rPr>
        <w:rFonts w:asciiTheme="majorHAnsi" w:hAnsiTheme="majorHAnsi" w:eastAsiaTheme="majorEastAsia" w:cstheme="majorBidi"/>
        <w:color w:val="2E54A1" w:themeColor="accent1" w:themeShade="BF"/>
        <w:sz w:val="26"/>
        <w:szCs w:val="26"/>
      </w:rPr>
    </w:pPr>
    <w:r>
      <w:rPr>
        <w:sz w:val="2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single" w:color="4874CB" w:themeColor="accent1" w:sz="12" w:space="11"/>
      </w:pBdr>
      <w:tabs>
        <w:tab w:val="left" w:pos="622"/>
      </w:tabs>
      <w:rPr>
        <w:rFonts w:asciiTheme="majorHAnsi" w:hAnsiTheme="majorHAnsi" w:eastAsiaTheme="majorEastAsia" w:cstheme="majorBidi"/>
        <w:color w:val="2E54A1" w:themeColor="accent1" w:themeShade="BF"/>
        <w:sz w:val="26"/>
        <w:szCs w:val="2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mNWYyNmVhZWM2MDZhOWJhMjgxMTNiODBiMTU4ZmYifQ=="/>
  </w:docVars>
  <w:rsids>
    <w:rsidRoot w:val="202A568F"/>
    <w:rsid w:val="00005FB1"/>
    <w:rsid w:val="00046708"/>
    <w:rsid w:val="000547E7"/>
    <w:rsid w:val="00080E12"/>
    <w:rsid w:val="000854C2"/>
    <w:rsid w:val="000871FF"/>
    <w:rsid w:val="00091394"/>
    <w:rsid w:val="00094436"/>
    <w:rsid w:val="000A208A"/>
    <w:rsid w:val="000B4275"/>
    <w:rsid w:val="000B64F6"/>
    <w:rsid w:val="000D5A73"/>
    <w:rsid w:val="000E362A"/>
    <w:rsid w:val="00114438"/>
    <w:rsid w:val="0012644F"/>
    <w:rsid w:val="0013264E"/>
    <w:rsid w:val="001640FC"/>
    <w:rsid w:val="00165ECD"/>
    <w:rsid w:val="001752A2"/>
    <w:rsid w:val="00185BEF"/>
    <w:rsid w:val="0019044E"/>
    <w:rsid w:val="00196E27"/>
    <w:rsid w:val="001A42E4"/>
    <w:rsid w:val="001E1EEC"/>
    <w:rsid w:val="001E64F1"/>
    <w:rsid w:val="001F07A4"/>
    <w:rsid w:val="001F2056"/>
    <w:rsid w:val="001F2159"/>
    <w:rsid w:val="001F216F"/>
    <w:rsid w:val="00210FD8"/>
    <w:rsid w:val="0021600C"/>
    <w:rsid w:val="002309E4"/>
    <w:rsid w:val="00233114"/>
    <w:rsid w:val="00242314"/>
    <w:rsid w:val="00243F1C"/>
    <w:rsid w:val="002541BB"/>
    <w:rsid w:val="00260ADA"/>
    <w:rsid w:val="002612E7"/>
    <w:rsid w:val="002856AC"/>
    <w:rsid w:val="00292C76"/>
    <w:rsid w:val="002A0513"/>
    <w:rsid w:val="002A10F3"/>
    <w:rsid w:val="002A44B2"/>
    <w:rsid w:val="002B0F79"/>
    <w:rsid w:val="002C11D0"/>
    <w:rsid w:val="002C66F1"/>
    <w:rsid w:val="002C77E4"/>
    <w:rsid w:val="002D6E3D"/>
    <w:rsid w:val="002D734E"/>
    <w:rsid w:val="002E1888"/>
    <w:rsid w:val="00305037"/>
    <w:rsid w:val="00310E9D"/>
    <w:rsid w:val="0032139E"/>
    <w:rsid w:val="00325B24"/>
    <w:rsid w:val="00341059"/>
    <w:rsid w:val="00342133"/>
    <w:rsid w:val="00345390"/>
    <w:rsid w:val="00374B34"/>
    <w:rsid w:val="00382736"/>
    <w:rsid w:val="00390C21"/>
    <w:rsid w:val="003928CC"/>
    <w:rsid w:val="00396EF5"/>
    <w:rsid w:val="003A5B25"/>
    <w:rsid w:val="003B0810"/>
    <w:rsid w:val="003B3229"/>
    <w:rsid w:val="003B4F3A"/>
    <w:rsid w:val="003C5A04"/>
    <w:rsid w:val="003E3637"/>
    <w:rsid w:val="003E4664"/>
    <w:rsid w:val="003F279D"/>
    <w:rsid w:val="003F6D7A"/>
    <w:rsid w:val="00417D9B"/>
    <w:rsid w:val="004265C7"/>
    <w:rsid w:val="00455846"/>
    <w:rsid w:val="00456926"/>
    <w:rsid w:val="0046358A"/>
    <w:rsid w:val="004676F8"/>
    <w:rsid w:val="00481D7B"/>
    <w:rsid w:val="00492CD4"/>
    <w:rsid w:val="004A4F37"/>
    <w:rsid w:val="004B604D"/>
    <w:rsid w:val="004D460A"/>
    <w:rsid w:val="004D53A1"/>
    <w:rsid w:val="004E5254"/>
    <w:rsid w:val="005124D6"/>
    <w:rsid w:val="00514EF3"/>
    <w:rsid w:val="00520EA1"/>
    <w:rsid w:val="005443D3"/>
    <w:rsid w:val="00544ABE"/>
    <w:rsid w:val="005504BF"/>
    <w:rsid w:val="00562D80"/>
    <w:rsid w:val="0057329A"/>
    <w:rsid w:val="0057537A"/>
    <w:rsid w:val="005930EF"/>
    <w:rsid w:val="005A3646"/>
    <w:rsid w:val="005B24A2"/>
    <w:rsid w:val="005C41E3"/>
    <w:rsid w:val="005C7D5C"/>
    <w:rsid w:val="005D56AB"/>
    <w:rsid w:val="005D690B"/>
    <w:rsid w:val="005E7815"/>
    <w:rsid w:val="005F109B"/>
    <w:rsid w:val="005F1700"/>
    <w:rsid w:val="005F2BBB"/>
    <w:rsid w:val="005F5E32"/>
    <w:rsid w:val="005F7C2A"/>
    <w:rsid w:val="006002EF"/>
    <w:rsid w:val="00610479"/>
    <w:rsid w:val="006200B2"/>
    <w:rsid w:val="006257FC"/>
    <w:rsid w:val="00631C02"/>
    <w:rsid w:val="00664A60"/>
    <w:rsid w:val="00681D25"/>
    <w:rsid w:val="00682D33"/>
    <w:rsid w:val="00697868"/>
    <w:rsid w:val="006A12F4"/>
    <w:rsid w:val="006A76CC"/>
    <w:rsid w:val="006B1697"/>
    <w:rsid w:val="006B779C"/>
    <w:rsid w:val="006C1E9C"/>
    <w:rsid w:val="006D2F7A"/>
    <w:rsid w:val="006E744D"/>
    <w:rsid w:val="00704BF5"/>
    <w:rsid w:val="00710DE4"/>
    <w:rsid w:val="00716262"/>
    <w:rsid w:val="00724AB1"/>
    <w:rsid w:val="00727F9E"/>
    <w:rsid w:val="0073384B"/>
    <w:rsid w:val="00735CEB"/>
    <w:rsid w:val="00741FF5"/>
    <w:rsid w:val="00744A79"/>
    <w:rsid w:val="00745B69"/>
    <w:rsid w:val="00745E07"/>
    <w:rsid w:val="007548FE"/>
    <w:rsid w:val="00763919"/>
    <w:rsid w:val="007756BC"/>
    <w:rsid w:val="00777795"/>
    <w:rsid w:val="00790F3F"/>
    <w:rsid w:val="007A4D0C"/>
    <w:rsid w:val="007B0C65"/>
    <w:rsid w:val="007B3665"/>
    <w:rsid w:val="007C1B6C"/>
    <w:rsid w:val="007F12D6"/>
    <w:rsid w:val="007F4930"/>
    <w:rsid w:val="008175B6"/>
    <w:rsid w:val="00820FB0"/>
    <w:rsid w:val="008250BE"/>
    <w:rsid w:val="00834F76"/>
    <w:rsid w:val="008363B9"/>
    <w:rsid w:val="00837B29"/>
    <w:rsid w:val="0085697D"/>
    <w:rsid w:val="008624CB"/>
    <w:rsid w:val="00866316"/>
    <w:rsid w:val="008735A8"/>
    <w:rsid w:val="00875718"/>
    <w:rsid w:val="00876053"/>
    <w:rsid w:val="008760C4"/>
    <w:rsid w:val="00880E7B"/>
    <w:rsid w:val="0089149D"/>
    <w:rsid w:val="0089687C"/>
    <w:rsid w:val="00897042"/>
    <w:rsid w:val="008A3B88"/>
    <w:rsid w:val="008B6220"/>
    <w:rsid w:val="008E04E9"/>
    <w:rsid w:val="008F0B14"/>
    <w:rsid w:val="009133F9"/>
    <w:rsid w:val="00916052"/>
    <w:rsid w:val="0093489C"/>
    <w:rsid w:val="0094635B"/>
    <w:rsid w:val="009504F1"/>
    <w:rsid w:val="00961C58"/>
    <w:rsid w:val="009621E7"/>
    <w:rsid w:val="0096399A"/>
    <w:rsid w:val="00964225"/>
    <w:rsid w:val="00971630"/>
    <w:rsid w:val="00972064"/>
    <w:rsid w:val="00985B08"/>
    <w:rsid w:val="0098720A"/>
    <w:rsid w:val="009A2D17"/>
    <w:rsid w:val="009A3A3E"/>
    <w:rsid w:val="009B2DF9"/>
    <w:rsid w:val="009B73AE"/>
    <w:rsid w:val="009E7F00"/>
    <w:rsid w:val="009F1D30"/>
    <w:rsid w:val="009F5A57"/>
    <w:rsid w:val="009F7492"/>
    <w:rsid w:val="009F7562"/>
    <w:rsid w:val="00A0413E"/>
    <w:rsid w:val="00A069A7"/>
    <w:rsid w:val="00A106A1"/>
    <w:rsid w:val="00A17A49"/>
    <w:rsid w:val="00A5194B"/>
    <w:rsid w:val="00A70484"/>
    <w:rsid w:val="00A74F33"/>
    <w:rsid w:val="00A77289"/>
    <w:rsid w:val="00A805EC"/>
    <w:rsid w:val="00A8423A"/>
    <w:rsid w:val="00AA5150"/>
    <w:rsid w:val="00AB122E"/>
    <w:rsid w:val="00AB1593"/>
    <w:rsid w:val="00AB559E"/>
    <w:rsid w:val="00AC6055"/>
    <w:rsid w:val="00AD21A0"/>
    <w:rsid w:val="00B00CAB"/>
    <w:rsid w:val="00B112AA"/>
    <w:rsid w:val="00B12AA8"/>
    <w:rsid w:val="00B17214"/>
    <w:rsid w:val="00B30626"/>
    <w:rsid w:val="00B35D77"/>
    <w:rsid w:val="00B41177"/>
    <w:rsid w:val="00B42011"/>
    <w:rsid w:val="00B84706"/>
    <w:rsid w:val="00B85464"/>
    <w:rsid w:val="00B911FD"/>
    <w:rsid w:val="00BC1087"/>
    <w:rsid w:val="00BD282B"/>
    <w:rsid w:val="00BE3DE6"/>
    <w:rsid w:val="00C0229E"/>
    <w:rsid w:val="00C205E5"/>
    <w:rsid w:val="00C23C03"/>
    <w:rsid w:val="00C278B2"/>
    <w:rsid w:val="00C334F2"/>
    <w:rsid w:val="00C34045"/>
    <w:rsid w:val="00C56F90"/>
    <w:rsid w:val="00C77DA4"/>
    <w:rsid w:val="00C8665A"/>
    <w:rsid w:val="00C9166E"/>
    <w:rsid w:val="00C960BC"/>
    <w:rsid w:val="00CA1113"/>
    <w:rsid w:val="00CA510A"/>
    <w:rsid w:val="00CA744F"/>
    <w:rsid w:val="00CC538C"/>
    <w:rsid w:val="00CD41E6"/>
    <w:rsid w:val="00CF033F"/>
    <w:rsid w:val="00D13BA7"/>
    <w:rsid w:val="00D21B0E"/>
    <w:rsid w:val="00D21B8A"/>
    <w:rsid w:val="00D31CD5"/>
    <w:rsid w:val="00D66614"/>
    <w:rsid w:val="00DA24B9"/>
    <w:rsid w:val="00DD4FE5"/>
    <w:rsid w:val="00DE1836"/>
    <w:rsid w:val="00DE37C8"/>
    <w:rsid w:val="00DE6972"/>
    <w:rsid w:val="00DE7C84"/>
    <w:rsid w:val="00DF2397"/>
    <w:rsid w:val="00DF5B64"/>
    <w:rsid w:val="00E106F5"/>
    <w:rsid w:val="00E220BF"/>
    <w:rsid w:val="00E26E49"/>
    <w:rsid w:val="00E32C15"/>
    <w:rsid w:val="00E53013"/>
    <w:rsid w:val="00E53B5C"/>
    <w:rsid w:val="00E604B2"/>
    <w:rsid w:val="00E7089E"/>
    <w:rsid w:val="00E763E5"/>
    <w:rsid w:val="00E7668A"/>
    <w:rsid w:val="00E91801"/>
    <w:rsid w:val="00E96721"/>
    <w:rsid w:val="00EA379E"/>
    <w:rsid w:val="00EB5B17"/>
    <w:rsid w:val="00EC3FED"/>
    <w:rsid w:val="00EE03AE"/>
    <w:rsid w:val="00EE4AD0"/>
    <w:rsid w:val="00EF7632"/>
    <w:rsid w:val="00F04FDD"/>
    <w:rsid w:val="00F14270"/>
    <w:rsid w:val="00F15B01"/>
    <w:rsid w:val="00F21377"/>
    <w:rsid w:val="00F24FF5"/>
    <w:rsid w:val="00F33858"/>
    <w:rsid w:val="00F34022"/>
    <w:rsid w:val="00F45A8C"/>
    <w:rsid w:val="00F46D15"/>
    <w:rsid w:val="00F54944"/>
    <w:rsid w:val="00F64EF4"/>
    <w:rsid w:val="00F72F90"/>
    <w:rsid w:val="00F7482C"/>
    <w:rsid w:val="00F82084"/>
    <w:rsid w:val="00F97FD8"/>
    <w:rsid w:val="00FA1C7F"/>
    <w:rsid w:val="00FC0408"/>
    <w:rsid w:val="00FC4145"/>
    <w:rsid w:val="00FF49FF"/>
    <w:rsid w:val="01934780"/>
    <w:rsid w:val="019E3125"/>
    <w:rsid w:val="02D52B76"/>
    <w:rsid w:val="03323E9D"/>
    <w:rsid w:val="03331D39"/>
    <w:rsid w:val="03661A20"/>
    <w:rsid w:val="03A569EC"/>
    <w:rsid w:val="059775EE"/>
    <w:rsid w:val="06F753B6"/>
    <w:rsid w:val="075A7AEE"/>
    <w:rsid w:val="08852948"/>
    <w:rsid w:val="08FF094D"/>
    <w:rsid w:val="093E76C7"/>
    <w:rsid w:val="094822F4"/>
    <w:rsid w:val="0963712E"/>
    <w:rsid w:val="09F932B5"/>
    <w:rsid w:val="0A304456"/>
    <w:rsid w:val="0ACE6829"/>
    <w:rsid w:val="0CDD2D53"/>
    <w:rsid w:val="0D3B2F66"/>
    <w:rsid w:val="0DFE11D3"/>
    <w:rsid w:val="0F000FCE"/>
    <w:rsid w:val="0F3E69EE"/>
    <w:rsid w:val="10622F13"/>
    <w:rsid w:val="10BF3140"/>
    <w:rsid w:val="10ED0C29"/>
    <w:rsid w:val="121C431D"/>
    <w:rsid w:val="12575356"/>
    <w:rsid w:val="13301C72"/>
    <w:rsid w:val="1393251F"/>
    <w:rsid w:val="143E13B6"/>
    <w:rsid w:val="15595889"/>
    <w:rsid w:val="15713DA7"/>
    <w:rsid w:val="15D33DF0"/>
    <w:rsid w:val="15F27754"/>
    <w:rsid w:val="16027CCE"/>
    <w:rsid w:val="1663076D"/>
    <w:rsid w:val="168B1A72"/>
    <w:rsid w:val="16FB13D2"/>
    <w:rsid w:val="1768590F"/>
    <w:rsid w:val="17F673BF"/>
    <w:rsid w:val="18622CA6"/>
    <w:rsid w:val="188B5D59"/>
    <w:rsid w:val="198E78B0"/>
    <w:rsid w:val="19FA42F1"/>
    <w:rsid w:val="1A9A04D5"/>
    <w:rsid w:val="1AC13CB4"/>
    <w:rsid w:val="1B916BE3"/>
    <w:rsid w:val="1C26030A"/>
    <w:rsid w:val="1CCF4A2C"/>
    <w:rsid w:val="1EA07494"/>
    <w:rsid w:val="1F152820"/>
    <w:rsid w:val="1F1E7D60"/>
    <w:rsid w:val="1F212F73"/>
    <w:rsid w:val="1F572E39"/>
    <w:rsid w:val="1F75506D"/>
    <w:rsid w:val="1F8D4722"/>
    <w:rsid w:val="1FE16BA6"/>
    <w:rsid w:val="202A568F"/>
    <w:rsid w:val="206B1774"/>
    <w:rsid w:val="21534B99"/>
    <w:rsid w:val="217A6FCE"/>
    <w:rsid w:val="224D0523"/>
    <w:rsid w:val="224F429B"/>
    <w:rsid w:val="22521696"/>
    <w:rsid w:val="236C6787"/>
    <w:rsid w:val="238C6E29"/>
    <w:rsid w:val="23C30A9D"/>
    <w:rsid w:val="242B4DF4"/>
    <w:rsid w:val="24443A10"/>
    <w:rsid w:val="24E72569"/>
    <w:rsid w:val="254E4624"/>
    <w:rsid w:val="25CE3729"/>
    <w:rsid w:val="26786FCB"/>
    <w:rsid w:val="2694227D"/>
    <w:rsid w:val="26E2748C"/>
    <w:rsid w:val="26EC030B"/>
    <w:rsid w:val="277D0F63"/>
    <w:rsid w:val="28265E02"/>
    <w:rsid w:val="28F416F8"/>
    <w:rsid w:val="29F51284"/>
    <w:rsid w:val="2A3C17EC"/>
    <w:rsid w:val="2A930A9D"/>
    <w:rsid w:val="2A954815"/>
    <w:rsid w:val="2B7E4318"/>
    <w:rsid w:val="2C002162"/>
    <w:rsid w:val="2CDC672B"/>
    <w:rsid w:val="2D0143E4"/>
    <w:rsid w:val="2DB9081B"/>
    <w:rsid w:val="2E4E3659"/>
    <w:rsid w:val="2FAF4149"/>
    <w:rsid w:val="2FC02334"/>
    <w:rsid w:val="31377610"/>
    <w:rsid w:val="31886E82"/>
    <w:rsid w:val="318A49A8"/>
    <w:rsid w:val="32D57984"/>
    <w:rsid w:val="32DB1233"/>
    <w:rsid w:val="33705E1F"/>
    <w:rsid w:val="34B23040"/>
    <w:rsid w:val="34C71A6F"/>
    <w:rsid w:val="355337E3"/>
    <w:rsid w:val="356E7F19"/>
    <w:rsid w:val="35E46651"/>
    <w:rsid w:val="360B0081"/>
    <w:rsid w:val="36681030"/>
    <w:rsid w:val="36A04C6E"/>
    <w:rsid w:val="36C50230"/>
    <w:rsid w:val="36DC5722"/>
    <w:rsid w:val="37CA01F4"/>
    <w:rsid w:val="37E666B0"/>
    <w:rsid w:val="37F10211"/>
    <w:rsid w:val="39DD3AE3"/>
    <w:rsid w:val="3A5913BB"/>
    <w:rsid w:val="3ACB62F7"/>
    <w:rsid w:val="3B530501"/>
    <w:rsid w:val="3C88242C"/>
    <w:rsid w:val="3D0F48FB"/>
    <w:rsid w:val="3DCB25D0"/>
    <w:rsid w:val="3E636CAD"/>
    <w:rsid w:val="3EA42C41"/>
    <w:rsid w:val="3EFB5F11"/>
    <w:rsid w:val="40D0614F"/>
    <w:rsid w:val="4110603D"/>
    <w:rsid w:val="4125649B"/>
    <w:rsid w:val="42181B5C"/>
    <w:rsid w:val="422C1AAB"/>
    <w:rsid w:val="426D552C"/>
    <w:rsid w:val="43355123"/>
    <w:rsid w:val="43650DD1"/>
    <w:rsid w:val="43761230"/>
    <w:rsid w:val="44B32010"/>
    <w:rsid w:val="44E0156B"/>
    <w:rsid w:val="44E4666D"/>
    <w:rsid w:val="46244F73"/>
    <w:rsid w:val="46456C98"/>
    <w:rsid w:val="474927B8"/>
    <w:rsid w:val="47DC362C"/>
    <w:rsid w:val="48061FEE"/>
    <w:rsid w:val="48435459"/>
    <w:rsid w:val="4977185E"/>
    <w:rsid w:val="4A0F7CE8"/>
    <w:rsid w:val="4B55797D"/>
    <w:rsid w:val="4B6614EE"/>
    <w:rsid w:val="4BDA60D4"/>
    <w:rsid w:val="4C883D82"/>
    <w:rsid w:val="4D902EEE"/>
    <w:rsid w:val="4FD73056"/>
    <w:rsid w:val="502F4625"/>
    <w:rsid w:val="51D039A8"/>
    <w:rsid w:val="51DF61F2"/>
    <w:rsid w:val="52A15B9E"/>
    <w:rsid w:val="53885450"/>
    <w:rsid w:val="53E64F60"/>
    <w:rsid w:val="54484ABE"/>
    <w:rsid w:val="55456CB4"/>
    <w:rsid w:val="56595624"/>
    <w:rsid w:val="56C762F2"/>
    <w:rsid w:val="578A30A4"/>
    <w:rsid w:val="58A9755A"/>
    <w:rsid w:val="58D42829"/>
    <w:rsid w:val="598D05E1"/>
    <w:rsid w:val="5AAD51B0"/>
    <w:rsid w:val="5AB75F5E"/>
    <w:rsid w:val="5AFC1BC3"/>
    <w:rsid w:val="5B2F1F99"/>
    <w:rsid w:val="5B615180"/>
    <w:rsid w:val="5BE375EE"/>
    <w:rsid w:val="5CD62F36"/>
    <w:rsid w:val="5E7128C8"/>
    <w:rsid w:val="5F6F7558"/>
    <w:rsid w:val="5F752E69"/>
    <w:rsid w:val="60DF620F"/>
    <w:rsid w:val="60F17CF0"/>
    <w:rsid w:val="61581B1D"/>
    <w:rsid w:val="620F48D2"/>
    <w:rsid w:val="629372B1"/>
    <w:rsid w:val="62B00047"/>
    <w:rsid w:val="63360EAB"/>
    <w:rsid w:val="643F0D73"/>
    <w:rsid w:val="644311E7"/>
    <w:rsid w:val="644A563F"/>
    <w:rsid w:val="648F61DE"/>
    <w:rsid w:val="64CA4AE0"/>
    <w:rsid w:val="64D46840"/>
    <w:rsid w:val="653731F2"/>
    <w:rsid w:val="65605444"/>
    <w:rsid w:val="65BE2099"/>
    <w:rsid w:val="665E7BD6"/>
    <w:rsid w:val="67185FD7"/>
    <w:rsid w:val="67917B37"/>
    <w:rsid w:val="689E250C"/>
    <w:rsid w:val="68E144A6"/>
    <w:rsid w:val="68F62348"/>
    <w:rsid w:val="692A1FF1"/>
    <w:rsid w:val="69313380"/>
    <w:rsid w:val="6A0740E0"/>
    <w:rsid w:val="6BDE4E25"/>
    <w:rsid w:val="6BE26BB3"/>
    <w:rsid w:val="6C353187"/>
    <w:rsid w:val="6CA17444"/>
    <w:rsid w:val="6CAF118B"/>
    <w:rsid w:val="6CDE737B"/>
    <w:rsid w:val="6D5533B5"/>
    <w:rsid w:val="6D7221B9"/>
    <w:rsid w:val="6EDB74AA"/>
    <w:rsid w:val="6FA10B33"/>
    <w:rsid w:val="701854E8"/>
    <w:rsid w:val="710A0292"/>
    <w:rsid w:val="71AB7A47"/>
    <w:rsid w:val="720E02AC"/>
    <w:rsid w:val="72424B6E"/>
    <w:rsid w:val="72991150"/>
    <w:rsid w:val="7452064E"/>
    <w:rsid w:val="74744A68"/>
    <w:rsid w:val="756357C0"/>
    <w:rsid w:val="76004806"/>
    <w:rsid w:val="7685056F"/>
    <w:rsid w:val="76936911"/>
    <w:rsid w:val="77670EE6"/>
    <w:rsid w:val="77FF024A"/>
    <w:rsid w:val="78623556"/>
    <w:rsid w:val="78990146"/>
    <w:rsid w:val="7A6D7F90"/>
    <w:rsid w:val="7BD007D6"/>
    <w:rsid w:val="7C02295A"/>
    <w:rsid w:val="7C5331B5"/>
    <w:rsid w:val="7C535A01"/>
    <w:rsid w:val="7CBC0449"/>
    <w:rsid w:val="7CC55E61"/>
    <w:rsid w:val="7CDB38D7"/>
    <w:rsid w:val="7D8F0E4A"/>
    <w:rsid w:val="7DAA32A9"/>
    <w:rsid w:val="7E0E64D2"/>
    <w:rsid w:val="7E3E411D"/>
    <w:rsid w:val="7E492AC2"/>
    <w:rsid w:val="7FB421BD"/>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tabs>
        <w:tab w:val="left" w:pos="0"/>
      </w:tabs>
      <w:adjustRightInd w:val="0"/>
      <w:snapToGrid w:val="0"/>
      <w:spacing w:line="360" w:lineRule="auto"/>
      <w:outlineLvl w:val="1"/>
    </w:pPr>
    <w:rPr>
      <w:rFonts w:ascii="宋体" w:hAnsi="宋体" w:cs="宋体"/>
      <w:b/>
    </w:rPr>
  </w:style>
  <w:style w:type="paragraph" w:styleId="3">
    <w:name w:val="heading 3"/>
    <w:basedOn w:val="1"/>
    <w:next w:val="1"/>
    <w:semiHidden/>
    <w:unhideWhenUsed/>
    <w:qFormat/>
    <w:uiPriority w:val="0"/>
    <w:pPr>
      <w:keepNext/>
      <w:keepLines/>
      <w:spacing w:line="360" w:lineRule="auto"/>
      <w:outlineLvl w:val="2"/>
    </w:pPr>
    <w:rPr>
      <w:rFonts w:ascii="微软雅黑" w:hAnsi="微软雅黑" w:eastAsia="微软雅黑"/>
      <w:b/>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0"/>
    <w:unhideWhenUsed/>
    <w:qFormat/>
    <w:uiPriority w:val="99"/>
    <w:pPr>
      <w:spacing w:line="360" w:lineRule="auto"/>
    </w:pPr>
    <w:rPr>
      <w:rFonts w:eastAsia="楷体_GB2312"/>
      <w:sz w:val="28"/>
      <w:szCs w:val="20"/>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正文文本 字符"/>
    <w:basedOn w:val="9"/>
    <w:link w:val="4"/>
    <w:qFormat/>
    <w:uiPriority w:val="99"/>
    <w:rPr>
      <w:rFonts w:ascii="Times New Roman" w:hAnsi="Times New Roman" w:eastAsia="楷体_GB2312" w:cs="Times New Roman"/>
      <w:kern w:val="2"/>
      <w:sz w:val="28"/>
    </w:rPr>
  </w:style>
  <w:style w:type="character" w:customStyle="1" w:styleId="11">
    <w:name w:val="页眉 字符"/>
    <w:basedOn w:val="9"/>
    <w:link w:val="6"/>
    <w:autoRedefine/>
    <w:qFormat/>
    <w:uiPriority w:val="0"/>
    <w:rPr>
      <w:rFonts w:ascii="Times New Roman" w:hAnsi="Times New Roman" w:cs="Times New Roman"/>
      <w:kern w:val="2"/>
      <w:sz w:val="18"/>
      <w:szCs w:val="18"/>
    </w:rPr>
  </w:style>
  <w:style w:type="character" w:customStyle="1" w:styleId="12">
    <w:name w:val="页脚 字符"/>
    <w:basedOn w:val="9"/>
    <w:link w:val="5"/>
    <w:autoRedefine/>
    <w:qFormat/>
    <w:uiPriority w:val="0"/>
    <w:rPr>
      <w:rFonts w:ascii="Times New Roman" w:hAnsi="Times New Roman" w:cs="Times New Roman"/>
      <w:kern w:val="2"/>
      <w:sz w:val="18"/>
      <w:szCs w:val="18"/>
    </w:rPr>
  </w:style>
  <w:style w:type="paragraph" w:styleId="13">
    <w:name w:val="List Paragraph"/>
    <w:basedOn w:val="1"/>
    <w:autoRedefine/>
    <w:unhideWhenUsed/>
    <w:qFormat/>
    <w:uiPriority w:val="99"/>
    <w:pPr>
      <w:ind w:firstLine="420" w:firstLineChars="200"/>
    </w:pPr>
  </w:style>
  <w:style w:type="character" w:customStyle="1" w:styleId="14">
    <w:name w:val="font41"/>
    <w:basedOn w:val="9"/>
    <w:autoRedefine/>
    <w:qFormat/>
    <w:uiPriority w:val="0"/>
    <w:rPr>
      <w:rFonts w:hint="eastAsia" w:ascii="宋体" w:hAnsi="宋体" w:eastAsia="宋体"/>
      <w:b/>
      <w:bCs/>
      <w:color w:val="000000"/>
      <w:sz w:val="32"/>
      <w:szCs w:val="32"/>
      <w:u w:val="none"/>
    </w:rPr>
  </w:style>
  <w:style w:type="character" w:customStyle="1" w:styleId="15">
    <w:name w:val="font91"/>
    <w:basedOn w:val="9"/>
    <w:autoRedefine/>
    <w:qFormat/>
    <w:uiPriority w:val="0"/>
    <w:rPr>
      <w:rFonts w:hint="eastAsia" w:ascii="宋体" w:hAnsi="宋体" w:eastAsia="宋体"/>
      <w:b/>
      <w:bCs/>
      <w:color w:val="000000"/>
      <w:sz w:val="32"/>
      <w:szCs w:val="32"/>
      <w:u w:val="single"/>
    </w:rPr>
  </w:style>
  <w:style w:type="character" w:customStyle="1" w:styleId="16">
    <w:name w:val="font21"/>
    <w:basedOn w:val="9"/>
    <w:autoRedefine/>
    <w:qFormat/>
    <w:uiPriority w:val="0"/>
    <w:rPr>
      <w:rFonts w:hint="eastAsia" w:ascii="宋体" w:hAnsi="宋体" w:eastAsia="宋体"/>
      <w:color w:val="000000"/>
      <w:sz w:val="20"/>
      <w:szCs w:val="20"/>
      <w:u w:val="none"/>
    </w:rPr>
  </w:style>
  <w:style w:type="character" w:customStyle="1" w:styleId="17">
    <w:name w:val="font81"/>
    <w:basedOn w:val="9"/>
    <w:qFormat/>
    <w:uiPriority w:val="0"/>
    <w:rPr>
      <w:rFonts w:hint="default" w:ascii="Wingdings 2" w:hAnsi="Wingdings 2"/>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3766</Words>
  <Characters>21592</Characters>
  <Lines>80</Lines>
  <Paragraphs>22</Paragraphs>
  <TotalTime>5</TotalTime>
  <ScaleCrop>false</ScaleCrop>
  <LinksUpToDate>false</LinksUpToDate>
  <CharactersWithSpaces>26427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2023-11-09T07:04:00Z</dcterms:created>
  <dc:creator>Yuanyuan Luo</dc:creator>
  <cp:lastModifiedBy>文档存本地丢失不负责</cp:lastModifiedBy>
  <cp:lastPrinted>2023-11-12T02:21:00Z</cp:lastPrinted>
  <dcterms:modified xsi:type="dcterms:W3CDTF">2024-05-23T16:39:28Z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6595B3534E8449D7B80960E6E5DE05E3_11</vt:lpwstr>
  </property>
</Properties>
</file>