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322BC7" w14:textId="77777777" w:rsidR="00721AF0" w:rsidRPr="00D83BC4" w:rsidRDefault="00721AF0" w:rsidP="00721AF0">
      <w:pPr>
        <w:tabs>
          <w:tab w:val="left" w:pos="1380"/>
        </w:tabs>
        <w:spacing w:after="0" w:line="240" w:lineRule="auto"/>
        <w:jc w:val="both"/>
        <w:rPr>
          <w:rFonts w:ascii="Times New Roman" w:hAnsi="Times New Roman"/>
          <w:b/>
          <w:color w:val="000000"/>
          <w:sz w:val="24"/>
          <w:szCs w:val="24"/>
          <w:lang w:val="en-GB"/>
        </w:rPr>
      </w:pPr>
      <w:r w:rsidRPr="00D83BC4">
        <w:rPr>
          <w:rFonts w:ascii="Times New Roman" w:hAnsi="Times New Roman"/>
          <w:b/>
          <w:color w:val="000000"/>
          <w:sz w:val="24"/>
          <w:szCs w:val="24"/>
          <w:lang w:val="en-GB"/>
        </w:rPr>
        <w:t>Supplementary Material</w:t>
      </w:r>
    </w:p>
    <w:p w14:paraId="2FC63FF8" w14:textId="77777777" w:rsidR="00721AF0" w:rsidRPr="00D83BC4" w:rsidRDefault="00721AF0" w:rsidP="00721AF0">
      <w:pPr>
        <w:tabs>
          <w:tab w:val="left" w:pos="1380"/>
        </w:tabs>
        <w:spacing w:after="0" w:line="240" w:lineRule="auto"/>
        <w:jc w:val="both"/>
        <w:rPr>
          <w:rFonts w:ascii="Times New Roman" w:hAnsi="Times New Roman"/>
          <w:color w:val="000000"/>
          <w:sz w:val="24"/>
          <w:szCs w:val="24"/>
          <w:lang w:val="en-GB"/>
        </w:rPr>
      </w:pPr>
    </w:p>
    <w:p w14:paraId="6390DC4B"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The samples represented several black locust cultivars, so their most important unique characteristics are summarized below:</w:t>
      </w:r>
    </w:p>
    <w:p w14:paraId="476002DC" w14:textId="77777777" w:rsidR="00721AF0" w:rsidRPr="00D83BC4" w:rsidRDefault="00721AF0" w:rsidP="00721AF0">
      <w:pPr>
        <w:spacing w:after="0" w:line="240" w:lineRule="auto"/>
        <w:jc w:val="both"/>
        <w:rPr>
          <w:rFonts w:ascii="Times New Roman" w:hAnsi="Times New Roman"/>
          <w:color w:val="000000"/>
          <w:sz w:val="24"/>
          <w:szCs w:val="24"/>
          <w:lang w:val="en-GB"/>
        </w:rPr>
      </w:pPr>
    </w:p>
    <w:p w14:paraId="495A950D"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 xml:space="preserve">Robinia </w:t>
      </w:r>
      <w:proofErr w:type="spellStart"/>
      <w:r w:rsidRPr="00D83BC4">
        <w:rPr>
          <w:rFonts w:ascii="Times New Roman" w:hAnsi="Times New Roman"/>
          <w:i/>
          <w:color w:val="000000"/>
          <w:sz w:val="24"/>
          <w:szCs w:val="24"/>
          <w:lang w:val="en-GB"/>
        </w:rPr>
        <w:t>pseudoacacia</w:t>
      </w:r>
      <w:proofErr w:type="spellEnd"/>
      <w:r w:rsidRPr="00D83BC4">
        <w:rPr>
          <w:rFonts w:ascii="Times New Roman" w:hAnsi="Times New Roman"/>
          <w:i/>
          <w:color w:val="000000"/>
          <w:sz w:val="24"/>
          <w:szCs w:val="24"/>
          <w:lang w:val="en-GB"/>
        </w:rPr>
        <w:t xml:space="preserve"> cv. ’</w:t>
      </w:r>
      <w:proofErr w:type="spellStart"/>
      <w:r w:rsidRPr="00D83BC4">
        <w:rPr>
          <w:rFonts w:ascii="Times New Roman" w:hAnsi="Times New Roman"/>
          <w:i/>
          <w:color w:val="000000"/>
          <w:sz w:val="24"/>
          <w:szCs w:val="24"/>
          <w:lang w:val="en-GB"/>
        </w:rPr>
        <w:t>Kiskunsági</w:t>
      </w:r>
      <w:proofErr w:type="spellEnd"/>
      <w:r w:rsidRPr="00D83BC4">
        <w:rPr>
          <w:rFonts w:ascii="Times New Roman" w:hAnsi="Times New Roman"/>
          <w:i/>
          <w:color w:val="000000"/>
          <w:sz w:val="24"/>
          <w:szCs w:val="24"/>
          <w:lang w:val="en-GB"/>
        </w:rPr>
        <w:t>’ – ’</w:t>
      </w:r>
      <w:proofErr w:type="spellStart"/>
      <w:r w:rsidRPr="00D83BC4">
        <w:rPr>
          <w:rFonts w:ascii="Times New Roman" w:hAnsi="Times New Roman"/>
          <w:i/>
          <w:color w:val="000000"/>
          <w:sz w:val="24"/>
          <w:szCs w:val="24"/>
          <w:lang w:val="en-GB"/>
        </w:rPr>
        <w:t>Kiskunsági</w:t>
      </w:r>
      <w:proofErr w:type="spellEnd"/>
      <w:r w:rsidRPr="00D83BC4">
        <w:rPr>
          <w:rFonts w:ascii="Times New Roman" w:hAnsi="Times New Roman"/>
          <w:i/>
          <w:color w:val="000000"/>
          <w:sz w:val="24"/>
          <w:szCs w:val="24"/>
          <w:lang w:val="en-GB"/>
        </w:rPr>
        <w:t>’ locust (EL12)</w:t>
      </w:r>
    </w:p>
    <w:p w14:paraId="3314F97A"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Agency responsible for breeding and archives preservation: Forest Research Institute</w:t>
      </w:r>
    </w:p>
    <w:p w14:paraId="46B38A6C"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Origin: Plus-trees Nos 30 and 31 were selected from </w:t>
      </w:r>
      <w:proofErr w:type="spellStart"/>
      <w:r w:rsidRPr="00D83BC4">
        <w:rPr>
          <w:rFonts w:ascii="Times New Roman" w:hAnsi="Times New Roman"/>
          <w:color w:val="000000"/>
          <w:sz w:val="24"/>
          <w:szCs w:val="24"/>
          <w:lang w:val="en-GB"/>
        </w:rPr>
        <w:t>subcompartment</w:t>
      </w:r>
      <w:proofErr w:type="spellEnd"/>
      <w:r w:rsidRPr="00D83BC4">
        <w:rPr>
          <w:rFonts w:ascii="Times New Roman" w:hAnsi="Times New Roman"/>
          <w:color w:val="000000"/>
          <w:sz w:val="24"/>
          <w:szCs w:val="24"/>
          <w:lang w:val="en-GB"/>
        </w:rPr>
        <w:t xml:space="preserve"> </w:t>
      </w:r>
      <w:proofErr w:type="spellStart"/>
      <w:r w:rsidRPr="00D83BC4">
        <w:rPr>
          <w:rFonts w:ascii="Times New Roman" w:hAnsi="Times New Roman"/>
          <w:color w:val="000000"/>
          <w:sz w:val="24"/>
          <w:szCs w:val="24"/>
          <w:lang w:val="en-GB"/>
        </w:rPr>
        <w:t>Kerekegyháza</w:t>
      </w:r>
      <w:proofErr w:type="spellEnd"/>
      <w:r w:rsidRPr="00D83BC4">
        <w:rPr>
          <w:rFonts w:ascii="Times New Roman" w:hAnsi="Times New Roman"/>
          <w:color w:val="000000"/>
          <w:sz w:val="24"/>
          <w:szCs w:val="24"/>
          <w:lang w:val="en-GB"/>
        </w:rPr>
        <w:t xml:space="preserve"> 12/A in a </w:t>
      </w:r>
      <w:proofErr w:type="spellStart"/>
      <w:r w:rsidRPr="00D83BC4">
        <w:rPr>
          <w:rFonts w:ascii="Times New Roman" w:hAnsi="Times New Roman"/>
          <w:color w:val="000000"/>
          <w:sz w:val="24"/>
          <w:szCs w:val="24"/>
          <w:lang w:val="en-GB"/>
        </w:rPr>
        <w:t>shipmast</w:t>
      </w:r>
      <w:proofErr w:type="spellEnd"/>
      <w:r w:rsidRPr="00D83BC4">
        <w:rPr>
          <w:rFonts w:ascii="Times New Roman" w:hAnsi="Times New Roman"/>
          <w:color w:val="000000"/>
          <w:sz w:val="24"/>
          <w:szCs w:val="24"/>
          <w:lang w:val="en-GB"/>
        </w:rPr>
        <w:t xml:space="preserve"> type coppice stand on a chernozem-like sandy soil with a coarse sand cover.</w:t>
      </w:r>
    </w:p>
    <w:p w14:paraId="70D2278D"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Characterization: Pinnata type. Trunk is cylindrical, straight to the top of crown. Branches are thin, at a sharp angle to the stem. Shoots are light green coloured, ribbed and sometimes twisted. Spines are 1.0-1.5 cm long. Leaves are long (30-45 cm) and pendulous. Leaflets are lanceolate with blunt or slightly truncate mucronate tips. Leaves remain dark-green even in autumn; </w:t>
      </w:r>
      <w:proofErr w:type="spellStart"/>
      <w:r w:rsidRPr="00D83BC4">
        <w:rPr>
          <w:rFonts w:ascii="Times New Roman" w:hAnsi="Times New Roman"/>
          <w:color w:val="000000"/>
          <w:sz w:val="24"/>
          <w:szCs w:val="24"/>
          <w:lang w:val="en-GB"/>
        </w:rPr>
        <w:t>leaffall</w:t>
      </w:r>
      <w:proofErr w:type="spellEnd"/>
      <w:r w:rsidRPr="00D83BC4">
        <w:rPr>
          <w:rFonts w:ascii="Times New Roman" w:hAnsi="Times New Roman"/>
          <w:color w:val="000000"/>
          <w:sz w:val="24"/>
          <w:szCs w:val="24"/>
          <w:lang w:val="en-GB"/>
        </w:rPr>
        <w:t xml:space="preserve"> is very late. Seedlings have characteristically pendulous foliage. Racemes are loose, very long (15-20 cm) with large flowers. Flowering is abundant and flowers are much frequented by bees.</w:t>
      </w:r>
    </w:p>
    <w:p w14:paraId="49442FA7" w14:textId="77777777" w:rsidR="00721AF0" w:rsidRPr="00D83BC4" w:rsidRDefault="00721AF0" w:rsidP="00721AF0">
      <w:pPr>
        <w:spacing w:after="0" w:line="240" w:lineRule="auto"/>
        <w:jc w:val="both"/>
        <w:rPr>
          <w:rFonts w:ascii="Times New Roman" w:hAnsi="Times New Roman"/>
          <w:color w:val="000000"/>
          <w:sz w:val="24"/>
          <w:szCs w:val="24"/>
          <w:lang w:val="en-GB"/>
        </w:rPr>
      </w:pPr>
    </w:p>
    <w:p w14:paraId="57E4F501"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 xml:space="preserve">Robinia </w:t>
      </w:r>
      <w:proofErr w:type="spellStart"/>
      <w:r w:rsidRPr="00D83BC4">
        <w:rPr>
          <w:rFonts w:ascii="Times New Roman" w:hAnsi="Times New Roman"/>
          <w:i/>
          <w:color w:val="000000"/>
          <w:sz w:val="24"/>
          <w:szCs w:val="24"/>
          <w:lang w:val="en-GB"/>
        </w:rPr>
        <w:t>pseudoacacia</w:t>
      </w:r>
      <w:proofErr w:type="spellEnd"/>
      <w:r w:rsidRPr="00D83BC4">
        <w:rPr>
          <w:rFonts w:ascii="Times New Roman" w:hAnsi="Times New Roman"/>
          <w:i/>
          <w:color w:val="000000"/>
          <w:sz w:val="24"/>
          <w:szCs w:val="24"/>
          <w:lang w:val="en-GB"/>
        </w:rPr>
        <w:t xml:space="preserve"> cv. ’</w:t>
      </w:r>
      <w:proofErr w:type="spellStart"/>
      <w:r w:rsidRPr="00D83BC4">
        <w:rPr>
          <w:rFonts w:ascii="Times New Roman" w:hAnsi="Times New Roman"/>
          <w:i/>
          <w:color w:val="000000"/>
          <w:sz w:val="24"/>
          <w:szCs w:val="24"/>
          <w:lang w:val="en-GB"/>
        </w:rPr>
        <w:t>Nyírségi</w:t>
      </w:r>
      <w:proofErr w:type="spellEnd"/>
      <w:r w:rsidRPr="00D83BC4">
        <w:rPr>
          <w:rFonts w:ascii="Times New Roman" w:hAnsi="Times New Roman"/>
          <w:i/>
          <w:color w:val="000000"/>
          <w:sz w:val="24"/>
          <w:szCs w:val="24"/>
          <w:lang w:val="en-GB"/>
        </w:rPr>
        <w:t>’ – ’</w:t>
      </w:r>
      <w:proofErr w:type="spellStart"/>
      <w:r w:rsidRPr="00D83BC4">
        <w:rPr>
          <w:rFonts w:ascii="Times New Roman" w:hAnsi="Times New Roman"/>
          <w:i/>
          <w:color w:val="000000"/>
          <w:sz w:val="24"/>
          <w:szCs w:val="24"/>
          <w:lang w:val="en-GB"/>
        </w:rPr>
        <w:t>Nyírségi</w:t>
      </w:r>
      <w:proofErr w:type="spellEnd"/>
      <w:r w:rsidRPr="00D83BC4">
        <w:rPr>
          <w:rFonts w:ascii="Times New Roman" w:hAnsi="Times New Roman"/>
          <w:i/>
          <w:color w:val="000000"/>
          <w:sz w:val="24"/>
          <w:szCs w:val="24"/>
          <w:lang w:val="en-GB"/>
        </w:rPr>
        <w:t>’ locust (EL10, ET10)</w:t>
      </w:r>
    </w:p>
    <w:p w14:paraId="05981151"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Agency responsible for breeding and archives preservation: Forest Research Institute</w:t>
      </w:r>
    </w:p>
    <w:p w14:paraId="35DCFDC2"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Origin: Plus-trees Nos 1, 2, 35, 36, 37 and 38 were selected from </w:t>
      </w:r>
      <w:proofErr w:type="spellStart"/>
      <w:r w:rsidRPr="00D83BC4">
        <w:rPr>
          <w:rFonts w:ascii="Times New Roman" w:hAnsi="Times New Roman"/>
          <w:color w:val="000000"/>
          <w:sz w:val="24"/>
          <w:szCs w:val="24"/>
          <w:lang w:val="en-GB"/>
        </w:rPr>
        <w:t>subcompartment</w:t>
      </w:r>
      <w:proofErr w:type="spellEnd"/>
      <w:r w:rsidRPr="00D83BC4">
        <w:rPr>
          <w:rFonts w:ascii="Times New Roman" w:hAnsi="Times New Roman"/>
          <w:color w:val="000000"/>
          <w:sz w:val="24"/>
          <w:szCs w:val="24"/>
          <w:lang w:val="en-GB"/>
        </w:rPr>
        <w:t xml:space="preserve"> </w:t>
      </w:r>
      <w:proofErr w:type="spellStart"/>
      <w:r w:rsidRPr="00D83BC4">
        <w:rPr>
          <w:rFonts w:ascii="Times New Roman" w:hAnsi="Times New Roman"/>
          <w:color w:val="000000"/>
          <w:sz w:val="24"/>
          <w:szCs w:val="24"/>
          <w:lang w:val="en-GB"/>
        </w:rPr>
        <w:t>Nyírbátor</w:t>
      </w:r>
      <w:proofErr w:type="spellEnd"/>
      <w:r w:rsidRPr="00D83BC4">
        <w:rPr>
          <w:rFonts w:ascii="Times New Roman" w:hAnsi="Times New Roman"/>
          <w:color w:val="000000"/>
          <w:sz w:val="24"/>
          <w:szCs w:val="24"/>
          <w:lang w:val="en-GB"/>
        </w:rPr>
        <w:t xml:space="preserve"> 35/B which is a </w:t>
      </w:r>
      <w:proofErr w:type="spellStart"/>
      <w:r w:rsidRPr="00D83BC4">
        <w:rPr>
          <w:rFonts w:ascii="Times New Roman" w:hAnsi="Times New Roman"/>
          <w:color w:val="000000"/>
          <w:sz w:val="24"/>
          <w:szCs w:val="24"/>
          <w:lang w:val="en-GB"/>
        </w:rPr>
        <w:t>shipmast</w:t>
      </w:r>
      <w:proofErr w:type="spellEnd"/>
      <w:r w:rsidRPr="00D83BC4">
        <w:rPr>
          <w:rFonts w:ascii="Times New Roman" w:hAnsi="Times New Roman"/>
          <w:color w:val="000000"/>
          <w:sz w:val="24"/>
          <w:szCs w:val="24"/>
          <w:lang w:val="en-GB"/>
        </w:rPr>
        <w:t xml:space="preserve"> type black locust forest on rusty-brown forest soil.</w:t>
      </w:r>
    </w:p>
    <w:p w14:paraId="79FFD131"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Characterization: Pinnata type. The stem is straight like that of ’Robusta’ poplar, reaching to the top of tree, both diameter and height growth are vigorous. Branches are straight, and at a narrow angle to the trunk. The crown is very well developed. Leaves are irregularly placed in a characteristic form. Leaflets are elliptical with a blunt, truncated tip. Foliage is dense. Flowers are white-coloured, standing in short racemes containing, on average, 16 flowers. The abundance of flowers is variable and seed yield is very low.</w:t>
      </w:r>
    </w:p>
    <w:p w14:paraId="66093D35" w14:textId="77777777" w:rsidR="00721AF0" w:rsidRPr="00D83BC4" w:rsidRDefault="00721AF0" w:rsidP="00721AF0">
      <w:pPr>
        <w:spacing w:after="0" w:line="240" w:lineRule="auto"/>
        <w:jc w:val="both"/>
        <w:rPr>
          <w:rFonts w:ascii="Times New Roman" w:hAnsi="Times New Roman"/>
          <w:color w:val="000000"/>
          <w:sz w:val="24"/>
          <w:szCs w:val="24"/>
          <w:lang w:val="en-GB"/>
        </w:rPr>
      </w:pPr>
    </w:p>
    <w:p w14:paraId="0B7E1690"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 xml:space="preserve">Robinia </w:t>
      </w:r>
      <w:proofErr w:type="spellStart"/>
      <w:r w:rsidRPr="00D83BC4">
        <w:rPr>
          <w:rFonts w:ascii="Times New Roman" w:hAnsi="Times New Roman"/>
          <w:i/>
          <w:color w:val="000000"/>
          <w:sz w:val="24"/>
          <w:szCs w:val="24"/>
          <w:lang w:val="en-GB"/>
        </w:rPr>
        <w:t>pseudoacacia</w:t>
      </w:r>
      <w:proofErr w:type="spellEnd"/>
      <w:r w:rsidRPr="00D83BC4">
        <w:rPr>
          <w:rFonts w:ascii="Times New Roman" w:hAnsi="Times New Roman"/>
          <w:i/>
          <w:color w:val="000000"/>
          <w:sz w:val="24"/>
          <w:szCs w:val="24"/>
          <w:lang w:val="en-GB"/>
        </w:rPr>
        <w:t xml:space="preserve"> cv. ’</w:t>
      </w:r>
      <w:proofErr w:type="spellStart"/>
      <w:r w:rsidRPr="00D83BC4">
        <w:rPr>
          <w:rFonts w:ascii="Times New Roman" w:hAnsi="Times New Roman"/>
          <w:i/>
          <w:color w:val="000000"/>
          <w:sz w:val="24"/>
          <w:szCs w:val="24"/>
          <w:lang w:val="en-GB"/>
        </w:rPr>
        <w:t>Üllői</w:t>
      </w:r>
      <w:proofErr w:type="spellEnd"/>
      <w:r w:rsidRPr="00D83BC4">
        <w:rPr>
          <w:rFonts w:ascii="Times New Roman" w:hAnsi="Times New Roman"/>
          <w:i/>
          <w:color w:val="000000"/>
          <w:sz w:val="24"/>
          <w:szCs w:val="24"/>
          <w:lang w:val="en-GB"/>
        </w:rPr>
        <w:t>’ – ’</w:t>
      </w:r>
      <w:proofErr w:type="spellStart"/>
      <w:r w:rsidRPr="00D83BC4">
        <w:rPr>
          <w:rFonts w:ascii="Times New Roman" w:hAnsi="Times New Roman"/>
          <w:i/>
          <w:color w:val="000000"/>
          <w:sz w:val="24"/>
          <w:szCs w:val="24"/>
          <w:lang w:val="en-GB"/>
        </w:rPr>
        <w:t>Üllői</w:t>
      </w:r>
      <w:proofErr w:type="spellEnd"/>
      <w:r w:rsidRPr="00D83BC4">
        <w:rPr>
          <w:rFonts w:ascii="Times New Roman" w:hAnsi="Times New Roman"/>
          <w:i/>
          <w:color w:val="000000"/>
          <w:sz w:val="24"/>
          <w:szCs w:val="24"/>
          <w:lang w:val="en-GB"/>
        </w:rPr>
        <w:t>’ locust (EL1, EL11, ET1)</w:t>
      </w:r>
    </w:p>
    <w:p w14:paraId="7F3452E6"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Agency responsible for breeding and archives preservation: Forest Research Institute</w:t>
      </w:r>
    </w:p>
    <w:p w14:paraId="155D316D"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Origin: In March 1966 plus-trees were selected from </w:t>
      </w:r>
      <w:proofErr w:type="spellStart"/>
      <w:r w:rsidRPr="00D83BC4">
        <w:rPr>
          <w:rFonts w:ascii="Times New Roman" w:hAnsi="Times New Roman"/>
          <w:color w:val="000000"/>
          <w:sz w:val="24"/>
          <w:szCs w:val="24"/>
          <w:lang w:val="en-GB"/>
        </w:rPr>
        <w:t>subcompartment</w:t>
      </w:r>
      <w:proofErr w:type="spellEnd"/>
      <w:r w:rsidRPr="00D83BC4">
        <w:rPr>
          <w:rFonts w:ascii="Times New Roman" w:hAnsi="Times New Roman"/>
          <w:color w:val="000000"/>
          <w:sz w:val="24"/>
          <w:szCs w:val="24"/>
          <w:lang w:val="en-GB"/>
        </w:rPr>
        <w:t xml:space="preserve"> Üllő 10/D on rusty-brown forest soil developed on sand, deposited on meadow forest soil (Nos 47, 48 and 49). Collection of scions created difficulties because climbers could not take up a safety station on the trees due to their tapering stem and narrow crown. </w:t>
      </w:r>
    </w:p>
    <w:p w14:paraId="333DDD6B"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Characterization: Pinnata type. Trunk is vigorous, cylindrical and straight to the top of crown. Spines are tiny. Leaflets are oval-shaped and widest in the middle part, tips are blunt at the and with small awns. Leaflets on the underside are glaucous. The largest leaflets are in the middle part of the compound leaf. </w:t>
      </w:r>
    </w:p>
    <w:p w14:paraId="67641BE6" w14:textId="77777777" w:rsidR="00721AF0" w:rsidRPr="00D83BC4" w:rsidRDefault="00721AF0" w:rsidP="00721AF0">
      <w:pPr>
        <w:spacing w:after="0" w:line="240" w:lineRule="auto"/>
        <w:jc w:val="both"/>
        <w:rPr>
          <w:rFonts w:ascii="Times New Roman" w:hAnsi="Times New Roman"/>
          <w:color w:val="000000"/>
          <w:sz w:val="24"/>
          <w:szCs w:val="24"/>
          <w:lang w:val="en-GB"/>
        </w:rPr>
      </w:pPr>
    </w:p>
    <w:p w14:paraId="068F3215"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 xml:space="preserve">Robinia </w:t>
      </w:r>
      <w:proofErr w:type="spellStart"/>
      <w:r w:rsidRPr="00D83BC4">
        <w:rPr>
          <w:rFonts w:ascii="Times New Roman" w:hAnsi="Times New Roman"/>
          <w:i/>
          <w:color w:val="000000"/>
          <w:sz w:val="24"/>
          <w:szCs w:val="24"/>
          <w:lang w:val="en-GB"/>
        </w:rPr>
        <w:t>pseudoacacia</w:t>
      </w:r>
      <w:proofErr w:type="spellEnd"/>
      <w:r w:rsidRPr="00D83BC4">
        <w:rPr>
          <w:rFonts w:ascii="Times New Roman" w:hAnsi="Times New Roman"/>
          <w:i/>
          <w:color w:val="000000"/>
          <w:sz w:val="24"/>
          <w:szCs w:val="24"/>
          <w:lang w:val="en-GB"/>
        </w:rPr>
        <w:t xml:space="preserve"> cv. ’Zalai’ – ’Zalai’ locust (EL3, ET3)</w:t>
      </w:r>
    </w:p>
    <w:p w14:paraId="3E80F5D8"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Agency responsible for breeding and archives preservation: Forest Research Institute</w:t>
      </w:r>
    </w:p>
    <w:p w14:paraId="74642B5E"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Origin: 9 plus-trees were selected from </w:t>
      </w:r>
      <w:proofErr w:type="spellStart"/>
      <w:r w:rsidRPr="00D83BC4">
        <w:rPr>
          <w:rFonts w:ascii="Times New Roman" w:hAnsi="Times New Roman"/>
          <w:color w:val="000000"/>
          <w:sz w:val="24"/>
          <w:szCs w:val="24"/>
          <w:lang w:val="en-GB"/>
        </w:rPr>
        <w:t>subcompartments</w:t>
      </w:r>
      <w:proofErr w:type="spellEnd"/>
      <w:r w:rsidRPr="00D83BC4">
        <w:rPr>
          <w:rFonts w:ascii="Times New Roman" w:hAnsi="Times New Roman"/>
          <w:color w:val="000000"/>
          <w:sz w:val="24"/>
          <w:szCs w:val="24"/>
          <w:lang w:val="en-GB"/>
        </w:rPr>
        <w:t xml:space="preserve"> </w:t>
      </w:r>
      <w:proofErr w:type="spellStart"/>
      <w:r w:rsidRPr="00D83BC4">
        <w:rPr>
          <w:rFonts w:ascii="Times New Roman" w:hAnsi="Times New Roman"/>
          <w:color w:val="000000"/>
          <w:sz w:val="24"/>
          <w:szCs w:val="24"/>
          <w:lang w:val="en-GB"/>
        </w:rPr>
        <w:t>Zalaszentiván</w:t>
      </w:r>
      <w:proofErr w:type="spellEnd"/>
      <w:r w:rsidRPr="00D83BC4">
        <w:rPr>
          <w:rFonts w:ascii="Times New Roman" w:hAnsi="Times New Roman"/>
          <w:color w:val="000000"/>
          <w:sz w:val="24"/>
          <w:szCs w:val="24"/>
          <w:lang w:val="en-GB"/>
        </w:rPr>
        <w:t xml:space="preserve"> 6/A and 6/B in 1959. The stand is on brown forest soil of </w:t>
      </w:r>
      <w:proofErr w:type="spellStart"/>
      <w:r w:rsidRPr="00D83BC4">
        <w:rPr>
          <w:rFonts w:ascii="Times New Roman" w:hAnsi="Times New Roman"/>
          <w:color w:val="000000"/>
          <w:sz w:val="24"/>
          <w:szCs w:val="24"/>
          <w:lang w:val="en-GB"/>
        </w:rPr>
        <w:t>Ramann</w:t>
      </w:r>
      <w:proofErr w:type="spellEnd"/>
      <w:r w:rsidRPr="00D83BC4">
        <w:rPr>
          <w:rFonts w:ascii="Times New Roman" w:hAnsi="Times New Roman"/>
          <w:color w:val="000000"/>
          <w:sz w:val="24"/>
          <w:szCs w:val="24"/>
          <w:lang w:val="en-GB"/>
        </w:rPr>
        <w:t xml:space="preserve"> type and is of coppice origin.</w:t>
      </w:r>
    </w:p>
    <w:p w14:paraId="41E0B56D"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Characterization: Pinnata type. Free grown stems are straight, like conifers. Trunks are cylindrical and straight to the top of crown, rising like columns from the soil, with little or no buttressing. In older trees, the bark is thick and cracked with long, dep furrows between large coarse plates. Branches are at a sharp angle to the stem. Leaves are spirally or randomly arranged, resulting in a crown structure making maximum use of the sunlight. Leaflets are ovate-elliptic, their tips pointed or blunt, and their bases cuneate or rounded. It normally flushes </w:t>
      </w:r>
      <w:r w:rsidRPr="00D83BC4">
        <w:rPr>
          <w:rFonts w:ascii="Times New Roman" w:hAnsi="Times New Roman"/>
          <w:color w:val="000000"/>
          <w:sz w:val="24"/>
          <w:szCs w:val="24"/>
          <w:lang w:val="en-GB"/>
        </w:rPr>
        <w:lastRenderedPageBreak/>
        <w:t xml:space="preserve">late, whereas </w:t>
      </w:r>
      <w:proofErr w:type="spellStart"/>
      <w:r w:rsidRPr="00D83BC4">
        <w:rPr>
          <w:rFonts w:ascii="Times New Roman" w:hAnsi="Times New Roman"/>
          <w:color w:val="000000"/>
          <w:sz w:val="24"/>
          <w:szCs w:val="24"/>
          <w:lang w:val="en-GB"/>
        </w:rPr>
        <w:t>leaffall</w:t>
      </w:r>
      <w:proofErr w:type="spellEnd"/>
      <w:r w:rsidRPr="00D83BC4">
        <w:rPr>
          <w:rFonts w:ascii="Times New Roman" w:hAnsi="Times New Roman"/>
          <w:color w:val="000000"/>
          <w:sz w:val="24"/>
          <w:szCs w:val="24"/>
          <w:lang w:val="en-GB"/>
        </w:rPr>
        <w:t xml:space="preserve"> is the earliest of all cultivars, so the growing season is short. Racemes are short, and contain on average 14 flowers which are white. Flowering starts at the same time, or 1-2 days later, than that of common locust. The small crowns bear many flowers. Seed yield is medium to good.</w:t>
      </w:r>
    </w:p>
    <w:p w14:paraId="649CEF3C" w14:textId="77777777" w:rsidR="00721AF0" w:rsidRPr="00D83BC4" w:rsidRDefault="00721AF0" w:rsidP="00721AF0">
      <w:pPr>
        <w:spacing w:after="0" w:line="240" w:lineRule="auto"/>
        <w:jc w:val="both"/>
        <w:rPr>
          <w:rFonts w:ascii="Times New Roman" w:hAnsi="Times New Roman"/>
          <w:color w:val="000000"/>
          <w:sz w:val="24"/>
          <w:szCs w:val="24"/>
          <w:lang w:val="en-GB"/>
        </w:rPr>
      </w:pPr>
    </w:p>
    <w:p w14:paraId="7392CC6D"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 xml:space="preserve">Robinia </w:t>
      </w:r>
      <w:proofErr w:type="spellStart"/>
      <w:r w:rsidRPr="00D83BC4">
        <w:rPr>
          <w:rFonts w:ascii="Times New Roman" w:hAnsi="Times New Roman"/>
          <w:i/>
          <w:color w:val="000000"/>
          <w:sz w:val="24"/>
          <w:szCs w:val="24"/>
          <w:lang w:val="en-GB"/>
        </w:rPr>
        <w:t>pseudoacacia</w:t>
      </w:r>
      <w:proofErr w:type="spellEnd"/>
      <w:r w:rsidRPr="00D83BC4">
        <w:rPr>
          <w:rFonts w:ascii="Times New Roman" w:hAnsi="Times New Roman"/>
          <w:i/>
          <w:color w:val="000000"/>
          <w:sz w:val="24"/>
          <w:szCs w:val="24"/>
          <w:lang w:val="en-GB"/>
        </w:rPr>
        <w:t xml:space="preserve"> cv. ’Szajki’ – ’Szajki’ locust (EL7, EL13, ET7)</w:t>
      </w:r>
    </w:p>
    <w:p w14:paraId="61B9668F" w14:textId="77777777" w:rsidR="00721AF0" w:rsidRPr="00D83BC4" w:rsidRDefault="00721AF0" w:rsidP="00721AF0">
      <w:pPr>
        <w:spacing w:after="0" w:line="240" w:lineRule="auto"/>
        <w:jc w:val="both"/>
        <w:rPr>
          <w:rFonts w:ascii="Times New Roman" w:hAnsi="Times New Roman"/>
          <w:sz w:val="24"/>
          <w:szCs w:val="24"/>
          <w:lang w:val="en-GB"/>
        </w:rPr>
      </w:pPr>
      <w:r w:rsidRPr="00D83BC4">
        <w:rPr>
          <w:rFonts w:ascii="Times New Roman" w:hAnsi="Times New Roman"/>
          <w:sz w:val="24"/>
          <w:szCs w:val="24"/>
          <w:lang w:val="en-GB"/>
        </w:rPr>
        <w:t>Agency responsible for breeding and archives preservation: Forest Research Institute</w:t>
      </w:r>
    </w:p>
    <w:p w14:paraId="20A06A9F"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Origin: 5 plus-trees (Nos 23, 24, 25, 26, 27) were selected by Kopecky in 1964 in the </w:t>
      </w:r>
      <w:proofErr w:type="spellStart"/>
      <w:r w:rsidRPr="00D83BC4">
        <w:rPr>
          <w:rFonts w:ascii="Times New Roman" w:hAnsi="Times New Roman"/>
          <w:color w:val="000000"/>
          <w:sz w:val="24"/>
          <w:szCs w:val="24"/>
          <w:lang w:val="en-GB"/>
        </w:rPr>
        <w:t>subcompartment</w:t>
      </w:r>
      <w:proofErr w:type="spellEnd"/>
      <w:r w:rsidRPr="00D83BC4">
        <w:rPr>
          <w:rFonts w:ascii="Times New Roman" w:hAnsi="Times New Roman"/>
          <w:color w:val="000000"/>
          <w:sz w:val="24"/>
          <w:szCs w:val="24"/>
          <w:lang w:val="en-GB"/>
        </w:rPr>
        <w:t xml:space="preserve"> </w:t>
      </w:r>
      <w:proofErr w:type="spellStart"/>
      <w:r w:rsidRPr="00D83BC4">
        <w:rPr>
          <w:rFonts w:ascii="Times New Roman" w:hAnsi="Times New Roman"/>
          <w:color w:val="000000"/>
          <w:sz w:val="24"/>
          <w:szCs w:val="24"/>
          <w:lang w:val="en-GB"/>
        </w:rPr>
        <w:t>Hosszúpereszteg</w:t>
      </w:r>
      <w:proofErr w:type="spellEnd"/>
      <w:r w:rsidRPr="00D83BC4">
        <w:rPr>
          <w:rFonts w:ascii="Times New Roman" w:hAnsi="Times New Roman"/>
          <w:color w:val="000000"/>
          <w:sz w:val="24"/>
          <w:szCs w:val="24"/>
          <w:lang w:val="en-GB"/>
        </w:rPr>
        <w:t xml:space="preserve"> 40/F in a pure black locust coppice of 32 years of age grown on medium deep brown forest soil with humus (underneath a loamy layer of gravel). The stem of the selected trees was straight with fine side branches.</w:t>
      </w:r>
    </w:p>
    <w:p w14:paraId="4527141A"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Characterization: Pinnata type. The stem is straight and cylindrical. Stem is straight and cylindrical. The crown, composed of few and thin branches, covers hardly one quarter of tree height. Bark is deeply furrowed, the stem of young trees is veined marble like, as the trees of cultivar ‘</w:t>
      </w:r>
      <w:proofErr w:type="spellStart"/>
      <w:r w:rsidRPr="00D83BC4">
        <w:rPr>
          <w:rFonts w:ascii="Times New Roman" w:hAnsi="Times New Roman"/>
          <w:color w:val="000000"/>
          <w:sz w:val="24"/>
          <w:szCs w:val="24"/>
          <w:lang w:val="en-GB"/>
        </w:rPr>
        <w:t>Pénzesdombi</w:t>
      </w:r>
      <w:proofErr w:type="spellEnd"/>
      <w:r w:rsidRPr="00D83BC4">
        <w:rPr>
          <w:rFonts w:ascii="Times New Roman" w:hAnsi="Times New Roman"/>
          <w:color w:val="000000"/>
          <w:sz w:val="24"/>
          <w:szCs w:val="24"/>
          <w:lang w:val="en-GB"/>
        </w:rPr>
        <w:t xml:space="preserve">’. Spines are tiny, the leaflets are oval-shaped. Leaflet on the tip of leaf is markedly large. The tip of the leaflets is rounded, slightly truncated, with fine awns. In </w:t>
      </w:r>
      <w:proofErr w:type="gramStart"/>
      <w:r w:rsidRPr="00D83BC4">
        <w:rPr>
          <w:rFonts w:ascii="Times New Roman" w:hAnsi="Times New Roman"/>
          <w:color w:val="000000"/>
          <w:sz w:val="24"/>
          <w:szCs w:val="24"/>
          <w:lang w:val="en-GB"/>
        </w:rPr>
        <w:t>general</w:t>
      </w:r>
      <w:proofErr w:type="gramEnd"/>
      <w:r w:rsidRPr="00D83BC4">
        <w:rPr>
          <w:rFonts w:ascii="Times New Roman" w:hAnsi="Times New Roman"/>
          <w:color w:val="000000"/>
          <w:sz w:val="24"/>
          <w:szCs w:val="24"/>
          <w:lang w:val="en-GB"/>
        </w:rPr>
        <w:t xml:space="preserve"> 13-19 leaflets can be found in the compound leaves.</w:t>
      </w:r>
    </w:p>
    <w:p w14:paraId="073B0815" w14:textId="77777777" w:rsidR="00721AF0" w:rsidRPr="00D83BC4" w:rsidRDefault="00721AF0" w:rsidP="00721AF0">
      <w:pPr>
        <w:spacing w:after="0" w:line="240" w:lineRule="auto"/>
        <w:jc w:val="both"/>
        <w:rPr>
          <w:rFonts w:ascii="Times New Roman" w:hAnsi="Times New Roman"/>
          <w:b/>
          <w:sz w:val="24"/>
          <w:szCs w:val="24"/>
          <w:lang w:val="en-GB"/>
        </w:rPr>
      </w:pPr>
    </w:p>
    <w:p w14:paraId="7EB1D0E9"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 xml:space="preserve">Robinia </w:t>
      </w:r>
      <w:proofErr w:type="spellStart"/>
      <w:r w:rsidRPr="00D83BC4">
        <w:rPr>
          <w:rFonts w:ascii="Times New Roman" w:hAnsi="Times New Roman"/>
          <w:i/>
          <w:color w:val="000000"/>
          <w:sz w:val="24"/>
          <w:szCs w:val="24"/>
          <w:lang w:val="en-GB"/>
        </w:rPr>
        <w:t>pseudoacacia</w:t>
      </w:r>
      <w:proofErr w:type="spellEnd"/>
      <w:r w:rsidRPr="00D83BC4">
        <w:rPr>
          <w:rFonts w:ascii="Times New Roman" w:hAnsi="Times New Roman"/>
          <w:i/>
          <w:color w:val="000000"/>
          <w:sz w:val="24"/>
          <w:szCs w:val="24"/>
          <w:lang w:val="en-GB"/>
        </w:rPr>
        <w:t xml:space="preserve"> </w:t>
      </w:r>
      <w:proofErr w:type="gramStart"/>
      <w:r w:rsidRPr="00D83BC4">
        <w:rPr>
          <w:rFonts w:ascii="Times New Roman" w:hAnsi="Times New Roman"/>
          <w:i/>
          <w:color w:val="000000"/>
          <w:sz w:val="24"/>
          <w:szCs w:val="24"/>
          <w:lang w:val="en-GB"/>
        </w:rPr>
        <w:t>cv. ’</w:t>
      </w:r>
      <w:proofErr w:type="gramEnd"/>
      <w:r w:rsidRPr="00D83BC4">
        <w:rPr>
          <w:rFonts w:ascii="Times New Roman" w:hAnsi="Times New Roman"/>
          <w:i/>
          <w:color w:val="000000"/>
          <w:sz w:val="24"/>
          <w:szCs w:val="24"/>
          <w:lang w:val="en-GB"/>
        </w:rPr>
        <w:t xml:space="preserve"> PL35’ – ’ PL35’ locust (EL9, ET9)</w:t>
      </w:r>
    </w:p>
    <w:p w14:paraId="06A87F32"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An experimental black locust clone selected at </w:t>
      </w:r>
      <w:proofErr w:type="spellStart"/>
      <w:r w:rsidRPr="00D83BC4">
        <w:rPr>
          <w:rFonts w:ascii="Times New Roman" w:hAnsi="Times New Roman"/>
          <w:color w:val="000000"/>
          <w:sz w:val="24"/>
          <w:szCs w:val="24"/>
          <w:lang w:val="en-GB"/>
        </w:rPr>
        <w:t>Hajdúhadház</w:t>
      </w:r>
      <w:proofErr w:type="spellEnd"/>
      <w:r w:rsidRPr="00D83BC4">
        <w:rPr>
          <w:rFonts w:ascii="Times New Roman" w:hAnsi="Times New Roman"/>
          <w:color w:val="000000"/>
          <w:sz w:val="24"/>
          <w:szCs w:val="24"/>
          <w:lang w:val="en-GB"/>
        </w:rPr>
        <w:t>. Its growth is good. The trunk is cylindrical, no bump is found on it, the shape of the bark tile is smooth. The proportion of cracked bark is less than 20%, the crown is of the normal type. The crown is ovoid. It has a fine branching and a very good natural branch cleansing. Its foliage is late, its branches are up. Its foliage is dense.</w:t>
      </w:r>
    </w:p>
    <w:p w14:paraId="09246115" w14:textId="77777777" w:rsidR="00721AF0" w:rsidRPr="00D83BC4" w:rsidRDefault="00721AF0" w:rsidP="00721AF0">
      <w:pPr>
        <w:spacing w:after="0" w:line="240" w:lineRule="auto"/>
        <w:jc w:val="both"/>
        <w:rPr>
          <w:rFonts w:ascii="Times New Roman" w:hAnsi="Times New Roman"/>
          <w:b/>
          <w:sz w:val="24"/>
          <w:szCs w:val="24"/>
          <w:lang w:val="en-GB"/>
        </w:rPr>
      </w:pPr>
    </w:p>
    <w:p w14:paraId="53AD13C8"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 xml:space="preserve">Robinia </w:t>
      </w:r>
      <w:proofErr w:type="spellStart"/>
      <w:r w:rsidRPr="00D83BC4">
        <w:rPr>
          <w:rFonts w:ascii="Times New Roman" w:hAnsi="Times New Roman"/>
          <w:i/>
          <w:color w:val="000000"/>
          <w:sz w:val="24"/>
          <w:szCs w:val="24"/>
          <w:lang w:val="en-GB"/>
        </w:rPr>
        <w:t>pseudoacacia</w:t>
      </w:r>
      <w:proofErr w:type="spellEnd"/>
      <w:r w:rsidRPr="00D83BC4">
        <w:rPr>
          <w:rFonts w:ascii="Times New Roman" w:hAnsi="Times New Roman"/>
          <w:i/>
          <w:color w:val="000000"/>
          <w:sz w:val="24"/>
          <w:szCs w:val="24"/>
          <w:lang w:val="en-GB"/>
        </w:rPr>
        <w:t xml:space="preserve"> </w:t>
      </w:r>
      <w:proofErr w:type="gramStart"/>
      <w:r w:rsidRPr="00D83BC4">
        <w:rPr>
          <w:rFonts w:ascii="Times New Roman" w:hAnsi="Times New Roman"/>
          <w:i/>
          <w:color w:val="000000"/>
          <w:sz w:val="24"/>
          <w:szCs w:val="24"/>
          <w:lang w:val="en-GB"/>
        </w:rPr>
        <w:t>cv. ’</w:t>
      </w:r>
      <w:proofErr w:type="gramEnd"/>
      <w:r w:rsidRPr="00D83BC4">
        <w:rPr>
          <w:rFonts w:ascii="Times New Roman" w:hAnsi="Times New Roman"/>
          <w:i/>
          <w:color w:val="000000"/>
          <w:sz w:val="24"/>
          <w:szCs w:val="24"/>
          <w:lang w:val="en-GB"/>
        </w:rPr>
        <w:t xml:space="preserve"> PL40’ – ’ PL40’ locust (EL2, ET2)</w:t>
      </w:r>
    </w:p>
    <w:p w14:paraId="31DCBF7E"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An experimental black locust clone selected at </w:t>
      </w:r>
      <w:proofErr w:type="spellStart"/>
      <w:r w:rsidRPr="00D83BC4">
        <w:rPr>
          <w:rFonts w:ascii="Times New Roman" w:hAnsi="Times New Roman"/>
          <w:color w:val="000000"/>
          <w:sz w:val="24"/>
          <w:szCs w:val="24"/>
          <w:lang w:val="en-GB"/>
        </w:rPr>
        <w:t>Baktalórántháza</w:t>
      </w:r>
      <w:proofErr w:type="spellEnd"/>
      <w:r w:rsidRPr="00D83BC4">
        <w:rPr>
          <w:rFonts w:ascii="Times New Roman" w:hAnsi="Times New Roman"/>
          <w:color w:val="000000"/>
          <w:sz w:val="24"/>
          <w:szCs w:val="24"/>
          <w:lang w:val="en-GB"/>
        </w:rPr>
        <w:t>. Its growth is good. The trunk is cylindrical; no bump on it, the shape of the bark tile is smooth. The proportion of cracked bark is less than 20%, the crown is spacious. The crown is round. It has a fine branching and a very good natural branch cleansing. Its foliage is late, its branches pointing upwards. The foliage is loose.</w:t>
      </w:r>
    </w:p>
    <w:p w14:paraId="7CAB0476" w14:textId="77777777" w:rsidR="00721AF0" w:rsidRPr="00D83BC4" w:rsidRDefault="00721AF0" w:rsidP="00721AF0">
      <w:pPr>
        <w:spacing w:after="0" w:line="240" w:lineRule="auto"/>
        <w:jc w:val="both"/>
        <w:rPr>
          <w:rFonts w:ascii="Times New Roman" w:hAnsi="Times New Roman"/>
          <w:color w:val="000000"/>
          <w:sz w:val="24"/>
          <w:szCs w:val="24"/>
          <w:lang w:val="en-GB"/>
        </w:rPr>
      </w:pPr>
    </w:p>
    <w:p w14:paraId="47D70BD7"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 xml:space="preserve">Robinia </w:t>
      </w:r>
      <w:proofErr w:type="spellStart"/>
      <w:r w:rsidRPr="00D83BC4">
        <w:rPr>
          <w:rFonts w:ascii="Times New Roman" w:hAnsi="Times New Roman"/>
          <w:i/>
          <w:color w:val="000000"/>
          <w:sz w:val="24"/>
          <w:szCs w:val="24"/>
          <w:lang w:val="en-GB"/>
        </w:rPr>
        <w:t>pseudoacacia</w:t>
      </w:r>
      <w:proofErr w:type="spellEnd"/>
      <w:r w:rsidRPr="00D83BC4">
        <w:rPr>
          <w:rFonts w:ascii="Times New Roman" w:hAnsi="Times New Roman"/>
          <w:i/>
          <w:color w:val="000000"/>
          <w:sz w:val="24"/>
          <w:szCs w:val="24"/>
          <w:lang w:val="en-GB"/>
        </w:rPr>
        <w:t xml:space="preserve"> cv. ‘PL251’ – ’PL251’ </w:t>
      </w:r>
      <w:proofErr w:type="gramStart"/>
      <w:r w:rsidRPr="00D83BC4">
        <w:rPr>
          <w:rFonts w:ascii="Times New Roman" w:hAnsi="Times New Roman"/>
          <w:i/>
          <w:color w:val="000000"/>
          <w:sz w:val="24"/>
          <w:szCs w:val="24"/>
          <w:lang w:val="en-GB"/>
        </w:rPr>
        <w:t>locust  (</w:t>
      </w:r>
      <w:proofErr w:type="gramEnd"/>
      <w:r w:rsidRPr="00D83BC4">
        <w:rPr>
          <w:rFonts w:ascii="Times New Roman" w:hAnsi="Times New Roman"/>
          <w:i/>
          <w:color w:val="000000"/>
          <w:sz w:val="24"/>
          <w:szCs w:val="24"/>
          <w:lang w:val="en-GB"/>
        </w:rPr>
        <w:t>EL6, ET6)</w:t>
      </w:r>
    </w:p>
    <w:p w14:paraId="1FEE2361"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An experimental black locust clone selected at </w:t>
      </w:r>
      <w:proofErr w:type="spellStart"/>
      <w:r w:rsidRPr="00D83BC4">
        <w:rPr>
          <w:rFonts w:ascii="Times New Roman" w:hAnsi="Times New Roman"/>
          <w:color w:val="000000"/>
          <w:sz w:val="24"/>
          <w:szCs w:val="24"/>
          <w:lang w:val="en-GB"/>
        </w:rPr>
        <w:t>Baktalórántháza</w:t>
      </w:r>
      <w:proofErr w:type="spellEnd"/>
      <w:r w:rsidRPr="00D83BC4">
        <w:rPr>
          <w:rFonts w:ascii="Times New Roman" w:hAnsi="Times New Roman"/>
          <w:color w:val="000000"/>
          <w:sz w:val="24"/>
          <w:szCs w:val="24"/>
          <w:lang w:val="en-GB"/>
        </w:rPr>
        <w:t xml:space="preserve">. Its growth is good. The trunk is normal; no bump on it, the shape of the bark tile is smooth. The proportion of cracked bark is less than 20%, the crown is normal. The crown is ovoid. It has a fine branching, and natural branch cleansing is good. Its foliage is late, its branches pointing upwards. Its foliage is normal. </w:t>
      </w:r>
    </w:p>
    <w:p w14:paraId="0DD005C6" w14:textId="77777777" w:rsidR="00721AF0" w:rsidRPr="00D83BC4" w:rsidRDefault="00721AF0" w:rsidP="00721AF0">
      <w:pPr>
        <w:spacing w:after="0" w:line="240" w:lineRule="auto"/>
        <w:jc w:val="both"/>
        <w:rPr>
          <w:rFonts w:ascii="Times New Roman" w:hAnsi="Times New Roman"/>
          <w:color w:val="000000"/>
          <w:sz w:val="24"/>
          <w:szCs w:val="24"/>
          <w:lang w:val="en-GB"/>
        </w:rPr>
      </w:pPr>
    </w:p>
    <w:p w14:paraId="007A45FD" w14:textId="77777777" w:rsidR="00721AF0" w:rsidRPr="00D83BC4" w:rsidRDefault="00721AF0" w:rsidP="00721AF0">
      <w:pPr>
        <w:spacing w:after="0" w:line="240" w:lineRule="auto"/>
        <w:jc w:val="both"/>
        <w:rPr>
          <w:rFonts w:ascii="Times New Roman" w:hAnsi="Times New Roman"/>
          <w:i/>
          <w:color w:val="000000"/>
          <w:sz w:val="24"/>
          <w:szCs w:val="24"/>
          <w:lang w:val="en-GB"/>
        </w:rPr>
      </w:pPr>
      <w:r w:rsidRPr="00D83BC4">
        <w:rPr>
          <w:rFonts w:ascii="Times New Roman" w:hAnsi="Times New Roman"/>
          <w:i/>
          <w:color w:val="000000"/>
          <w:sz w:val="24"/>
          <w:szCs w:val="24"/>
          <w:lang w:val="en-GB"/>
        </w:rPr>
        <w:t>EL 4 Debreceni-2</w:t>
      </w:r>
    </w:p>
    <w:p w14:paraId="6DDBB234"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Variety for beekeeping purposes. It has a straight stem, the stem can be traced through the crown, the branches are rarely standing, more or less in </w:t>
      </w:r>
      <w:proofErr w:type="spellStart"/>
      <w:r w:rsidRPr="00D83BC4">
        <w:rPr>
          <w:rFonts w:ascii="Times New Roman" w:hAnsi="Times New Roman"/>
          <w:color w:val="000000"/>
          <w:sz w:val="24"/>
          <w:szCs w:val="24"/>
          <w:lang w:val="en-GB"/>
        </w:rPr>
        <w:t>whorles</w:t>
      </w:r>
      <w:proofErr w:type="spellEnd"/>
      <w:r w:rsidRPr="00D83BC4">
        <w:rPr>
          <w:rFonts w:ascii="Times New Roman" w:hAnsi="Times New Roman"/>
          <w:color w:val="000000"/>
          <w:sz w:val="24"/>
          <w:szCs w:val="24"/>
          <w:lang w:val="en-GB"/>
        </w:rPr>
        <w:t>. The crown is loose. The leaf vein is green, the leaves are ovoid-elliptical in shape, with a blunt tip with small splinters and rounded shoulders. The bark of young trees is smooth with horizontal lenticel. The number of flowers is 23-26, bright pink coloured. It produces few seeds. Very decorative variety.</w:t>
      </w:r>
    </w:p>
    <w:p w14:paraId="2050770B" w14:textId="77777777" w:rsidR="00721AF0" w:rsidRPr="00D83BC4" w:rsidRDefault="00721AF0" w:rsidP="00721AF0">
      <w:pPr>
        <w:spacing w:after="0" w:line="240" w:lineRule="auto"/>
        <w:jc w:val="both"/>
        <w:rPr>
          <w:rFonts w:ascii="Times New Roman" w:hAnsi="Times New Roman"/>
          <w:color w:val="000000"/>
          <w:sz w:val="24"/>
          <w:szCs w:val="24"/>
          <w:lang w:val="en-GB"/>
        </w:rPr>
      </w:pPr>
      <w:r w:rsidRPr="00D83BC4">
        <w:rPr>
          <w:rFonts w:ascii="Times New Roman" w:hAnsi="Times New Roman"/>
          <w:color w:val="000000"/>
          <w:sz w:val="24"/>
          <w:szCs w:val="24"/>
          <w:lang w:val="en-GB"/>
        </w:rPr>
        <w:t xml:space="preserve">The site type version of the sampling site </w:t>
      </w:r>
      <w:proofErr w:type="spellStart"/>
      <w:r w:rsidRPr="00D83BC4">
        <w:rPr>
          <w:rFonts w:ascii="Times New Roman" w:hAnsi="Times New Roman"/>
          <w:color w:val="000000"/>
          <w:sz w:val="24"/>
          <w:szCs w:val="24"/>
          <w:lang w:val="en-GB"/>
        </w:rPr>
        <w:t>Püspökladány</w:t>
      </w:r>
      <w:proofErr w:type="spellEnd"/>
      <w:r w:rsidRPr="00D83BC4">
        <w:rPr>
          <w:rFonts w:ascii="Times New Roman" w:hAnsi="Times New Roman"/>
          <w:color w:val="000000"/>
          <w:sz w:val="24"/>
          <w:szCs w:val="24"/>
          <w:lang w:val="en-GB"/>
        </w:rPr>
        <w:t xml:space="preserve"> 23/O is as follows: Forest-steppe climate, periodic water effect, meadow chernozem soil, deep soil, loam physical soil type. The site type version of the sampling site </w:t>
      </w:r>
      <w:proofErr w:type="spellStart"/>
      <w:r w:rsidRPr="00D83BC4">
        <w:rPr>
          <w:rFonts w:ascii="Times New Roman" w:hAnsi="Times New Roman"/>
          <w:color w:val="000000"/>
          <w:sz w:val="24"/>
          <w:szCs w:val="24"/>
          <w:lang w:val="en-GB"/>
        </w:rPr>
        <w:t>Hajdúhadház</w:t>
      </w:r>
      <w:proofErr w:type="spellEnd"/>
      <w:r w:rsidRPr="00D83BC4">
        <w:rPr>
          <w:rFonts w:ascii="Times New Roman" w:hAnsi="Times New Roman"/>
          <w:color w:val="000000"/>
          <w:sz w:val="24"/>
          <w:szCs w:val="24"/>
          <w:lang w:val="en-GB"/>
        </w:rPr>
        <w:t xml:space="preserve"> 16/D is as follows: Sessile oak-turkey oak climate, water-losing site, ’</w:t>
      </w:r>
      <w:proofErr w:type="spellStart"/>
      <w:r w:rsidRPr="00D83BC4">
        <w:rPr>
          <w:rFonts w:ascii="Times New Roman" w:hAnsi="Times New Roman"/>
          <w:color w:val="000000"/>
          <w:sz w:val="24"/>
          <w:szCs w:val="24"/>
          <w:lang w:val="en-GB"/>
        </w:rPr>
        <w:t>kovárvány</w:t>
      </w:r>
      <w:proofErr w:type="spellEnd"/>
      <w:r w:rsidRPr="00D83BC4">
        <w:rPr>
          <w:rFonts w:ascii="Times New Roman" w:hAnsi="Times New Roman"/>
          <w:color w:val="000000"/>
          <w:sz w:val="24"/>
          <w:szCs w:val="24"/>
          <w:lang w:val="en-GB"/>
        </w:rPr>
        <w:t xml:space="preserve">’ brown forest soil, medium deep soil, sand physical soil </w:t>
      </w:r>
      <w:r w:rsidRPr="00D83BC4">
        <w:rPr>
          <w:rFonts w:ascii="Times New Roman" w:hAnsi="Times New Roman"/>
          <w:color w:val="000000"/>
          <w:sz w:val="24"/>
          <w:szCs w:val="24"/>
          <w:lang w:val="en-GB"/>
        </w:rPr>
        <w:lastRenderedPageBreak/>
        <w:t xml:space="preserve">type. Detailed site survey and soil laboratory tests were made at the sampling sites </w:t>
      </w:r>
      <w:r w:rsidRPr="00D83BC4">
        <w:rPr>
          <w:rFonts w:ascii="Times New Roman" w:hAnsi="Times New Roman"/>
          <w:sz w:val="24"/>
          <w:szCs w:val="24"/>
          <w:lang w:val="en-GB"/>
        </w:rPr>
        <w:t>(see in Supplementary Table S1).</w:t>
      </w:r>
    </w:p>
    <w:p w14:paraId="49F3B3A4" w14:textId="77777777" w:rsidR="00721AF0" w:rsidRPr="00D83BC4" w:rsidRDefault="00721AF0" w:rsidP="00721AF0">
      <w:pPr>
        <w:spacing w:after="0" w:line="240" w:lineRule="auto"/>
        <w:jc w:val="both"/>
        <w:rPr>
          <w:rFonts w:ascii="Times New Roman" w:hAnsi="Times New Roman"/>
          <w:sz w:val="24"/>
          <w:szCs w:val="24"/>
          <w:lang w:val="en-GB"/>
        </w:rPr>
      </w:pPr>
      <w:r w:rsidRPr="00D83BC4">
        <w:rPr>
          <w:rFonts w:ascii="Times New Roman" w:hAnsi="Times New Roman"/>
          <w:b/>
          <w:sz w:val="24"/>
          <w:szCs w:val="24"/>
          <w:lang w:val="en-GB"/>
        </w:rPr>
        <w:t>Table</w:t>
      </w:r>
      <w:r w:rsidRPr="00D83BC4">
        <w:rPr>
          <w:rFonts w:ascii="Times New Roman" w:hAnsi="Times New Roman"/>
          <w:sz w:val="24"/>
          <w:szCs w:val="24"/>
          <w:lang w:val="en-GB"/>
        </w:rPr>
        <w:t xml:space="preserve"> </w:t>
      </w:r>
      <w:r w:rsidRPr="00D83BC4">
        <w:rPr>
          <w:rFonts w:ascii="Times New Roman" w:hAnsi="Times New Roman"/>
          <w:b/>
          <w:sz w:val="24"/>
          <w:szCs w:val="24"/>
          <w:lang w:val="en-GB"/>
        </w:rPr>
        <w:t>S1</w:t>
      </w:r>
      <w:r w:rsidRPr="00D83BC4">
        <w:rPr>
          <w:rFonts w:ascii="Times New Roman" w:hAnsi="Times New Roman"/>
          <w:sz w:val="24"/>
          <w:szCs w:val="24"/>
          <w:lang w:val="en-GB"/>
        </w:rPr>
        <w:t xml:space="preserve">. Results of soil laboratory tests on soil samples </w:t>
      </w:r>
    </w:p>
    <w:p w14:paraId="253F81D5" w14:textId="77777777" w:rsidR="00721AF0" w:rsidRPr="00D83BC4" w:rsidRDefault="00721AF0" w:rsidP="00721AF0">
      <w:pPr>
        <w:tabs>
          <w:tab w:val="left" w:pos="1380"/>
        </w:tabs>
        <w:spacing w:after="0" w:line="240" w:lineRule="auto"/>
        <w:jc w:val="both"/>
        <w:rPr>
          <w:rFonts w:ascii="Times New Roman" w:hAnsi="Times New Roman"/>
          <w:sz w:val="24"/>
          <w:szCs w:val="24"/>
          <w:lang w:val="en-GB"/>
        </w:rPr>
      </w:pPr>
      <w:r w:rsidRPr="00D83BC4">
        <w:rPr>
          <w:rFonts w:ascii="Times New Roman" w:hAnsi="Times New Roman"/>
          <w:noProof/>
          <w:sz w:val="24"/>
          <w:szCs w:val="24"/>
          <w:lang w:val="en-GB"/>
        </w:rPr>
        <w:drawing>
          <wp:inline distT="0" distB="0" distL="0" distR="0" wp14:anchorId="1CB7A5FF" wp14:editId="4C67F988">
            <wp:extent cx="5756910" cy="2393315"/>
            <wp:effectExtent l="0" t="0" r="0" b="0"/>
            <wp:docPr id="26"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6910" cy="2393315"/>
                    </a:xfrm>
                    <a:prstGeom prst="rect">
                      <a:avLst/>
                    </a:prstGeom>
                    <a:noFill/>
                    <a:ln>
                      <a:noFill/>
                    </a:ln>
                  </pic:spPr>
                </pic:pic>
              </a:graphicData>
            </a:graphic>
          </wp:inline>
        </w:drawing>
      </w:r>
    </w:p>
    <w:p w14:paraId="10648766" w14:textId="77777777" w:rsidR="00721AF0" w:rsidRPr="00D83BC4" w:rsidRDefault="00721AF0" w:rsidP="00721A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val="en-GB" w:eastAsia="x-none"/>
        </w:rPr>
      </w:pPr>
      <w:r w:rsidRPr="00D83BC4">
        <w:rPr>
          <w:rFonts w:ascii="Times New Roman" w:eastAsia="Times New Roman" w:hAnsi="Times New Roman"/>
          <w:b/>
          <w:color w:val="000000"/>
          <w:sz w:val="24"/>
          <w:szCs w:val="24"/>
          <w:lang w:val="en-GB" w:eastAsia="x-none"/>
        </w:rPr>
        <w:br w:type="page"/>
      </w:r>
      <w:r w:rsidRPr="00D83BC4">
        <w:rPr>
          <w:rFonts w:ascii="Times New Roman" w:eastAsia="Times New Roman" w:hAnsi="Times New Roman"/>
          <w:b/>
          <w:color w:val="000000"/>
          <w:sz w:val="24"/>
          <w:szCs w:val="24"/>
          <w:lang w:val="en-GB" w:eastAsia="x-none"/>
        </w:rPr>
        <w:lastRenderedPageBreak/>
        <w:t>Table</w:t>
      </w:r>
      <w:r w:rsidRPr="00D83BC4">
        <w:rPr>
          <w:rFonts w:ascii="Times New Roman" w:eastAsia="Times New Roman" w:hAnsi="Times New Roman"/>
          <w:color w:val="000000"/>
          <w:sz w:val="24"/>
          <w:szCs w:val="24"/>
          <w:lang w:val="en-GB" w:eastAsia="x-none"/>
        </w:rPr>
        <w:t xml:space="preserve"> </w:t>
      </w:r>
      <w:r w:rsidRPr="00D83BC4">
        <w:rPr>
          <w:rFonts w:ascii="Times New Roman" w:eastAsia="Times New Roman" w:hAnsi="Times New Roman"/>
          <w:b/>
          <w:color w:val="000000"/>
          <w:sz w:val="24"/>
          <w:szCs w:val="24"/>
          <w:lang w:val="en-GB" w:eastAsia="x-none"/>
        </w:rPr>
        <w:t>S2.</w:t>
      </w:r>
      <w:r w:rsidRPr="00D83BC4">
        <w:rPr>
          <w:rFonts w:ascii="Times New Roman" w:eastAsia="Times New Roman" w:hAnsi="Times New Roman"/>
          <w:color w:val="000000"/>
          <w:sz w:val="24"/>
          <w:szCs w:val="24"/>
          <w:lang w:val="en-GB" w:eastAsia="x-none"/>
        </w:rPr>
        <w:t xml:space="preserve"> Main genetic parameters of the applied ten SSR markers (where N: sample number, N</w:t>
      </w:r>
      <w:r w:rsidRPr="00D83BC4">
        <w:rPr>
          <w:rFonts w:ascii="Times New Roman" w:eastAsia="Times New Roman" w:hAnsi="Times New Roman"/>
          <w:color w:val="000000"/>
          <w:sz w:val="24"/>
          <w:szCs w:val="24"/>
          <w:vertAlign w:val="subscript"/>
          <w:lang w:val="en-GB" w:eastAsia="x-none"/>
        </w:rPr>
        <w:t>a</w:t>
      </w:r>
      <w:r w:rsidRPr="00D83BC4">
        <w:rPr>
          <w:rFonts w:ascii="Times New Roman" w:eastAsia="Times New Roman" w:hAnsi="Times New Roman"/>
          <w:color w:val="000000"/>
          <w:sz w:val="24"/>
          <w:szCs w:val="24"/>
          <w:lang w:val="en-GB" w:eastAsia="x-none"/>
        </w:rPr>
        <w:t>: allele number, N</w:t>
      </w:r>
      <w:r w:rsidRPr="00D83BC4">
        <w:rPr>
          <w:rFonts w:ascii="Times New Roman" w:eastAsia="Times New Roman" w:hAnsi="Times New Roman"/>
          <w:color w:val="000000"/>
          <w:sz w:val="24"/>
          <w:szCs w:val="24"/>
          <w:vertAlign w:val="subscript"/>
          <w:lang w:val="en-GB" w:eastAsia="x-none"/>
        </w:rPr>
        <w:t>e</w:t>
      </w:r>
      <w:r w:rsidRPr="00D83BC4">
        <w:rPr>
          <w:rFonts w:ascii="Times New Roman" w:eastAsia="Times New Roman" w:hAnsi="Times New Roman"/>
          <w:color w:val="000000"/>
          <w:sz w:val="24"/>
          <w:szCs w:val="24"/>
          <w:lang w:val="en-GB" w:eastAsia="x-none"/>
        </w:rPr>
        <w:t>: effective allele number, H</w:t>
      </w:r>
      <w:r w:rsidRPr="00D83BC4">
        <w:rPr>
          <w:rFonts w:ascii="Times New Roman" w:eastAsia="Times New Roman" w:hAnsi="Times New Roman"/>
          <w:color w:val="000000"/>
          <w:sz w:val="24"/>
          <w:szCs w:val="24"/>
          <w:vertAlign w:val="subscript"/>
          <w:lang w:val="en-GB" w:eastAsia="x-none"/>
        </w:rPr>
        <w:t>o</w:t>
      </w:r>
      <w:r w:rsidRPr="00D83BC4">
        <w:rPr>
          <w:rFonts w:ascii="Times New Roman" w:eastAsia="Times New Roman" w:hAnsi="Times New Roman"/>
          <w:color w:val="000000"/>
          <w:sz w:val="24"/>
          <w:szCs w:val="24"/>
          <w:lang w:val="en-GB" w:eastAsia="x-none"/>
        </w:rPr>
        <w:t>: observed heterozygosity, H</w:t>
      </w:r>
      <w:r w:rsidRPr="00D83BC4">
        <w:rPr>
          <w:rFonts w:ascii="Times New Roman" w:eastAsia="Times New Roman" w:hAnsi="Times New Roman"/>
          <w:color w:val="000000"/>
          <w:sz w:val="24"/>
          <w:szCs w:val="24"/>
          <w:vertAlign w:val="subscript"/>
          <w:lang w:val="en-GB" w:eastAsia="x-none"/>
        </w:rPr>
        <w:t>e</w:t>
      </w:r>
      <w:r w:rsidRPr="00D83BC4">
        <w:rPr>
          <w:rFonts w:ascii="Times New Roman" w:eastAsia="Times New Roman" w:hAnsi="Times New Roman"/>
          <w:color w:val="000000"/>
          <w:sz w:val="24"/>
          <w:szCs w:val="24"/>
          <w:lang w:val="en-GB" w:eastAsia="x-none"/>
        </w:rPr>
        <w:t>: expected heterozygosity, F: fixation index)</w:t>
      </w:r>
    </w:p>
    <w:p w14:paraId="7BAAFE50" w14:textId="77777777" w:rsidR="00721AF0" w:rsidRPr="00D83BC4" w:rsidRDefault="00721AF0" w:rsidP="00721A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color w:val="000000"/>
          <w:sz w:val="24"/>
          <w:szCs w:val="24"/>
          <w:lang w:val="en-GB" w:eastAsia="x-none"/>
        </w:rPr>
      </w:pPr>
    </w:p>
    <w:tbl>
      <w:tblPr>
        <w:tblW w:w="6759" w:type="dxa"/>
        <w:jc w:val="center"/>
        <w:tblLook w:val="04A0" w:firstRow="1" w:lastRow="0" w:firstColumn="1" w:lastColumn="0" w:noHBand="0" w:noVBand="1"/>
      </w:tblPr>
      <w:tblGrid>
        <w:gridCol w:w="1271"/>
        <w:gridCol w:w="766"/>
        <w:gridCol w:w="960"/>
        <w:gridCol w:w="960"/>
        <w:gridCol w:w="960"/>
        <w:gridCol w:w="960"/>
        <w:gridCol w:w="960"/>
      </w:tblGrid>
      <w:tr w:rsidR="00721AF0" w:rsidRPr="00D83BC4" w14:paraId="6CF146B6" w14:textId="77777777" w:rsidTr="00D83BC4">
        <w:trPr>
          <w:trHeight w:val="288"/>
          <w:jc w:val="center"/>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EB2DFC"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Locus</w:t>
            </w:r>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14:paraId="7E4FFE2D" w14:textId="77777777" w:rsidR="00721AF0" w:rsidRPr="00D83BC4" w:rsidRDefault="00721AF0" w:rsidP="00D83BC4">
            <w:pPr>
              <w:spacing w:after="0" w:line="240" w:lineRule="auto"/>
              <w:jc w:val="center"/>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N</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5DD6F82F" w14:textId="77777777" w:rsidR="00721AF0" w:rsidRPr="00D83BC4" w:rsidRDefault="00721AF0" w:rsidP="00D83BC4">
            <w:pPr>
              <w:spacing w:after="0" w:line="240" w:lineRule="auto"/>
              <w:jc w:val="center"/>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N</w:t>
            </w:r>
            <w:r w:rsidRPr="00D83BC4">
              <w:rPr>
                <w:rFonts w:ascii="Times New Roman" w:eastAsia="Times New Roman" w:hAnsi="Times New Roman"/>
                <w:b/>
                <w:bCs/>
                <w:color w:val="000000"/>
                <w:sz w:val="20"/>
                <w:szCs w:val="20"/>
                <w:vertAlign w:val="subscript"/>
                <w:lang w:val="en-GB" w:eastAsia="en-GB"/>
              </w:rPr>
              <w:t>a</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1AFC1C63" w14:textId="77777777" w:rsidR="00721AF0" w:rsidRPr="00D83BC4" w:rsidRDefault="00721AF0" w:rsidP="00D83BC4">
            <w:pPr>
              <w:spacing w:after="0" w:line="240" w:lineRule="auto"/>
              <w:jc w:val="center"/>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N</w:t>
            </w:r>
            <w:r w:rsidRPr="00D83BC4">
              <w:rPr>
                <w:rFonts w:ascii="Times New Roman" w:eastAsia="Times New Roman" w:hAnsi="Times New Roman"/>
                <w:b/>
                <w:bCs/>
                <w:color w:val="000000"/>
                <w:sz w:val="20"/>
                <w:szCs w:val="20"/>
                <w:vertAlign w:val="subscript"/>
                <w:lang w:val="en-GB" w:eastAsia="en-GB"/>
              </w:rPr>
              <w:t>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54D9B85D" w14:textId="77777777" w:rsidR="00721AF0" w:rsidRPr="00D83BC4" w:rsidRDefault="00721AF0" w:rsidP="00D83BC4">
            <w:pPr>
              <w:spacing w:after="0" w:line="240" w:lineRule="auto"/>
              <w:jc w:val="center"/>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H</w:t>
            </w:r>
            <w:r w:rsidRPr="00D83BC4">
              <w:rPr>
                <w:rFonts w:ascii="Times New Roman" w:eastAsia="Times New Roman" w:hAnsi="Times New Roman"/>
                <w:b/>
                <w:bCs/>
                <w:color w:val="000000"/>
                <w:sz w:val="20"/>
                <w:szCs w:val="20"/>
                <w:vertAlign w:val="subscript"/>
                <w:lang w:val="en-GB" w:eastAsia="en-GB"/>
              </w:rPr>
              <w:t>o</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3F829CAE" w14:textId="77777777" w:rsidR="00721AF0" w:rsidRPr="00D83BC4" w:rsidRDefault="00721AF0" w:rsidP="00D83BC4">
            <w:pPr>
              <w:spacing w:after="0" w:line="240" w:lineRule="auto"/>
              <w:jc w:val="center"/>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H</w:t>
            </w:r>
            <w:r w:rsidRPr="00D83BC4">
              <w:rPr>
                <w:rFonts w:ascii="Times New Roman" w:eastAsia="Times New Roman" w:hAnsi="Times New Roman"/>
                <w:b/>
                <w:bCs/>
                <w:color w:val="000000"/>
                <w:sz w:val="20"/>
                <w:szCs w:val="20"/>
                <w:vertAlign w:val="subscript"/>
                <w:lang w:val="en-GB" w:eastAsia="en-GB"/>
              </w:rPr>
              <w:t>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10C19156" w14:textId="77777777" w:rsidR="00721AF0" w:rsidRPr="00D83BC4" w:rsidRDefault="00721AF0" w:rsidP="00D83BC4">
            <w:pPr>
              <w:spacing w:after="0" w:line="240" w:lineRule="auto"/>
              <w:jc w:val="center"/>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F</w:t>
            </w:r>
          </w:p>
        </w:tc>
      </w:tr>
      <w:tr w:rsidR="00721AF0" w:rsidRPr="00D83BC4" w14:paraId="62F54658"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F32B657"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02</w:t>
            </w:r>
          </w:p>
        </w:tc>
        <w:tc>
          <w:tcPr>
            <w:tcW w:w="688" w:type="dxa"/>
            <w:tcBorders>
              <w:top w:val="nil"/>
              <w:left w:val="nil"/>
              <w:bottom w:val="single" w:sz="4" w:space="0" w:color="auto"/>
              <w:right w:val="single" w:sz="4" w:space="0" w:color="auto"/>
            </w:tcBorders>
            <w:shd w:val="clear" w:color="auto" w:fill="auto"/>
            <w:noWrap/>
            <w:vAlign w:val="center"/>
            <w:hideMark/>
          </w:tcPr>
          <w:p w14:paraId="578A1C1E"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12</w:t>
            </w:r>
          </w:p>
        </w:tc>
        <w:tc>
          <w:tcPr>
            <w:tcW w:w="960" w:type="dxa"/>
            <w:tcBorders>
              <w:top w:val="nil"/>
              <w:left w:val="nil"/>
              <w:bottom w:val="single" w:sz="4" w:space="0" w:color="auto"/>
              <w:right w:val="single" w:sz="4" w:space="0" w:color="auto"/>
            </w:tcBorders>
            <w:shd w:val="clear" w:color="auto" w:fill="auto"/>
            <w:noWrap/>
            <w:vAlign w:val="center"/>
            <w:hideMark/>
          </w:tcPr>
          <w:p w14:paraId="6865961E"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9</w:t>
            </w:r>
          </w:p>
        </w:tc>
        <w:tc>
          <w:tcPr>
            <w:tcW w:w="960" w:type="dxa"/>
            <w:tcBorders>
              <w:top w:val="nil"/>
              <w:left w:val="nil"/>
              <w:bottom w:val="single" w:sz="4" w:space="0" w:color="auto"/>
              <w:right w:val="single" w:sz="4" w:space="0" w:color="auto"/>
            </w:tcBorders>
            <w:shd w:val="clear" w:color="auto" w:fill="auto"/>
            <w:noWrap/>
            <w:vAlign w:val="center"/>
            <w:hideMark/>
          </w:tcPr>
          <w:p w14:paraId="1C3CFA55"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5.760</w:t>
            </w:r>
          </w:p>
        </w:tc>
        <w:tc>
          <w:tcPr>
            <w:tcW w:w="960" w:type="dxa"/>
            <w:tcBorders>
              <w:top w:val="nil"/>
              <w:left w:val="nil"/>
              <w:bottom w:val="single" w:sz="4" w:space="0" w:color="auto"/>
              <w:right w:val="single" w:sz="4" w:space="0" w:color="auto"/>
            </w:tcBorders>
            <w:shd w:val="clear" w:color="auto" w:fill="auto"/>
            <w:noWrap/>
            <w:vAlign w:val="center"/>
            <w:hideMark/>
          </w:tcPr>
          <w:p w14:paraId="6A5C44E6"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0.750</w:t>
            </w:r>
          </w:p>
        </w:tc>
        <w:tc>
          <w:tcPr>
            <w:tcW w:w="960" w:type="dxa"/>
            <w:tcBorders>
              <w:top w:val="nil"/>
              <w:left w:val="nil"/>
              <w:bottom w:val="single" w:sz="4" w:space="0" w:color="auto"/>
              <w:right w:val="single" w:sz="4" w:space="0" w:color="auto"/>
            </w:tcBorders>
            <w:shd w:val="clear" w:color="auto" w:fill="auto"/>
            <w:noWrap/>
            <w:vAlign w:val="center"/>
            <w:hideMark/>
          </w:tcPr>
          <w:p w14:paraId="70CC2A55"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0.826</w:t>
            </w:r>
          </w:p>
        </w:tc>
        <w:tc>
          <w:tcPr>
            <w:tcW w:w="960" w:type="dxa"/>
            <w:tcBorders>
              <w:top w:val="nil"/>
              <w:left w:val="nil"/>
              <w:bottom w:val="single" w:sz="4" w:space="0" w:color="auto"/>
              <w:right w:val="single" w:sz="4" w:space="0" w:color="auto"/>
            </w:tcBorders>
            <w:shd w:val="clear" w:color="auto" w:fill="auto"/>
            <w:noWrap/>
            <w:vAlign w:val="center"/>
            <w:hideMark/>
          </w:tcPr>
          <w:p w14:paraId="6380E59B"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0.092</w:t>
            </w:r>
          </w:p>
        </w:tc>
      </w:tr>
      <w:tr w:rsidR="00721AF0" w:rsidRPr="00D83BC4" w14:paraId="0F0DF0FF"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6989268"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05</w:t>
            </w:r>
          </w:p>
        </w:tc>
        <w:tc>
          <w:tcPr>
            <w:tcW w:w="688" w:type="dxa"/>
            <w:tcBorders>
              <w:top w:val="nil"/>
              <w:left w:val="nil"/>
              <w:bottom w:val="single" w:sz="4" w:space="0" w:color="auto"/>
              <w:right w:val="single" w:sz="4" w:space="0" w:color="auto"/>
            </w:tcBorders>
            <w:shd w:val="clear" w:color="auto" w:fill="auto"/>
            <w:noWrap/>
            <w:vAlign w:val="center"/>
            <w:hideMark/>
          </w:tcPr>
          <w:p w14:paraId="563583F6"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17</w:t>
            </w:r>
          </w:p>
        </w:tc>
        <w:tc>
          <w:tcPr>
            <w:tcW w:w="960" w:type="dxa"/>
            <w:tcBorders>
              <w:top w:val="nil"/>
              <w:left w:val="nil"/>
              <w:bottom w:val="single" w:sz="4" w:space="0" w:color="auto"/>
              <w:right w:val="single" w:sz="4" w:space="0" w:color="auto"/>
            </w:tcBorders>
            <w:shd w:val="clear" w:color="auto" w:fill="auto"/>
            <w:noWrap/>
            <w:vAlign w:val="center"/>
            <w:hideMark/>
          </w:tcPr>
          <w:p w14:paraId="5E1448A9"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12</w:t>
            </w:r>
          </w:p>
        </w:tc>
        <w:tc>
          <w:tcPr>
            <w:tcW w:w="960" w:type="dxa"/>
            <w:tcBorders>
              <w:top w:val="nil"/>
              <w:left w:val="nil"/>
              <w:bottom w:val="single" w:sz="4" w:space="0" w:color="auto"/>
              <w:right w:val="single" w:sz="4" w:space="0" w:color="auto"/>
            </w:tcBorders>
            <w:shd w:val="clear" w:color="auto" w:fill="auto"/>
            <w:noWrap/>
            <w:vAlign w:val="center"/>
            <w:hideMark/>
          </w:tcPr>
          <w:p w14:paraId="4B34627F"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5.959</w:t>
            </w:r>
          </w:p>
        </w:tc>
        <w:tc>
          <w:tcPr>
            <w:tcW w:w="960" w:type="dxa"/>
            <w:tcBorders>
              <w:top w:val="nil"/>
              <w:left w:val="nil"/>
              <w:bottom w:val="single" w:sz="4" w:space="0" w:color="auto"/>
              <w:right w:val="single" w:sz="4" w:space="0" w:color="auto"/>
            </w:tcBorders>
            <w:shd w:val="clear" w:color="auto" w:fill="auto"/>
            <w:noWrap/>
            <w:vAlign w:val="center"/>
            <w:hideMark/>
          </w:tcPr>
          <w:p w14:paraId="33B37994"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0.647</w:t>
            </w:r>
          </w:p>
        </w:tc>
        <w:tc>
          <w:tcPr>
            <w:tcW w:w="960" w:type="dxa"/>
            <w:tcBorders>
              <w:top w:val="nil"/>
              <w:left w:val="nil"/>
              <w:bottom w:val="single" w:sz="4" w:space="0" w:color="auto"/>
              <w:right w:val="single" w:sz="4" w:space="0" w:color="auto"/>
            </w:tcBorders>
            <w:shd w:val="clear" w:color="auto" w:fill="auto"/>
            <w:noWrap/>
            <w:vAlign w:val="center"/>
            <w:hideMark/>
          </w:tcPr>
          <w:p w14:paraId="074BFBA2"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0.832</w:t>
            </w:r>
          </w:p>
        </w:tc>
        <w:tc>
          <w:tcPr>
            <w:tcW w:w="960" w:type="dxa"/>
            <w:tcBorders>
              <w:top w:val="nil"/>
              <w:left w:val="nil"/>
              <w:bottom w:val="single" w:sz="4" w:space="0" w:color="auto"/>
              <w:right w:val="single" w:sz="4" w:space="0" w:color="auto"/>
            </w:tcBorders>
            <w:shd w:val="clear" w:color="auto" w:fill="auto"/>
            <w:noWrap/>
            <w:vAlign w:val="center"/>
            <w:hideMark/>
          </w:tcPr>
          <w:p w14:paraId="090139AA"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0.222</w:t>
            </w:r>
          </w:p>
        </w:tc>
      </w:tr>
      <w:tr w:rsidR="00721AF0" w:rsidRPr="00D83BC4" w14:paraId="47018268"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4E32FFE"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08</w:t>
            </w:r>
          </w:p>
        </w:tc>
        <w:tc>
          <w:tcPr>
            <w:tcW w:w="688" w:type="dxa"/>
            <w:tcBorders>
              <w:top w:val="nil"/>
              <w:left w:val="nil"/>
              <w:bottom w:val="single" w:sz="4" w:space="0" w:color="auto"/>
              <w:right w:val="single" w:sz="4" w:space="0" w:color="auto"/>
            </w:tcBorders>
            <w:shd w:val="clear" w:color="auto" w:fill="auto"/>
            <w:noWrap/>
            <w:vAlign w:val="center"/>
            <w:hideMark/>
          </w:tcPr>
          <w:p w14:paraId="3AB4F672"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17</w:t>
            </w:r>
          </w:p>
        </w:tc>
        <w:tc>
          <w:tcPr>
            <w:tcW w:w="960" w:type="dxa"/>
            <w:tcBorders>
              <w:top w:val="nil"/>
              <w:left w:val="nil"/>
              <w:bottom w:val="single" w:sz="4" w:space="0" w:color="auto"/>
              <w:right w:val="single" w:sz="4" w:space="0" w:color="auto"/>
            </w:tcBorders>
            <w:shd w:val="clear" w:color="auto" w:fill="auto"/>
            <w:noWrap/>
            <w:vAlign w:val="center"/>
            <w:hideMark/>
          </w:tcPr>
          <w:p w14:paraId="4B5F3EB7"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6</w:t>
            </w:r>
          </w:p>
        </w:tc>
        <w:tc>
          <w:tcPr>
            <w:tcW w:w="960" w:type="dxa"/>
            <w:tcBorders>
              <w:top w:val="nil"/>
              <w:left w:val="nil"/>
              <w:bottom w:val="single" w:sz="4" w:space="0" w:color="auto"/>
              <w:right w:val="single" w:sz="4" w:space="0" w:color="auto"/>
            </w:tcBorders>
            <w:shd w:val="clear" w:color="auto" w:fill="auto"/>
            <w:noWrap/>
            <w:vAlign w:val="center"/>
            <w:hideMark/>
          </w:tcPr>
          <w:p w14:paraId="1FF5E160"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3.959</w:t>
            </w:r>
          </w:p>
        </w:tc>
        <w:tc>
          <w:tcPr>
            <w:tcW w:w="960" w:type="dxa"/>
            <w:tcBorders>
              <w:top w:val="nil"/>
              <w:left w:val="nil"/>
              <w:bottom w:val="single" w:sz="4" w:space="0" w:color="auto"/>
              <w:right w:val="single" w:sz="4" w:space="0" w:color="auto"/>
            </w:tcBorders>
            <w:shd w:val="clear" w:color="auto" w:fill="auto"/>
            <w:noWrap/>
            <w:vAlign w:val="center"/>
            <w:hideMark/>
          </w:tcPr>
          <w:p w14:paraId="36D3F31F"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0.882</w:t>
            </w:r>
          </w:p>
        </w:tc>
        <w:tc>
          <w:tcPr>
            <w:tcW w:w="960" w:type="dxa"/>
            <w:tcBorders>
              <w:top w:val="nil"/>
              <w:left w:val="nil"/>
              <w:bottom w:val="single" w:sz="4" w:space="0" w:color="auto"/>
              <w:right w:val="single" w:sz="4" w:space="0" w:color="auto"/>
            </w:tcBorders>
            <w:shd w:val="clear" w:color="auto" w:fill="auto"/>
            <w:noWrap/>
            <w:vAlign w:val="center"/>
            <w:hideMark/>
          </w:tcPr>
          <w:p w14:paraId="7C22BE88"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0.747</w:t>
            </w:r>
          </w:p>
        </w:tc>
        <w:tc>
          <w:tcPr>
            <w:tcW w:w="960" w:type="dxa"/>
            <w:tcBorders>
              <w:top w:val="nil"/>
              <w:left w:val="nil"/>
              <w:bottom w:val="single" w:sz="4" w:space="0" w:color="auto"/>
              <w:right w:val="single" w:sz="4" w:space="0" w:color="auto"/>
            </w:tcBorders>
            <w:shd w:val="clear" w:color="auto" w:fill="auto"/>
            <w:noWrap/>
            <w:vAlign w:val="center"/>
            <w:hideMark/>
          </w:tcPr>
          <w:p w14:paraId="5BF4522D"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-0.181</w:t>
            </w:r>
          </w:p>
        </w:tc>
      </w:tr>
      <w:tr w:rsidR="00721AF0" w:rsidRPr="00D83BC4" w14:paraId="1F7C01AE"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FF4A580"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15</w:t>
            </w:r>
          </w:p>
        </w:tc>
        <w:tc>
          <w:tcPr>
            <w:tcW w:w="688" w:type="dxa"/>
            <w:tcBorders>
              <w:top w:val="nil"/>
              <w:left w:val="nil"/>
              <w:bottom w:val="single" w:sz="4" w:space="0" w:color="auto"/>
              <w:right w:val="single" w:sz="4" w:space="0" w:color="auto"/>
            </w:tcBorders>
            <w:shd w:val="clear" w:color="auto" w:fill="auto"/>
            <w:noWrap/>
            <w:vAlign w:val="center"/>
            <w:hideMark/>
          </w:tcPr>
          <w:p w14:paraId="077DF18D"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17</w:t>
            </w:r>
          </w:p>
        </w:tc>
        <w:tc>
          <w:tcPr>
            <w:tcW w:w="960" w:type="dxa"/>
            <w:tcBorders>
              <w:top w:val="nil"/>
              <w:left w:val="nil"/>
              <w:bottom w:val="single" w:sz="4" w:space="0" w:color="auto"/>
              <w:right w:val="single" w:sz="4" w:space="0" w:color="auto"/>
            </w:tcBorders>
            <w:shd w:val="clear" w:color="auto" w:fill="auto"/>
            <w:noWrap/>
            <w:vAlign w:val="center"/>
            <w:hideMark/>
          </w:tcPr>
          <w:p w14:paraId="05A85DBB"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10</w:t>
            </w:r>
          </w:p>
        </w:tc>
        <w:tc>
          <w:tcPr>
            <w:tcW w:w="960" w:type="dxa"/>
            <w:tcBorders>
              <w:top w:val="nil"/>
              <w:left w:val="nil"/>
              <w:bottom w:val="single" w:sz="4" w:space="0" w:color="auto"/>
              <w:right w:val="single" w:sz="4" w:space="0" w:color="auto"/>
            </w:tcBorders>
            <w:shd w:val="clear" w:color="auto" w:fill="auto"/>
            <w:noWrap/>
            <w:vAlign w:val="center"/>
            <w:hideMark/>
          </w:tcPr>
          <w:p w14:paraId="2720888E"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5.612</w:t>
            </w:r>
          </w:p>
        </w:tc>
        <w:tc>
          <w:tcPr>
            <w:tcW w:w="960" w:type="dxa"/>
            <w:tcBorders>
              <w:top w:val="nil"/>
              <w:left w:val="nil"/>
              <w:bottom w:val="single" w:sz="4" w:space="0" w:color="auto"/>
              <w:right w:val="single" w:sz="4" w:space="0" w:color="auto"/>
            </w:tcBorders>
            <w:shd w:val="clear" w:color="auto" w:fill="auto"/>
            <w:noWrap/>
            <w:vAlign w:val="center"/>
            <w:hideMark/>
          </w:tcPr>
          <w:p w14:paraId="26237D37"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0.412</w:t>
            </w:r>
          </w:p>
        </w:tc>
        <w:tc>
          <w:tcPr>
            <w:tcW w:w="960" w:type="dxa"/>
            <w:tcBorders>
              <w:top w:val="nil"/>
              <w:left w:val="nil"/>
              <w:bottom w:val="single" w:sz="4" w:space="0" w:color="auto"/>
              <w:right w:val="single" w:sz="4" w:space="0" w:color="auto"/>
            </w:tcBorders>
            <w:shd w:val="clear" w:color="auto" w:fill="auto"/>
            <w:noWrap/>
            <w:vAlign w:val="center"/>
            <w:hideMark/>
          </w:tcPr>
          <w:p w14:paraId="3A87615A"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0.822</w:t>
            </w:r>
          </w:p>
        </w:tc>
        <w:tc>
          <w:tcPr>
            <w:tcW w:w="960" w:type="dxa"/>
            <w:tcBorders>
              <w:top w:val="nil"/>
              <w:left w:val="nil"/>
              <w:bottom w:val="single" w:sz="4" w:space="0" w:color="auto"/>
              <w:right w:val="single" w:sz="4" w:space="0" w:color="auto"/>
            </w:tcBorders>
            <w:shd w:val="clear" w:color="auto" w:fill="auto"/>
            <w:noWrap/>
            <w:vAlign w:val="center"/>
            <w:hideMark/>
          </w:tcPr>
          <w:p w14:paraId="76AE8046"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0.499</w:t>
            </w:r>
          </w:p>
        </w:tc>
      </w:tr>
      <w:tr w:rsidR="00721AF0" w:rsidRPr="00D83BC4" w14:paraId="13001D51"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3593A9D"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16</w:t>
            </w:r>
          </w:p>
        </w:tc>
        <w:tc>
          <w:tcPr>
            <w:tcW w:w="688" w:type="dxa"/>
            <w:tcBorders>
              <w:top w:val="nil"/>
              <w:left w:val="nil"/>
              <w:bottom w:val="single" w:sz="4" w:space="0" w:color="auto"/>
              <w:right w:val="single" w:sz="4" w:space="0" w:color="auto"/>
            </w:tcBorders>
            <w:shd w:val="clear" w:color="auto" w:fill="auto"/>
            <w:noWrap/>
            <w:vAlign w:val="center"/>
            <w:hideMark/>
          </w:tcPr>
          <w:p w14:paraId="412A8109"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17</w:t>
            </w:r>
          </w:p>
        </w:tc>
        <w:tc>
          <w:tcPr>
            <w:tcW w:w="960" w:type="dxa"/>
            <w:tcBorders>
              <w:top w:val="nil"/>
              <w:left w:val="nil"/>
              <w:bottom w:val="single" w:sz="4" w:space="0" w:color="auto"/>
              <w:right w:val="single" w:sz="4" w:space="0" w:color="auto"/>
            </w:tcBorders>
            <w:shd w:val="clear" w:color="auto" w:fill="auto"/>
            <w:noWrap/>
            <w:vAlign w:val="center"/>
            <w:hideMark/>
          </w:tcPr>
          <w:p w14:paraId="16A5149B"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10</w:t>
            </w:r>
          </w:p>
        </w:tc>
        <w:tc>
          <w:tcPr>
            <w:tcW w:w="960" w:type="dxa"/>
            <w:tcBorders>
              <w:top w:val="nil"/>
              <w:left w:val="nil"/>
              <w:bottom w:val="single" w:sz="4" w:space="0" w:color="auto"/>
              <w:right w:val="single" w:sz="4" w:space="0" w:color="auto"/>
            </w:tcBorders>
            <w:shd w:val="clear" w:color="auto" w:fill="auto"/>
            <w:noWrap/>
            <w:vAlign w:val="center"/>
            <w:hideMark/>
          </w:tcPr>
          <w:p w14:paraId="56144C15"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4.738</w:t>
            </w:r>
          </w:p>
        </w:tc>
        <w:tc>
          <w:tcPr>
            <w:tcW w:w="960" w:type="dxa"/>
            <w:tcBorders>
              <w:top w:val="nil"/>
              <w:left w:val="nil"/>
              <w:bottom w:val="single" w:sz="4" w:space="0" w:color="auto"/>
              <w:right w:val="single" w:sz="4" w:space="0" w:color="auto"/>
            </w:tcBorders>
            <w:shd w:val="clear" w:color="auto" w:fill="auto"/>
            <w:noWrap/>
            <w:vAlign w:val="center"/>
            <w:hideMark/>
          </w:tcPr>
          <w:p w14:paraId="63B7B04C"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0.706</w:t>
            </w:r>
          </w:p>
        </w:tc>
        <w:tc>
          <w:tcPr>
            <w:tcW w:w="960" w:type="dxa"/>
            <w:tcBorders>
              <w:top w:val="nil"/>
              <w:left w:val="nil"/>
              <w:bottom w:val="single" w:sz="4" w:space="0" w:color="auto"/>
              <w:right w:val="single" w:sz="4" w:space="0" w:color="auto"/>
            </w:tcBorders>
            <w:shd w:val="clear" w:color="auto" w:fill="auto"/>
            <w:noWrap/>
            <w:vAlign w:val="center"/>
            <w:hideMark/>
          </w:tcPr>
          <w:p w14:paraId="18F33851"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0.789</w:t>
            </w:r>
          </w:p>
        </w:tc>
        <w:tc>
          <w:tcPr>
            <w:tcW w:w="960" w:type="dxa"/>
            <w:tcBorders>
              <w:top w:val="nil"/>
              <w:left w:val="nil"/>
              <w:bottom w:val="single" w:sz="4" w:space="0" w:color="auto"/>
              <w:right w:val="single" w:sz="4" w:space="0" w:color="auto"/>
            </w:tcBorders>
            <w:shd w:val="clear" w:color="auto" w:fill="auto"/>
            <w:noWrap/>
            <w:vAlign w:val="center"/>
            <w:hideMark/>
          </w:tcPr>
          <w:p w14:paraId="45C433B2"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0.105</w:t>
            </w:r>
          </w:p>
        </w:tc>
      </w:tr>
      <w:tr w:rsidR="00721AF0" w:rsidRPr="00D83BC4" w14:paraId="51E281E5"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6716440"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18</w:t>
            </w:r>
          </w:p>
        </w:tc>
        <w:tc>
          <w:tcPr>
            <w:tcW w:w="688" w:type="dxa"/>
            <w:tcBorders>
              <w:top w:val="nil"/>
              <w:left w:val="nil"/>
              <w:bottom w:val="single" w:sz="4" w:space="0" w:color="auto"/>
              <w:right w:val="single" w:sz="4" w:space="0" w:color="auto"/>
            </w:tcBorders>
            <w:shd w:val="clear" w:color="auto" w:fill="auto"/>
            <w:noWrap/>
            <w:vAlign w:val="center"/>
            <w:hideMark/>
          </w:tcPr>
          <w:p w14:paraId="471FAB17"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12</w:t>
            </w:r>
          </w:p>
        </w:tc>
        <w:tc>
          <w:tcPr>
            <w:tcW w:w="960" w:type="dxa"/>
            <w:tcBorders>
              <w:top w:val="nil"/>
              <w:left w:val="nil"/>
              <w:bottom w:val="single" w:sz="4" w:space="0" w:color="auto"/>
              <w:right w:val="single" w:sz="4" w:space="0" w:color="auto"/>
            </w:tcBorders>
            <w:shd w:val="clear" w:color="auto" w:fill="auto"/>
            <w:noWrap/>
            <w:vAlign w:val="center"/>
            <w:hideMark/>
          </w:tcPr>
          <w:p w14:paraId="24F361E8"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6</w:t>
            </w:r>
          </w:p>
        </w:tc>
        <w:tc>
          <w:tcPr>
            <w:tcW w:w="960" w:type="dxa"/>
            <w:tcBorders>
              <w:top w:val="nil"/>
              <w:left w:val="nil"/>
              <w:bottom w:val="single" w:sz="4" w:space="0" w:color="auto"/>
              <w:right w:val="single" w:sz="4" w:space="0" w:color="auto"/>
            </w:tcBorders>
            <w:shd w:val="clear" w:color="auto" w:fill="auto"/>
            <w:noWrap/>
            <w:vAlign w:val="center"/>
            <w:hideMark/>
          </w:tcPr>
          <w:p w14:paraId="27FFBEE0"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1.920</w:t>
            </w:r>
          </w:p>
        </w:tc>
        <w:tc>
          <w:tcPr>
            <w:tcW w:w="960" w:type="dxa"/>
            <w:tcBorders>
              <w:top w:val="nil"/>
              <w:left w:val="nil"/>
              <w:bottom w:val="single" w:sz="4" w:space="0" w:color="auto"/>
              <w:right w:val="single" w:sz="4" w:space="0" w:color="auto"/>
            </w:tcBorders>
            <w:shd w:val="clear" w:color="auto" w:fill="auto"/>
            <w:noWrap/>
            <w:vAlign w:val="center"/>
            <w:hideMark/>
          </w:tcPr>
          <w:p w14:paraId="194A56B1"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0.167</w:t>
            </w:r>
          </w:p>
        </w:tc>
        <w:tc>
          <w:tcPr>
            <w:tcW w:w="960" w:type="dxa"/>
            <w:tcBorders>
              <w:top w:val="nil"/>
              <w:left w:val="nil"/>
              <w:bottom w:val="single" w:sz="4" w:space="0" w:color="auto"/>
              <w:right w:val="single" w:sz="4" w:space="0" w:color="auto"/>
            </w:tcBorders>
            <w:shd w:val="clear" w:color="auto" w:fill="auto"/>
            <w:noWrap/>
            <w:vAlign w:val="center"/>
            <w:hideMark/>
          </w:tcPr>
          <w:p w14:paraId="53EC8A6F"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0.479</w:t>
            </w:r>
          </w:p>
        </w:tc>
        <w:tc>
          <w:tcPr>
            <w:tcW w:w="960" w:type="dxa"/>
            <w:tcBorders>
              <w:top w:val="nil"/>
              <w:left w:val="nil"/>
              <w:bottom w:val="single" w:sz="4" w:space="0" w:color="auto"/>
              <w:right w:val="single" w:sz="4" w:space="0" w:color="auto"/>
            </w:tcBorders>
            <w:shd w:val="clear" w:color="auto" w:fill="auto"/>
            <w:noWrap/>
            <w:vAlign w:val="center"/>
            <w:hideMark/>
          </w:tcPr>
          <w:p w14:paraId="34879EC4"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0.652</w:t>
            </w:r>
          </w:p>
        </w:tc>
      </w:tr>
      <w:tr w:rsidR="00721AF0" w:rsidRPr="00D83BC4" w14:paraId="3E6BE2FD"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99E0CF9"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109</w:t>
            </w:r>
          </w:p>
        </w:tc>
        <w:tc>
          <w:tcPr>
            <w:tcW w:w="688" w:type="dxa"/>
            <w:tcBorders>
              <w:top w:val="nil"/>
              <w:left w:val="nil"/>
              <w:bottom w:val="single" w:sz="4" w:space="0" w:color="auto"/>
              <w:right w:val="single" w:sz="4" w:space="0" w:color="auto"/>
            </w:tcBorders>
            <w:shd w:val="clear" w:color="auto" w:fill="auto"/>
            <w:noWrap/>
            <w:vAlign w:val="center"/>
            <w:hideMark/>
          </w:tcPr>
          <w:p w14:paraId="3F64A40B"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17</w:t>
            </w:r>
          </w:p>
        </w:tc>
        <w:tc>
          <w:tcPr>
            <w:tcW w:w="960" w:type="dxa"/>
            <w:tcBorders>
              <w:top w:val="nil"/>
              <w:left w:val="nil"/>
              <w:bottom w:val="single" w:sz="4" w:space="0" w:color="auto"/>
              <w:right w:val="single" w:sz="4" w:space="0" w:color="auto"/>
            </w:tcBorders>
            <w:shd w:val="clear" w:color="auto" w:fill="auto"/>
            <w:noWrap/>
            <w:vAlign w:val="center"/>
            <w:hideMark/>
          </w:tcPr>
          <w:p w14:paraId="12F60FF1"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8</w:t>
            </w:r>
          </w:p>
        </w:tc>
        <w:tc>
          <w:tcPr>
            <w:tcW w:w="960" w:type="dxa"/>
            <w:tcBorders>
              <w:top w:val="nil"/>
              <w:left w:val="nil"/>
              <w:bottom w:val="single" w:sz="4" w:space="0" w:color="auto"/>
              <w:right w:val="single" w:sz="4" w:space="0" w:color="auto"/>
            </w:tcBorders>
            <w:shd w:val="clear" w:color="auto" w:fill="auto"/>
            <w:noWrap/>
            <w:vAlign w:val="center"/>
            <w:hideMark/>
          </w:tcPr>
          <w:p w14:paraId="04CE5125"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3.284</w:t>
            </w:r>
          </w:p>
        </w:tc>
        <w:tc>
          <w:tcPr>
            <w:tcW w:w="960" w:type="dxa"/>
            <w:tcBorders>
              <w:top w:val="nil"/>
              <w:left w:val="nil"/>
              <w:bottom w:val="single" w:sz="4" w:space="0" w:color="auto"/>
              <w:right w:val="single" w:sz="4" w:space="0" w:color="auto"/>
            </w:tcBorders>
            <w:shd w:val="clear" w:color="auto" w:fill="auto"/>
            <w:noWrap/>
            <w:vAlign w:val="center"/>
            <w:hideMark/>
          </w:tcPr>
          <w:p w14:paraId="7A0B9B94"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0.765</w:t>
            </w:r>
          </w:p>
        </w:tc>
        <w:tc>
          <w:tcPr>
            <w:tcW w:w="960" w:type="dxa"/>
            <w:tcBorders>
              <w:top w:val="nil"/>
              <w:left w:val="nil"/>
              <w:bottom w:val="single" w:sz="4" w:space="0" w:color="auto"/>
              <w:right w:val="single" w:sz="4" w:space="0" w:color="auto"/>
            </w:tcBorders>
            <w:shd w:val="clear" w:color="auto" w:fill="auto"/>
            <w:noWrap/>
            <w:vAlign w:val="center"/>
            <w:hideMark/>
          </w:tcPr>
          <w:p w14:paraId="2A5C843D"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0.696</w:t>
            </w:r>
          </w:p>
        </w:tc>
        <w:tc>
          <w:tcPr>
            <w:tcW w:w="960" w:type="dxa"/>
            <w:tcBorders>
              <w:top w:val="nil"/>
              <w:left w:val="nil"/>
              <w:bottom w:val="single" w:sz="4" w:space="0" w:color="auto"/>
              <w:right w:val="single" w:sz="4" w:space="0" w:color="auto"/>
            </w:tcBorders>
            <w:shd w:val="clear" w:color="auto" w:fill="auto"/>
            <w:noWrap/>
            <w:vAlign w:val="center"/>
            <w:hideMark/>
          </w:tcPr>
          <w:p w14:paraId="3A49DB39"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-0.100</w:t>
            </w:r>
          </w:p>
        </w:tc>
      </w:tr>
      <w:tr w:rsidR="00721AF0" w:rsidRPr="00D83BC4" w14:paraId="5CE6C527"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BEFD01D"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Rops150</w:t>
            </w:r>
          </w:p>
        </w:tc>
        <w:tc>
          <w:tcPr>
            <w:tcW w:w="688" w:type="dxa"/>
            <w:tcBorders>
              <w:top w:val="nil"/>
              <w:left w:val="nil"/>
              <w:bottom w:val="single" w:sz="4" w:space="0" w:color="auto"/>
              <w:right w:val="single" w:sz="4" w:space="0" w:color="auto"/>
            </w:tcBorders>
            <w:shd w:val="clear" w:color="auto" w:fill="auto"/>
            <w:noWrap/>
            <w:vAlign w:val="center"/>
            <w:hideMark/>
          </w:tcPr>
          <w:p w14:paraId="4A0FB7F5"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17</w:t>
            </w:r>
          </w:p>
        </w:tc>
        <w:tc>
          <w:tcPr>
            <w:tcW w:w="960" w:type="dxa"/>
            <w:tcBorders>
              <w:top w:val="nil"/>
              <w:left w:val="nil"/>
              <w:bottom w:val="single" w:sz="4" w:space="0" w:color="auto"/>
              <w:right w:val="single" w:sz="4" w:space="0" w:color="auto"/>
            </w:tcBorders>
            <w:shd w:val="clear" w:color="auto" w:fill="auto"/>
            <w:noWrap/>
            <w:vAlign w:val="center"/>
            <w:hideMark/>
          </w:tcPr>
          <w:p w14:paraId="58112086"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6</w:t>
            </w:r>
          </w:p>
        </w:tc>
        <w:tc>
          <w:tcPr>
            <w:tcW w:w="960" w:type="dxa"/>
            <w:tcBorders>
              <w:top w:val="nil"/>
              <w:left w:val="nil"/>
              <w:bottom w:val="single" w:sz="4" w:space="0" w:color="auto"/>
              <w:right w:val="single" w:sz="4" w:space="0" w:color="auto"/>
            </w:tcBorders>
            <w:shd w:val="clear" w:color="auto" w:fill="auto"/>
            <w:noWrap/>
            <w:vAlign w:val="center"/>
            <w:hideMark/>
          </w:tcPr>
          <w:p w14:paraId="24198B73"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2.627</w:t>
            </w:r>
          </w:p>
        </w:tc>
        <w:tc>
          <w:tcPr>
            <w:tcW w:w="960" w:type="dxa"/>
            <w:tcBorders>
              <w:top w:val="nil"/>
              <w:left w:val="nil"/>
              <w:bottom w:val="single" w:sz="4" w:space="0" w:color="auto"/>
              <w:right w:val="single" w:sz="4" w:space="0" w:color="auto"/>
            </w:tcBorders>
            <w:shd w:val="clear" w:color="auto" w:fill="auto"/>
            <w:noWrap/>
            <w:vAlign w:val="center"/>
            <w:hideMark/>
          </w:tcPr>
          <w:p w14:paraId="03077B4B"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0.647</w:t>
            </w:r>
          </w:p>
        </w:tc>
        <w:tc>
          <w:tcPr>
            <w:tcW w:w="960" w:type="dxa"/>
            <w:tcBorders>
              <w:top w:val="nil"/>
              <w:left w:val="nil"/>
              <w:bottom w:val="single" w:sz="4" w:space="0" w:color="auto"/>
              <w:right w:val="single" w:sz="4" w:space="0" w:color="auto"/>
            </w:tcBorders>
            <w:shd w:val="clear" w:color="auto" w:fill="auto"/>
            <w:noWrap/>
            <w:vAlign w:val="center"/>
            <w:hideMark/>
          </w:tcPr>
          <w:p w14:paraId="5111AEC8"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0.619</w:t>
            </w:r>
          </w:p>
        </w:tc>
        <w:tc>
          <w:tcPr>
            <w:tcW w:w="960" w:type="dxa"/>
            <w:tcBorders>
              <w:top w:val="nil"/>
              <w:left w:val="nil"/>
              <w:bottom w:val="single" w:sz="4" w:space="0" w:color="auto"/>
              <w:right w:val="single" w:sz="4" w:space="0" w:color="auto"/>
            </w:tcBorders>
            <w:shd w:val="clear" w:color="auto" w:fill="auto"/>
            <w:noWrap/>
            <w:vAlign w:val="center"/>
            <w:hideMark/>
          </w:tcPr>
          <w:p w14:paraId="2E6B13E3"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-0.045</w:t>
            </w:r>
          </w:p>
        </w:tc>
      </w:tr>
      <w:tr w:rsidR="00721AF0" w:rsidRPr="00D83BC4" w14:paraId="6B0ADF08"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C265345"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200</w:t>
            </w:r>
          </w:p>
        </w:tc>
        <w:tc>
          <w:tcPr>
            <w:tcW w:w="688" w:type="dxa"/>
            <w:tcBorders>
              <w:top w:val="nil"/>
              <w:left w:val="nil"/>
              <w:bottom w:val="single" w:sz="4" w:space="0" w:color="auto"/>
              <w:right w:val="single" w:sz="4" w:space="0" w:color="auto"/>
            </w:tcBorders>
            <w:shd w:val="clear" w:color="auto" w:fill="auto"/>
            <w:noWrap/>
            <w:vAlign w:val="center"/>
            <w:hideMark/>
          </w:tcPr>
          <w:p w14:paraId="05553957"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17</w:t>
            </w:r>
          </w:p>
        </w:tc>
        <w:tc>
          <w:tcPr>
            <w:tcW w:w="960" w:type="dxa"/>
            <w:tcBorders>
              <w:top w:val="nil"/>
              <w:left w:val="nil"/>
              <w:bottom w:val="single" w:sz="4" w:space="0" w:color="auto"/>
              <w:right w:val="single" w:sz="4" w:space="0" w:color="auto"/>
            </w:tcBorders>
            <w:shd w:val="clear" w:color="auto" w:fill="auto"/>
            <w:noWrap/>
            <w:vAlign w:val="center"/>
            <w:hideMark/>
          </w:tcPr>
          <w:p w14:paraId="318565B8"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10</w:t>
            </w:r>
          </w:p>
        </w:tc>
        <w:tc>
          <w:tcPr>
            <w:tcW w:w="960" w:type="dxa"/>
            <w:tcBorders>
              <w:top w:val="nil"/>
              <w:left w:val="nil"/>
              <w:bottom w:val="single" w:sz="4" w:space="0" w:color="auto"/>
              <w:right w:val="single" w:sz="4" w:space="0" w:color="auto"/>
            </w:tcBorders>
            <w:shd w:val="clear" w:color="auto" w:fill="auto"/>
            <w:noWrap/>
            <w:vAlign w:val="center"/>
            <w:hideMark/>
          </w:tcPr>
          <w:p w14:paraId="659C16A3"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5.255</w:t>
            </w:r>
          </w:p>
        </w:tc>
        <w:tc>
          <w:tcPr>
            <w:tcW w:w="960" w:type="dxa"/>
            <w:tcBorders>
              <w:top w:val="nil"/>
              <w:left w:val="nil"/>
              <w:bottom w:val="single" w:sz="4" w:space="0" w:color="auto"/>
              <w:right w:val="single" w:sz="4" w:space="0" w:color="auto"/>
            </w:tcBorders>
            <w:shd w:val="clear" w:color="auto" w:fill="auto"/>
            <w:noWrap/>
            <w:vAlign w:val="center"/>
            <w:hideMark/>
          </w:tcPr>
          <w:p w14:paraId="301D6067"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0.765</w:t>
            </w:r>
          </w:p>
        </w:tc>
        <w:tc>
          <w:tcPr>
            <w:tcW w:w="960" w:type="dxa"/>
            <w:tcBorders>
              <w:top w:val="nil"/>
              <w:left w:val="nil"/>
              <w:bottom w:val="single" w:sz="4" w:space="0" w:color="auto"/>
              <w:right w:val="single" w:sz="4" w:space="0" w:color="auto"/>
            </w:tcBorders>
            <w:shd w:val="clear" w:color="auto" w:fill="auto"/>
            <w:noWrap/>
            <w:vAlign w:val="center"/>
            <w:hideMark/>
          </w:tcPr>
          <w:p w14:paraId="72082C8D"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0.810</w:t>
            </w:r>
          </w:p>
        </w:tc>
        <w:tc>
          <w:tcPr>
            <w:tcW w:w="960" w:type="dxa"/>
            <w:tcBorders>
              <w:top w:val="nil"/>
              <w:left w:val="nil"/>
              <w:bottom w:val="single" w:sz="4" w:space="0" w:color="auto"/>
              <w:right w:val="single" w:sz="4" w:space="0" w:color="auto"/>
            </w:tcBorders>
            <w:shd w:val="clear" w:color="auto" w:fill="auto"/>
            <w:noWrap/>
            <w:vAlign w:val="center"/>
            <w:hideMark/>
          </w:tcPr>
          <w:p w14:paraId="3EA214F5"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0.056</w:t>
            </w:r>
          </w:p>
        </w:tc>
      </w:tr>
      <w:tr w:rsidR="00721AF0" w:rsidRPr="00D83BC4" w14:paraId="7F4E23D1"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B1B228E"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proofErr w:type="spellStart"/>
            <w:r w:rsidRPr="00D83BC4">
              <w:rPr>
                <w:rFonts w:ascii="Times New Roman" w:eastAsia="Times New Roman" w:hAnsi="Times New Roman"/>
                <w:b/>
                <w:bCs/>
                <w:color w:val="000000"/>
                <w:sz w:val="20"/>
                <w:szCs w:val="20"/>
                <w:lang w:val="en-GB" w:eastAsia="en-GB"/>
              </w:rPr>
              <w:t>Rops</w:t>
            </w:r>
            <w:proofErr w:type="spellEnd"/>
            <w:r w:rsidRPr="00D83BC4">
              <w:rPr>
                <w:rFonts w:ascii="Times New Roman" w:eastAsia="Times New Roman" w:hAnsi="Times New Roman"/>
                <w:b/>
                <w:bCs/>
                <w:color w:val="000000"/>
                <w:sz w:val="20"/>
                <w:szCs w:val="20"/>
                <w:lang w:val="en-GB" w:eastAsia="en-GB"/>
              </w:rPr>
              <w:t xml:space="preserve"> 206</w:t>
            </w:r>
          </w:p>
        </w:tc>
        <w:tc>
          <w:tcPr>
            <w:tcW w:w="688" w:type="dxa"/>
            <w:tcBorders>
              <w:top w:val="nil"/>
              <w:left w:val="nil"/>
              <w:bottom w:val="single" w:sz="4" w:space="0" w:color="auto"/>
              <w:right w:val="single" w:sz="4" w:space="0" w:color="auto"/>
            </w:tcBorders>
            <w:shd w:val="clear" w:color="auto" w:fill="auto"/>
            <w:noWrap/>
            <w:vAlign w:val="center"/>
            <w:hideMark/>
          </w:tcPr>
          <w:p w14:paraId="7B0963BF"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17</w:t>
            </w:r>
          </w:p>
        </w:tc>
        <w:tc>
          <w:tcPr>
            <w:tcW w:w="960" w:type="dxa"/>
            <w:tcBorders>
              <w:top w:val="nil"/>
              <w:left w:val="nil"/>
              <w:bottom w:val="single" w:sz="4" w:space="0" w:color="auto"/>
              <w:right w:val="single" w:sz="4" w:space="0" w:color="auto"/>
            </w:tcBorders>
            <w:shd w:val="clear" w:color="auto" w:fill="auto"/>
            <w:noWrap/>
            <w:vAlign w:val="center"/>
            <w:hideMark/>
          </w:tcPr>
          <w:p w14:paraId="32447F23"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6</w:t>
            </w:r>
          </w:p>
        </w:tc>
        <w:tc>
          <w:tcPr>
            <w:tcW w:w="960" w:type="dxa"/>
            <w:tcBorders>
              <w:top w:val="nil"/>
              <w:left w:val="nil"/>
              <w:bottom w:val="single" w:sz="4" w:space="0" w:color="auto"/>
              <w:right w:val="single" w:sz="4" w:space="0" w:color="auto"/>
            </w:tcBorders>
            <w:shd w:val="clear" w:color="auto" w:fill="auto"/>
            <w:noWrap/>
            <w:vAlign w:val="center"/>
            <w:hideMark/>
          </w:tcPr>
          <w:p w14:paraId="08CE3929"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3.026</w:t>
            </w:r>
          </w:p>
        </w:tc>
        <w:tc>
          <w:tcPr>
            <w:tcW w:w="960" w:type="dxa"/>
            <w:tcBorders>
              <w:top w:val="nil"/>
              <w:left w:val="nil"/>
              <w:bottom w:val="single" w:sz="4" w:space="0" w:color="auto"/>
              <w:right w:val="single" w:sz="4" w:space="0" w:color="auto"/>
            </w:tcBorders>
            <w:shd w:val="clear" w:color="auto" w:fill="auto"/>
            <w:noWrap/>
            <w:vAlign w:val="center"/>
            <w:hideMark/>
          </w:tcPr>
          <w:p w14:paraId="6A738C65"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0.471</w:t>
            </w:r>
          </w:p>
        </w:tc>
        <w:tc>
          <w:tcPr>
            <w:tcW w:w="960" w:type="dxa"/>
            <w:tcBorders>
              <w:top w:val="nil"/>
              <w:left w:val="nil"/>
              <w:bottom w:val="single" w:sz="4" w:space="0" w:color="auto"/>
              <w:right w:val="single" w:sz="4" w:space="0" w:color="auto"/>
            </w:tcBorders>
            <w:shd w:val="clear" w:color="auto" w:fill="auto"/>
            <w:noWrap/>
            <w:vAlign w:val="center"/>
            <w:hideMark/>
          </w:tcPr>
          <w:p w14:paraId="6DDDE8DD"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0.670</w:t>
            </w:r>
          </w:p>
        </w:tc>
        <w:tc>
          <w:tcPr>
            <w:tcW w:w="960" w:type="dxa"/>
            <w:tcBorders>
              <w:top w:val="nil"/>
              <w:left w:val="nil"/>
              <w:bottom w:val="single" w:sz="4" w:space="0" w:color="auto"/>
              <w:right w:val="single" w:sz="4" w:space="0" w:color="auto"/>
            </w:tcBorders>
            <w:shd w:val="clear" w:color="auto" w:fill="auto"/>
            <w:noWrap/>
            <w:vAlign w:val="center"/>
            <w:hideMark/>
          </w:tcPr>
          <w:p w14:paraId="753B4EE2"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0.297</w:t>
            </w:r>
          </w:p>
        </w:tc>
      </w:tr>
      <w:tr w:rsidR="00721AF0" w:rsidRPr="00D83BC4" w14:paraId="3A2EADF1" w14:textId="77777777" w:rsidTr="00D83BC4">
        <w:trPr>
          <w:trHeight w:val="70"/>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3C10288" w14:textId="77777777" w:rsidR="00721AF0" w:rsidRPr="00D83BC4" w:rsidRDefault="00721AF0" w:rsidP="0039049A">
            <w:pPr>
              <w:spacing w:after="0" w:line="240" w:lineRule="auto"/>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 </w:t>
            </w:r>
          </w:p>
        </w:tc>
        <w:tc>
          <w:tcPr>
            <w:tcW w:w="688" w:type="dxa"/>
            <w:tcBorders>
              <w:top w:val="nil"/>
              <w:left w:val="nil"/>
              <w:bottom w:val="single" w:sz="4" w:space="0" w:color="auto"/>
              <w:right w:val="single" w:sz="4" w:space="0" w:color="auto"/>
            </w:tcBorders>
            <w:shd w:val="clear" w:color="auto" w:fill="auto"/>
            <w:noWrap/>
            <w:vAlign w:val="center"/>
            <w:hideMark/>
          </w:tcPr>
          <w:p w14:paraId="4E8B141D" w14:textId="33FE882C"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p>
        </w:tc>
        <w:tc>
          <w:tcPr>
            <w:tcW w:w="960" w:type="dxa"/>
            <w:tcBorders>
              <w:top w:val="nil"/>
              <w:left w:val="nil"/>
              <w:bottom w:val="single" w:sz="4" w:space="0" w:color="auto"/>
              <w:right w:val="single" w:sz="4" w:space="0" w:color="auto"/>
            </w:tcBorders>
            <w:shd w:val="clear" w:color="auto" w:fill="auto"/>
            <w:noWrap/>
            <w:vAlign w:val="center"/>
            <w:hideMark/>
          </w:tcPr>
          <w:p w14:paraId="488F8E5A" w14:textId="46BAC644"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p>
        </w:tc>
        <w:tc>
          <w:tcPr>
            <w:tcW w:w="960" w:type="dxa"/>
            <w:tcBorders>
              <w:top w:val="nil"/>
              <w:left w:val="nil"/>
              <w:bottom w:val="single" w:sz="4" w:space="0" w:color="auto"/>
              <w:right w:val="single" w:sz="4" w:space="0" w:color="auto"/>
            </w:tcBorders>
            <w:shd w:val="clear" w:color="auto" w:fill="auto"/>
            <w:noWrap/>
            <w:vAlign w:val="center"/>
            <w:hideMark/>
          </w:tcPr>
          <w:p w14:paraId="4654E92A" w14:textId="06550715"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p>
        </w:tc>
        <w:tc>
          <w:tcPr>
            <w:tcW w:w="960" w:type="dxa"/>
            <w:tcBorders>
              <w:top w:val="nil"/>
              <w:left w:val="nil"/>
              <w:bottom w:val="single" w:sz="4" w:space="0" w:color="auto"/>
              <w:right w:val="single" w:sz="4" w:space="0" w:color="auto"/>
            </w:tcBorders>
            <w:shd w:val="clear" w:color="auto" w:fill="auto"/>
            <w:noWrap/>
            <w:vAlign w:val="center"/>
            <w:hideMark/>
          </w:tcPr>
          <w:p w14:paraId="4281BB43" w14:textId="06FD6515"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p>
        </w:tc>
        <w:tc>
          <w:tcPr>
            <w:tcW w:w="960" w:type="dxa"/>
            <w:tcBorders>
              <w:top w:val="nil"/>
              <w:left w:val="nil"/>
              <w:bottom w:val="single" w:sz="4" w:space="0" w:color="auto"/>
              <w:right w:val="single" w:sz="4" w:space="0" w:color="auto"/>
            </w:tcBorders>
            <w:shd w:val="clear" w:color="auto" w:fill="auto"/>
            <w:noWrap/>
            <w:vAlign w:val="center"/>
            <w:hideMark/>
          </w:tcPr>
          <w:p w14:paraId="05F9CC5D" w14:textId="421B8FCD"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p>
        </w:tc>
        <w:tc>
          <w:tcPr>
            <w:tcW w:w="960" w:type="dxa"/>
            <w:tcBorders>
              <w:top w:val="nil"/>
              <w:left w:val="nil"/>
              <w:bottom w:val="single" w:sz="4" w:space="0" w:color="auto"/>
              <w:right w:val="single" w:sz="4" w:space="0" w:color="auto"/>
            </w:tcBorders>
            <w:shd w:val="clear" w:color="auto" w:fill="auto"/>
            <w:noWrap/>
            <w:vAlign w:val="center"/>
            <w:hideMark/>
          </w:tcPr>
          <w:p w14:paraId="5B21C926" w14:textId="366875A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p>
        </w:tc>
      </w:tr>
      <w:tr w:rsidR="00721AF0" w:rsidRPr="00D83BC4" w14:paraId="503FC683"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BD3C90C"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Mean</w:t>
            </w:r>
          </w:p>
        </w:tc>
        <w:tc>
          <w:tcPr>
            <w:tcW w:w="688" w:type="dxa"/>
            <w:tcBorders>
              <w:top w:val="nil"/>
              <w:left w:val="nil"/>
              <w:bottom w:val="single" w:sz="4" w:space="0" w:color="auto"/>
              <w:right w:val="single" w:sz="4" w:space="0" w:color="auto"/>
            </w:tcBorders>
            <w:shd w:val="clear" w:color="auto" w:fill="auto"/>
            <w:noWrap/>
            <w:vAlign w:val="center"/>
            <w:hideMark/>
          </w:tcPr>
          <w:p w14:paraId="76D4AAAC"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16.000</w:t>
            </w:r>
          </w:p>
        </w:tc>
        <w:tc>
          <w:tcPr>
            <w:tcW w:w="960" w:type="dxa"/>
            <w:tcBorders>
              <w:top w:val="nil"/>
              <w:left w:val="nil"/>
              <w:bottom w:val="single" w:sz="4" w:space="0" w:color="auto"/>
              <w:right w:val="single" w:sz="4" w:space="0" w:color="auto"/>
            </w:tcBorders>
            <w:shd w:val="clear" w:color="auto" w:fill="auto"/>
            <w:noWrap/>
            <w:vAlign w:val="center"/>
            <w:hideMark/>
          </w:tcPr>
          <w:p w14:paraId="57A4761A"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8.300</w:t>
            </w:r>
          </w:p>
        </w:tc>
        <w:tc>
          <w:tcPr>
            <w:tcW w:w="960" w:type="dxa"/>
            <w:tcBorders>
              <w:top w:val="nil"/>
              <w:left w:val="nil"/>
              <w:bottom w:val="single" w:sz="4" w:space="0" w:color="auto"/>
              <w:right w:val="single" w:sz="4" w:space="0" w:color="auto"/>
            </w:tcBorders>
            <w:shd w:val="clear" w:color="auto" w:fill="auto"/>
            <w:noWrap/>
            <w:vAlign w:val="center"/>
            <w:hideMark/>
          </w:tcPr>
          <w:p w14:paraId="5B53B9C1"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4.214</w:t>
            </w:r>
          </w:p>
        </w:tc>
        <w:tc>
          <w:tcPr>
            <w:tcW w:w="960" w:type="dxa"/>
            <w:tcBorders>
              <w:top w:val="nil"/>
              <w:left w:val="nil"/>
              <w:bottom w:val="single" w:sz="4" w:space="0" w:color="auto"/>
              <w:right w:val="single" w:sz="4" w:space="0" w:color="auto"/>
            </w:tcBorders>
            <w:shd w:val="clear" w:color="auto" w:fill="auto"/>
            <w:noWrap/>
            <w:vAlign w:val="center"/>
            <w:hideMark/>
          </w:tcPr>
          <w:p w14:paraId="360A1A0C"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0.621</w:t>
            </w:r>
          </w:p>
        </w:tc>
        <w:tc>
          <w:tcPr>
            <w:tcW w:w="960" w:type="dxa"/>
            <w:tcBorders>
              <w:top w:val="nil"/>
              <w:left w:val="nil"/>
              <w:bottom w:val="single" w:sz="4" w:space="0" w:color="auto"/>
              <w:right w:val="single" w:sz="4" w:space="0" w:color="auto"/>
            </w:tcBorders>
            <w:shd w:val="clear" w:color="auto" w:fill="auto"/>
            <w:noWrap/>
            <w:vAlign w:val="center"/>
            <w:hideMark/>
          </w:tcPr>
          <w:p w14:paraId="3C961EA5"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0.729</w:t>
            </w:r>
          </w:p>
        </w:tc>
        <w:tc>
          <w:tcPr>
            <w:tcW w:w="960" w:type="dxa"/>
            <w:tcBorders>
              <w:top w:val="nil"/>
              <w:left w:val="nil"/>
              <w:bottom w:val="single" w:sz="4" w:space="0" w:color="auto"/>
              <w:right w:val="single" w:sz="4" w:space="0" w:color="auto"/>
            </w:tcBorders>
            <w:shd w:val="clear" w:color="auto" w:fill="auto"/>
            <w:noWrap/>
            <w:vAlign w:val="center"/>
            <w:hideMark/>
          </w:tcPr>
          <w:p w14:paraId="66226313"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0.160</w:t>
            </w:r>
          </w:p>
        </w:tc>
      </w:tr>
      <w:tr w:rsidR="00721AF0" w:rsidRPr="00D83BC4" w14:paraId="2DB38749" w14:textId="77777777" w:rsidTr="00D83BC4">
        <w:trPr>
          <w:trHeight w:val="288"/>
          <w:jc w:val="center"/>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9AF7E09" w14:textId="77777777" w:rsidR="00721AF0" w:rsidRPr="00D83BC4" w:rsidRDefault="00721AF0" w:rsidP="0039049A">
            <w:pPr>
              <w:spacing w:after="0" w:line="240" w:lineRule="auto"/>
              <w:rPr>
                <w:rFonts w:ascii="Times New Roman" w:eastAsia="Times New Roman" w:hAnsi="Times New Roman"/>
                <w:b/>
                <w:bCs/>
                <w:color w:val="000000"/>
                <w:sz w:val="20"/>
                <w:szCs w:val="20"/>
                <w:lang w:val="en-GB" w:eastAsia="en-GB"/>
              </w:rPr>
            </w:pPr>
            <w:r w:rsidRPr="00D83BC4">
              <w:rPr>
                <w:rFonts w:ascii="Times New Roman" w:eastAsia="Times New Roman" w:hAnsi="Times New Roman"/>
                <w:b/>
                <w:bCs/>
                <w:color w:val="000000"/>
                <w:sz w:val="20"/>
                <w:szCs w:val="20"/>
                <w:lang w:val="en-GB" w:eastAsia="en-GB"/>
              </w:rPr>
              <w:t>SE</w:t>
            </w:r>
          </w:p>
        </w:tc>
        <w:tc>
          <w:tcPr>
            <w:tcW w:w="688" w:type="dxa"/>
            <w:tcBorders>
              <w:top w:val="nil"/>
              <w:left w:val="nil"/>
              <w:bottom w:val="single" w:sz="4" w:space="0" w:color="auto"/>
              <w:right w:val="single" w:sz="4" w:space="0" w:color="auto"/>
            </w:tcBorders>
            <w:shd w:val="clear" w:color="auto" w:fill="auto"/>
            <w:noWrap/>
            <w:vAlign w:val="center"/>
            <w:hideMark/>
          </w:tcPr>
          <w:p w14:paraId="1C82EF12"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0.667</w:t>
            </w:r>
          </w:p>
        </w:tc>
        <w:tc>
          <w:tcPr>
            <w:tcW w:w="960" w:type="dxa"/>
            <w:tcBorders>
              <w:top w:val="nil"/>
              <w:left w:val="nil"/>
              <w:bottom w:val="single" w:sz="4" w:space="0" w:color="auto"/>
              <w:right w:val="single" w:sz="4" w:space="0" w:color="auto"/>
            </w:tcBorders>
            <w:shd w:val="clear" w:color="auto" w:fill="auto"/>
            <w:noWrap/>
            <w:vAlign w:val="center"/>
            <w:hideMark/>
          </w:tcPr>
          <w:p w14:paraId="661A4A2C"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0.700</w:t>
            </w:r>
          </w:p>
        </w:tc>
        <w:tc>
          <w:tcPr>
            <w:tcW w:w="960" w:type="dxa"/>
            <w:tcBorders>
              <w:top w:val="nil"/>
              <w:left w:val="nil"/>
              <w:bottom w:val="single" w:sz="4" w:space="0" w:color="auto"/>
              <w:right w:val="single" w:sz="4" w:space="0" w:color="auto"/>
            </w:tcBorders>
            <w:shd w:val="clear" w:color="auto" w:fill="auto"/>
            <w:noWrap/>
            <w:vAlign w:val="center"/>
            <w:hideMark/>
          </w:tcPr>
          <w:p w14:paraId="199C6283"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0.458</w:t>
            </w:r>
          </w:p>
        </w:tc>
        <w:tc>
          <w:tcPr>
            <w:tcW w:w="960" w:type="dxa"/>
            <w:tcBorders>
              <w:top w:val="nil"/>
              <w:left w:val="nil"/>
              <w:bottom w:val="single" w:sz="4" w:space="0" w:color="auto"/>
              <w:right w:val="single" w:sz="4" w:space="0" w:color="auto"/>
            </w:tcBorders>
            <w:shd w:val="clear" w:color="auto" w:fill="auto"/>
            <w:noWrap/>
            <w:vAlign w:val="center"/>
            <w:hideMark/>
          </w:tcPr>
          <w:p w14:paraId="1F7BFDFB"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0.067</w:t>
            </w:r>
          </w:p>
        </w:tc>
        <w:tc>
          <w:tcPr>
            <w:tcW w:w="960" w:type="dxa"/>
            <w:tcBorders>
              <w:top w:val="nil"/>
              <w:left w:val="nil"/>
              <w:bottom w:val="single" w:sz="4" w:space="0" w:color="auto"/>
              <w:right w:val="single" w:sz="4" w:space="0" w:color="auto"/>
            </w:tcBorders>
            <w:shd w:val="clear" w:color="auto" w:fill="auto"/>
            <w:noWrap/>
            <w:vAlign w:val="center"/>
            <w:hideMark/>
          </w:tcPr>
          <w:p w14:paraId="72CB371C"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0.036</w:t>
            </w:r>
          </w:p>
        </w:tc>
        <w:tc>
          <w:tcPr>
            <w:tcW w:w="960" w:type="dxa"/>
            <w:tcBorders>
              <w:top w:val="nil"/>
              <w:left w:val="nil"/>
              <w:bottom w:val="single" w:sz="4" w:space="0" w:color="auto"/>
              <w:right w:val="single" w:sz="4" w:space="0" w:color="auto"/>
            </w:tcBorders>
            <w:shd w:val="clear" w:color="auto" w:fill="auto"/>
            <w:noWrap/>
            <w:vAlign w:val="center"/>
            <w:hideMark/>
          </w:tcPr>
          <w:p w14:paraId="790E1E76" w14:textId="77777777" w:rsidR="00721AF0" w:rsidRPr="00D83BC4" w:rsidRDefault="00721AF0" w:rsidP="00D83BC4">
            <w:pPr>
              <w:spacing w:after="0" w:line="240" w:lineRule="auto"/>
              <w:jc w:val="center"/>
              <w:rPr>
                <w:rFonts w:ascii="Times New Roman" w:eastAsia="Times New Roman" w:hAnsi="Times New Roman"/>
                <w:color w:val="000000"/>
                <w:sz w:val="20"/>
                <w:szCs w:val="20"/>
                <w:lang w:val="en-GB" w:eastAsia="en-GB"/>
              </w:rPr>
            </w:pPr>
            <w:r w:rsidRPr="00D83BC4">
              <w:rPr>
                <w:rFonts w:ascii="Times New Roman" w:eastAsia="Times New Roman" w:hAnsi="Times New Roman"/>
                <w:color w:val="000000"/>
                <w:sz w:val="20"/>
                <w:szCs w:val="20"/>
                <w:lang w:val="en-GB" w:eastAsia="en-GB"/>
              </w:rPr>
              <w:t>0.083</w:t>
            </w:r>
          </w:p>
        </w:tc>
      </w:tr>
    </w:tbl>
    <w:p w14:paraId="5B28491C" w14:textId="77777777" w:rsidR="008F047C" w:rsidRPr="00D83BC4" w:rsidRDefault="008F047C">
      <w:pPr>
        <w:rPr>
          <w:rFonts w:ascii="Times New Roman" w:hAnsi="Times New Roman"/>
          <w:sz w:val="24"/>
          <w:szCs w:val="24"/>
        </w:rPr>
      </w:pPr>
    </w:p>
    <w:sectPr w:rsidR="008F047C" w:rsidRPr="00D83BC4" w:rsidSect="001632BF">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EE2B32" w14:textId="77777777" w:rsidR="00E86EFD" w:rsidRDefault="00E86EFD">
      <w:pPr>
        <w:spacing w:after="0" w:line="240" w:lineRule="auto"/>
      </w:pPr>
      <w:r>
        <w:separator/>
      </w:r>
    </w:p>
  </w:endnote>
  <w:endnote w:type="continuationSeparator" w:id="0">
    <w:p w14:paraId="124E3DE7" w14:textId="77777777" w:rsidR="00E86EFD" w:rsidRDefault="00E86E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DCC4B3" w14:textId="77777777" w:rsidR="000D3C23" w:rsidRDefault="00E82D27">
    <w:pPr>
      <w:pStyle w:val="llb"/>
      <w:jc w:val="center"/>
    </w:pPr>
    <w:r>
      <w:fldChar w:fldCharType="begin"/>
    </w:r>
    <w:r>
      <w:instrText>PAGE   \* MERGEFORMAT</w:instrText>
    </w:r>
    <w:r>
      <w:fldChar w:fldCharType="separate"/>
    </w:r>
    <w:r>
      <w:rPr>
        <w:noProof/>
      </w:rPr>
      <w:t>29</w:t>
    </w:r>
    <w:r>
      <w:fldChar w:fldCharType="end"/>
    </w:r>
  </w:p>
  <w:p w14:paraId="6F72EF40" w14:textId="77777777" w:rsidR="000D3C23" w:rsidRDefault="000D3C23">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678AD4" w14:textId="77777777" w:rsidR="00E86EFD" w:rsidRDefault="00E86EFD">
      <w:pPr>
        <w:spacing w:after="0" w:line="240" w:lineRule="auto"/>
      </w:pPr>
      <w:r>
        <w:separator/>
      </w:r>
    </w:p>
  </w:footnote>
  <w:footnote w:type="continuationSeparator" w:id="0">
    <w:p w14:paraId="59FFA88C" w14:textId="77777777" w:rsidR="00E86EFD" w:rsidRDefault="00E86E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AF0"/>
    <w:rsid w:val="000D3C23"/>
    <w:rsid w:val="001632BF"/>
    <w:rsid w:val="00721AF0"/>
    <w:rsid w:val="008E7200"/>
    <w:rsid w:val="008F047C"/>
    <w:rsid w:val="00D83BC4"/>
    <w:rsid w:val="00E82D27"/>
    <w:rsid w:val="00E86EFD"/>
    <w:rsid w:val="00EF4E3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948E5"/>
  <w15:chartTrackingRefBased/>
  <w15:docId w15:val="{9FD5BD81-1B3B-4DE4-A166-AF51A38A3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u-H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721AF0"/>
    <w:pPr>
      <w:spacing w:after="200" w:line="276" w:lineRule="auto"/>
    </w:pPr>
    <w:rPr>
      <w:rFonts w:ascii="Calibri" w:eastAsia="Calibri" w:hAnsi="Calibri" w:cs="Times New Roman"/>
      <w:kern w:val="0"/>
      <w14:ligatures w14:val="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lb">
    <w:name w:val="footer"/>
    <w:basedOn w:val="Norml"/>
    <w:link w:val="llbChar"/>
    <w:uiPriority w:val="99"/>
    <w:unhideWhenUsed/>
    <w:rsid w:val="00721AF0"/>
    <w:pPr>
      <w:tabs>
        <w:tab w:val="center" w:pos="4536"/>
        <w:tab w:val="right" w:pos="9072"/>
      </w:tabs>
    </w:pPr>
  </w:style>
  <w:style w:type="character" w:customStyle="1" w:styleId="llbChar">
    <w:name w:val="Élőláb Char"/>
    <w:basedOn w:val="Bekezdsalapbettpusa"/>
    <w:link w:val="llb"/>
    <w:uiPriority w:val="99"/>
    <w:rsid w:val="00721AF0"/>
    <w:rPr>
      <w:rFonts w:ascii="Calibri" w:eastAsia="Calibri" w:hAnsi="Calibri" w:cs="Times New Roman"/>
      <w:kern w:val="0"/>
      <w14:ligatures w14:val="none"/>
    </w:rPr>
  </w:style>
  <w:style w:type="character" w:styleId="Sorszma">
    <w:name w:val="line number"/>
    <w:basedOn w:val="Bekezdsalapbettpusa"/>
    <w:uiPriority w:val="99"/>
    <w:semiHidden/>
    <w:unhideWhenUsed/>
    <w:rsid w:val="00721A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1018</Words>
  <Characters>7030</Characters>
  <Application>Microsoft Office Word</Application>
  <DocSecurity>0</DocSecurity>
  <Lines>58</Lines>
  <Paragraphs>16</Paragraphs>
  <ScaleCrop>false</ScaleCrop>
  <Company/>
  <LinksUpToDate>false</LinksUpToDate>
  <CharactersWithSpaces>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Éva Lengyelné Kónya</dc:creator>
  <cp:keywords/>
  <dc:description/>
  <cp:lastModifiedBy>Éva Lengyelné Kónya</cp:lastModifiedBy>
  <cp:revision>3</cp:revision>
  <dcterms:created xsi:type="dcterms:W3CDTF">2023-11-07T18:30:00Z</dcterms:created>
  <dcterms:modified xsi:type="dcterms:W3CDTF">2024-05-17T07:41:00Z</dcterms:modified>
</cp:coreProperties>
</file>