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bookmarkStart w:id="1" w:name="_GoBack"/>
      <w:bookmarkEnd w:id="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4838700"/>
            <wp:effectExtent l="0" t="0" r="0" b="0"/>
            <wp:docPr id="1" name="图片 1" descr="m6a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6a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ind w:firstLine="230" w:firstLineChars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S2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69230" cy="5819775"/>
            <wp:effectExtent l="0" t="0" r="1270" b="9525"/>
            <wp:docPr id="2" name="图片 2" descr="m6a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6a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66055" cy="5812790"/>
            <wp:effectExtent l="0" t="0" r="4445" b="3810"/>
            <wp:docPr id="3" name="图片 3" descr="m6a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6a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81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5271135" cy="5558790"/>
            <wp:effectExtent l="0" t="0" r="12065" b="3810"/>
            <wp:docPr id="4" name="图片 4" descr="m6a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6a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Fig. S5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45355" cy="8607425"/>
            <wp:effectExtent l="0" t="0" r="4445" b="3175"/>
            <wp:docPr id="6" name="图片 6" descr="m6a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6a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S1 Aberrant Gene Expression Profiles in cell type-specific manners in AML.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Violin plots displaying the expression of canonical markers for each cell type (control, n = 2 patients; AML, n = 3 patients). The horizontal line within each box represents the median, and the top and bottom of each box indicate the 75th and 25th percentile. Two-sided Wilcoxon rank-sum test was applied to test the significance of the gene expression with p-value &lt; 0.05.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HSCs, </w:t>
      </w:r>
      <w:r>
        <w:rPr>
          <w:rFonts w:hint="eastAsia" w:ascii="Times New Roman Regular" w:hAnsi="Times New Roman Regular" w:eastAsia="宋体" w:cs="Times New Roman Regular"/>
          <w:color w:val="000000"/>
          <w:kern w:val="0"/>
          <w:sz w:val="24"/>
          <w:szCs w:val="24"/>
          <w:lang w:eastAsia="zh-CN" w:bidi="ar"/>
        </w:rPr>
        <w:t>Myeloids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Erythrocytes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,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BCells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The fraction of cells in normal samples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patient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samples for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Erythrocytes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Myeloids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BCells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Dot plots showing the relative expression change of specific genes across different cell types. The size indicates the Log2FC values (AML/control).Red, up-regulation; blue, down-regulation.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S2 Distribution and expression profiles of m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 across individual cell types in AML of 12 cell types. A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Respective cell-type assignments in Uniform Manifold Approximation and Projection (UMAP) resulting from the batch-corrected principal component analysis (PCA) matrix using Harmony, showing 12 cell types of the AML.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B and C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Data of the 12 malignant cell subclusters of 54,809 cells from 5 samples (from left to right): the fraction of cells originating from each patient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(B), the number of cells(C).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Analysis of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score for 12 cell types.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UMAP plot of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regulators expression in normal and AML samples.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G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Heatmap for differences in the expression of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 regulators in diverse cell types between normal and AML samples (F). Dot plots showing the expression of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 regulators in diverse cell types in AML (G). Red, up-regulation; blue, down-regulation.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H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Proportion of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 regulators expression in 12 diverse cell types.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S3 Association of AML pathways with m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 regulators in diverse cell types.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Heatmap for differences in the expression of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regulators in diverse cell types between normal and AML. Red, up-regulation; blue, down-regulation.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B-D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The three enrichment from the GSVA results, and associated with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regulators (B) negative senescence.(C)AML activation, and (D)positive myeloid differentiation (p &lt; 0.05) t-value &gt; 0 indicates that the pathway was activated (red), t-value &lt; 0 indicates that the pathway was inhibited(blue);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and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G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The correlation analysis between the key pathways or genes and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regulators expression in GMP.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The correlation between the key pathways and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A regulators in HSC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and 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The genes of telomerase holoenzyme complex assembly had significant correlation with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WTAP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expression level; The genes of monocyte differentiation had significant correlation with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expression level. the blue column indicated negative and the red column indicate positive correlation.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J and K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Spearman correlation between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monocyte differentiation. Spearman correlation between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WTAP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monocyte differentiation.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And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Enrichment analysis for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PINK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 xml:space="preserve"> module by GO enrichment.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Fig.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/>
          <w:iCs/>
          <w:sz w:val="24"/>
          <w:szCs w:val="24"/>
          <w:lang w:val="en-US" w:eastAsia="zh-CN"/>
        </w:rPr>
        <w:t>FTO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upregulated in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 caused negative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</w:rPr>
        <w:t xml:space="preserve">regulation of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</w:rPr>
        <w:t xml:space="preserve"> cell-mediated immunity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A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 xml:space="preserve"> Reclustering of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 xml:space="preserve"> reveals different distribution of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malignant.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correlation analysis between the key pathways and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regulators expression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 xml:space="preserve">C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Spearman correlation between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mediated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immune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response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tumor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cell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The genes of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positive regulation of myeloid leukocyte cytokine production involved in immune response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had significant correlation with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expression level.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E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Spearman correlation between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replicative senescence.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 xml:space="preserve"> F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correlation between the key genes and m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 regulators in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 xml:space="preserve">Networks of WGCNA module which included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 w:bidi="ar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in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H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>Enrichment analysis for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color w:val="000000"/>
          <w:kern w:val="0"/>
          <w:sz w:val="24"/>
          <w:szCs w:val="24"/>
          <w:lang w:val="en-US" w:eastAsia="zh-CN"/>
        </w:rPr>
        <w:t>FTO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</w:rPr>
        <w:t xml:space="preserve"> module by GO enrichment.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 xml:space="preserve"> I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Communication and ligand-receptor interaction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and neighboring cells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J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NicheNet was used to analyze the expression of ligands and receptors to identify the intercellular communication patterns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"/>
        </w:rPr>
        <w:t>HSCs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highlight w:val="none"/>
          <w:lang w:val="en-US" w:eastAsia="zh-CN"/>
        </w:rPr>
        <w:t xml:space="preserve">Fig. </w:t>
      </w: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24"/>
          <w:highlight w:val="none"/>
          <w:lang w:val="en-US" w:eastAsia="zh-CN"/>
        </w:rPr>
        <w:t>S5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m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A regulators regulated cell-type specific functions in diverse cell types.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bidi="ar"/>
        </w:rPr>
        <w:t>A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NicheNet was used to analyze the expression of ligands and receptors to identify the intercellular communication patterns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Myeloids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Erythrocytes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NicheNet was used to analyze the expression of ligands and receptors to identify the intercellular communication patterns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Myeloids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HSCs.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NicheNet was used to analyze the expression of ligands and receptors to identify the intercellular communication patterns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Myeloids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D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NicheNet was used to analyze the expression of ligands and receptors to identify the intercellular communication patterns between HSCs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Myeloids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E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NicheNet was used to analyze the expression of ligands and receptors to identify the intercellular communication patterns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TCells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Myeloids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.</w:t>
      </w: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kinsoku w:val="0"/>
        <w:autoSpaceDE w:val="0"/>
        <w:autoSpaceDN w:val="0"/>
        <w:adjustRightInd w:val="0"/>
        <w:snapToGrid w:val="0"/>
        <w:spacing w:before="55" w:line="277" w:lineRule="exact"/>
        <w:jc w:val="center"/>
        <w:textAlignment w:val="baseline"/>
        <w:outlineLvl w:val="0"/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Cs w:val="21"/>
          <w:lang w:eastAsia="en-US"/>
        </w:rPr>
      </w:pPr>
    </w:p>
    <w:p>
      <w:pPr>
        <w:kinsoku w:val="0"/>
        <w:autoSpaceDE w:val="0"/>
        <w:autoSpaceDN w:val="0"/>
        <w:adjustRightInd w:val="0"/>
        <w:snapToGrid w:val="0"/>
        <w:spacing w:before="55" w:line="277" w:lineRule="exact"/>
        <w:jc w:val="left"/>
        <w:textAlignment w:val="baseline"/>
        <w:outlineLvl w:val="0"/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 xml:space="preserve">Supplementary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Table</w:t>
      </w:r>
      <w:r>
        <w:rPr>
          <w:rFonts w:ascii="Times New Roman" w:hAnsi="Times New Roman" w:eastAsia="Times New Roman" w:cs="Times New Roman"/>
          <w:snapToGrid w:val="0"/>
          <w:color w:val="000000"/>
          <w:spacing w:val="35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 xml:space="preserve">1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</w:rPr>
        <w:t xml:space="preserve">  </w:t>
      </w:r>
    </w:p>
    <w:p>
      <w:pPr>
        <w:kinsoku w:val="0"/>
        <w:autoSpaceDE w:val="0"/>
        <w:autoSpaceDN w:val="0"/>
        <w:adjustRightInd w:val="0"/>
        <w:snapToGrid w:val="0"/>
        <w:spacing w:before="55" w:line="277" w:lineRule="exact"/>
        <w:jc w:val="left"/>
        <w:textAlignment w:val="baseline"/>
        <w:outlineLvl w:val="0"/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lang w:val="en-US" w:eastAsia="zh-CN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The</w:t>
      </w:r>
      <w:r>
        <w:rPr>
          <w:rFonts w:ascii="Times New Roman" w:hAnsi="Times New Roman" w:eastAsia="Times New Roman" w:cs="Times New Roman"/>
          <w:snapToGrid w:val="0"/>
          <w:color w:val="000000"/>
          <w:spacing w:val="8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clinical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character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Times New Roman" w:cs="Times New Roman"/>
          <w:snapToGrid w:val="0"/>
          <w:color w:val="000000"/>
          <w:spacing w:val="5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of</w:t>
      </w:r>
      <w:r>
        <w:rPr>
          <w:rFonts w:ascii="Times New Roman" w:hAnsi="Times New Roman" w:eastAsia="Times New Roman" w:cs="Times New Roman"/>
          <w:snapToGrid w:val="0"/>
          <w:color w:val="000000"/>
          <w:spacing w:val="-13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3"/>
          <w:kern w:val="0"/>
          <w:position w:val="3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3</w:t>
      </w:r>
      <w:r>
        <w:rPr>
          <w:rFonts w:ascii="Times New Roman" w:hAnsi="Times New Roman" w:eastAsia="Times New Roman" w:cs="Times New Roman"/>
          <w:snapToGrid w:val="0"/>
          <w:color w:val="000000"/>
          <w:spacing w:val="8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elderly</w:t>
      </w:r>
      <w:r>
        <w:rPr>
          <w:rFonts w:ascii="Times New Roman" w:hAnsi="Times New Roman" w:eastAsia="Times New Roman" w:cs="Times New Roman"/>
          <w:snapToGrid w:val="0"/>
          <w:color w:val="000000"/>
          <w:spacing w:val="-13"/>
          <w:kern w:val="0"/>
          <w:position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-1"/>
          <w:kern w:val="0"/>
          <w:position w:val="3"/>
          <w:sz w:val="24"/>
          <w:szCs w:val="24"/>
          <w:lang w:eastAsia="en-US"/>
        </w:rPr>
        <w:t>AML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  <w:lang w:val="en-US" w:eastAsia="zh-CN"/>
        </w:rPr>
        <w:t xml:space="preserve">patients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</w:rPr>
        <w:t xml:space="preserve">and 2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</w:rPr>
        <w:t>ealthy individual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1"/>
          <w:kern w:val="0"/>
          <w:position w:val="3"/>
          <w:sz w:val="24"/>
          <w:szCs w:val="24"/>
          <w:lang w:val="en-US" w:eastAsia="zh-CN"/>
        </w:rPr>
        <w:t>s</w:t>
      </w:r>
    </w:p>
    <w:tbl>
      <w:tblPr>
        <w:tblStyle w:val="3"/>
        <w:tblpPr w:leftFromText="180" w:rightFromText="180" w:vertAnchor="text" w:horzAnchor="page" w:tblpX="1887" w:tblpY="191"/>
        <w:tblOverlap w:val="never"/>
        <w:tblW w:w="904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620"/>
        <w:gridCol w:w="680"/>
        <w:gridCol w:w="810"/>
        <w:gridCol w:w="680"/>
        <w:gridCol w:w="1203"/>
        <w:gridCol w:w="2067"/>
        <w:gridCol w:w="202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6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1"/>
              </w:rPr>
              <w:t>Patient</w:t>
            </w:r>
          </w:p>
        </w:tc>
        <w:tc>
          <w:tcPr>
            <w:tcW w:w="6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4"/>
              </w:rPr>
              <w:t>Age(</w:t>
            </w:r>
            <w:r>
              <w:rPr>
                <w:rFonts w:hint="default" w:ascii="Times New Roman" w:hAnsi="Times New Roman" w:eastAsia="等线" w:cs="Times New Roman"/>
                <w:spacing w:val="3"/>
              </w:rPr>
              <w:t>y)</w:t>
            </w:r>
          </w:p>
        </w:tc>
        <w:tc>
          <w:tcPr>
            <w:tcW w:w="68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2"/>
              </w:rPr>
              <w:t>Sex</w:t>
            </w:r>
          </w:p>
        </w:tc>
        <w:tc>
          <w:tcPr>
            <w:tcW w:w="81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4"/>
              </w:rPr>
              <w:t>Tissue</w:t>
            </w:r>
          </w:p>
        </w:tc>
        <w:tc>
          <w:tcPr>
            <w:tcW w:w="68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Blast</w:t>
            </w:r>
            <w:r>
              <w:rPr>
                <w:rFonts w:hint="default" w:ascii="Times New Roman" w:hAnsi="Times New Roman" w:eastAsia="等线" w:cs="Times New Roman"/>
                <w:spacing w:val="4"/>
              </w:rPr>
              <w:t>(</w:t>
            </w:r>
            <w:r>
              <w:rPr>
                <w:rFonts w:hint="default" w:ascii="Times New Roman" w:hAnsi="Times New Roman" w:eastAsia="等线" w:cs="Times New Roman"/>
              </w:rPr>
              <w:t>%</w:t>
            </w:r>
            <w:r>
              <w:rPr>
                <w:rFonts w:hint="default" w:ascii="Times New Roman" w:hAnsi="Times New Roman" w:eastAsia="等线" w:cs="Times New Roman"/>
                <w:spacing w:val="3"/>
              </w:rPr>
              <w:t>)</w:t>
            </w:r>
            <w:r>
              <w:rPr>
                <w:rFonts w:hint="default" w:ascii="Times New Roman" w:hAnsi="Times New Roman" w:eastAsia="等线" w:cs="Times New Roman"/>
              </w:rPr>
              <w:t xml:space="preserve"> </w:t>
            </w:r>
          </w:p>
        </w:tc>
        <w:tc>
          <w:tcPr>
            <w:tcW w:w="120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236" w:lineRule="auto"/>
              <w:ind w:left="78"/>
              <w:jc w:val="center"/>
              <w:textAlignment w:val="baseline"/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spacing w:val="2"/>
                <w:kern w:val="0"/>
                <w:sz w:val="19"/>
                <w:szCs w:val="19"/>
                <w:lang w:val="en-US" w:eastAsia="en-US" w:bidi="ar-SA"/>
              </w:rPr>
              <w:t>Stage</w:t>
            </w: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spacing w:val="13"/>
                <w:w w:val="101"/>
                <w:kern w:val="0"/>
                <w:sz w:val="19"/>
                <w:szCs w:val="19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spacing w:val="2"/>
                <w:kern w:val="0"/>
                <w:sz w:val="19"/>
                <w:szCs w:val="19"/>
                <w:lang w:val="en-US" w:eastAsia="en-US" w:bidi="ar-SA"/>
              </w:rPr>
              <w:t>at</w:t>
            </w: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3"/>
                <w:position w:val="4"/>
              </w:rPr>
              <w:t>analysis</w:t>
            </w:r>
          </w:p>
        </w:tc>
        <w:tc>
          <w:tcPr>
            <w:tcW w:w="2067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2"/>
              </w:rPr>
              <w:t>Karyotype</w:t>
            </w:r>
          </w:p>
        </w:tc>
        <w:tc>
          <w:tcPr>
            <w:tcW w:w="2020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2"/>
              </w:rPr>
              <w:t>Gene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6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1</w:t>
            </w:r>
          </w:p>
        </w:tc>
        <w:tc>
          <w:tcPr>
            <w:tcW w:w="62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271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1"/>
              </w:rPr>
              <w:t>67</w:t>
            </w:r>
          </w:p>
        </w:tc>
        <w:tc>
          <w:tcPr>
            <w:tcW w:w="68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M</w:t>
            </w:r>
          </w:p>
        </w:tc>
        <w:tc>
          <w:tcPr>
            <w:tcW w:w="81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2"/>
              </w:rPr>
              <w:t>BM</w:t>
            </w:r>
          </w:p>
        </w:tc>
        <w:tc>
          <w:tcPr>
            <w:tcW w:w="68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271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1"/>
              </w:rPr>
              <w:t>33</w:t>
            </w:r>
          </w:p>
        </w:tc>
        <w:tc>
          <w:tcPr>
            <w:tcW w:w="1203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spacing w:line="98" w:lineRule="exact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0" w:lineRule="auto"/>
              <w:ind w:left="88"/>
              <w:jc w:val="center"/>
              <w:textAlignment w:val="baseline"/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New</w:t>
            </w: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3"/>
                <w:position w:val="4"/>
              </w:rPr>
              <w:t>diagnosis</w:t>
            </w:r>
          </w:p>
        </w:tc>
        <w:tc>
          <w:tcPr>
            <w:tcW w:w="2067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5"/>
              </w:rPr>
              <w:t>46,</w:t>
            </w:r>
            <w:r>
              <w:rPr>
                <w:rFonts w:hint="eastAsia" w:ascii="Times New Roman" w:hAnsi="Times New Roman" w:eastAsia="等线" w:cs="Times New Roman"/>
                <w:spacing w:val="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>XY</w:t>
            </w:r>
            <w:r>
              <w:rPr>
                <w:rFonts w:hint="default" w:ascii="Times New Roman" w:hAnsi="Times New Roman" w:eastAsia="等线" w:cs="Times New Roman"/>
                <w:spacing w:val="5"/>
              </w:rPr>
              <w:t>,</w:t>
            </w:r>
            <w:r>
              <w:rPr>
                <w:rFonts w:hint="eastAsia" w:ascii="Times New Roman" w:hAnsi="Times New Roman" w:eastAsia="等线" w:cs="Times New Roman"/>
                <w:spacing w:val="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>del</w:t>
            </w:r>
            <w:r>
              <w:rPr>
                <w:rFonts w:hint="default" w:ascii="Times New Roman" w:hAnsi="Times New Roman" w:eastAsia="等线" w:cs="Times New Roman"/>
                <w:spacing w:val="5"/>
              </w:rPr>
              <w:t>(20)(q4)</w:t>
            </w:r>
            <w:r>
              <w:rPr>
                <w:rFonts w:hint="default" w:ascii="Times New Roman" w:hAnsi="Times New Roman" w:eastAsia="等线" w:cs="Times New Roman"/>
                <w:spacing w:val="3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pacing w:val="2"/>
              </w:rPr>
              <w:t>[3]/46,</w:t>
            </w:r>
            <w:r>
              <w:rPr>
                <w:rFonts w:hint="eastAsia" w:ascii="Times New Roman" w:hAnsi="Times New Roman" w:eastAsia="等线" w:cs="Times New Roman"/>
                <w:spacing w:val="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>XY</w:t>
            </w:r>
            <w:r>
              <w:rPr>
                <w:rFonts w:hint="default" w:ascii="Times New Roman" w:hAnsi="Times New Roman" w:eastAsia="等线" w:cs="Times New Roman"/>
                <w:spacing w:val="2"/>
              </w:rPr>
              <w:t>[7]</w:t>
            </w:r>
          </w:p>
        </w:tc>
        <w:tc>
          <w:tcPr>
            <w:tcW w:w="2020" w:type="dxa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position w:val="1"/>
              </w:rPr>
              <w:t>FLT</w:t>
            </w:r>
            <w:r>
              <w:rPr>
                <w:rFonts w:hint="default" w:ascii="Times New Roman" w:hAnsi="Times New Roman" w:eastAsia="等线" w:cs="Times New Roman"/>
                <w:spacing w:val="7"/>
                <w:position w:val="1"/>
              </w:rPr>
              <w:t>3</w:t>
            </w:r>
            <w:r>
              <w:rPr>
                <w:rFonts w:hint="default" w:ascii="Times New Roman" w:hAnsi="Times New Roman" w:eastAsia="等线" w:cs="Times New Roman"/>
                <w:spacing w:val="-29"/>
                <w:position w:val="1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pacing w:val="7"/>
                <w:position w:val="1"/>
              </w:rPr>
              <w:t>-</w:t>
            </w:r>
            <w:r>
              <w:rPr>
                <w:rFonts w:hint="default" w:ascii="Times New Roman" w:hAnsi="Times New Roman" w:eastAsia="等线" w:cs="Times New Roman"/>
                <w:position w:val="1"/>
              </w:rPr>
              <w:t>ITD</w:t>
            </w:r>
            <w:r>
              <w:rPr>
                <w:rFonts w:hint="default" w:ascii="Times New Roman" w:hAnsi="Times New Roman" w:eastAsia="等线" w:cs="Times New Roman"/>
                <w:position w:val="10"/>
                <w:sz w:val="10"/>
                <w:szCs w:val="10"/>
              </w:rPr>
              <w:t>low</w:t>
            </w:r>
            <w:r>
              <w:rPr>
                <w:rFonts w:hint="default" w:ascii="Times New Roman" w:hAnsi="Times New Roman" w:eastAsia="等线" w:cs="Times New Roman"/>
                <w:spacing w:val="7"/>
                <w:position w:val="1"/>
              </w:rPr>
              <w:t>/</w:t>
            </w:r>
            <w:r>
              <w:rPr>
                <w:rFonts w:hint="default" w:ascii="Times New Roman" w:hAnsi="Times New Roman" w:eastAsia="等线" w:cs="Times New Roman"/>
                <w:position w:val="1"/>
              </w:rPr>
              <w:t>NPM</w:t>
            </w:r>
            <w:r>
              <w:rPr>
                <w:rFonts w:hint="default" w:ascii="Times New Roman" w:hAnsi="Times New Roman" w:eastAsia="等线" w:cs="Times New Roman"/>
                <w:spacing w:val="7"/>
                <w:position w:val="1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60" w:type="dxa"/>
            <w:tcBorders>
              <w:top w:val="nil"/>
            </w:tcBorders>
            <w:vAlign w:val="center"/>
          </w:tcPr>
          <w:p>
            <w:pPr>
              <w:spacing w:line="272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2</w:t>
            </w:r>
          </w:p>
        </w:tc>
        <w:tc>
          <w:tcPr>
            <w:tcW w:w="620" w:type="dxa"/>
            <w:tcBorders>
              <w:top w:val="nil"/>
            </w:tcBorders>
            <w:vAlign w:val="center"/>
          </w:tcPr>
          <w:p>
            <w:pPr>
              <w:spacing w:line="272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1"/>
              </w:rPr>
              <w:t>62</w:t>
            </w:r>
          </w:p>
        </w:tc>
        <w:tc>
          <w:tcPr>
            <w:tcW w:w="680" w:type="dxa"/>
            <w:tcBorders>
              <w:top w:val="nil"/>
            </w:tcBorders>
            <w:vAlign w:val="center"/>
          </w:tcPr>
          <w:p>
            <w:pPr>
              <w:spacing w:line="274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M</w:t>
            </w:r>
          </w:p>
        </w:tc>
        <w:tc>
          <w:tcPr>
            <w:tcW w:w="810" w:type="dxa"/>
            <w:tcBorders>
              <w:top w:val="nil"/>
            </w:tcBorders>
            <w:vAlign w:val="center"/>
          </w:tcPr>
          <w:p>
            <w:pPr>
              <w:spacing w:line="274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2"/>
              </w:rPr>
              <w:t>BM</w:t>
            </w:r>
          </w:p>
        </w:tc>
        <w:tc>
          <w:tcPr>
            <w:tcW w:w="680" w:type="dxa"/>
            <w:tcBorders>
              <w:top w:val="nil"/>
            </w:tcBorders>
            <w:vAlign w:val="center"/>
          </w:tcPr>
          <w:p>
            <w:pPr>
              <w:spacing w:line="272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1"/>
              </w:rPr>
              <w:t>50</w:t>
            </w:r>
          </w:p>
        </w:tc>
        <w:tc>
          <w:tcPr>
            <w:tcW w:w="1203" w:type="dxa"/>
            <w:tcBorders>
              <w:top w:val="nil"/>
            </w:tcBorders>
            <w:vAlign w:val="center"/>
          </w:tcPr>
          <w:p>
            <w:pPr>
              <w:spacing w:line="99" w:lineRule="exact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0" w:lineRule="auto"/>
              <w:ind w:left="88"/>
              <w:jc w:val="center"/>
              <w:textAlignment w:val="baseline"/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New</w:t>
            </w: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3"/>
                <w:position w:val="4"/>
              </w:rPr>
              <w:t>diagnosis</w:t>
            </w:r>
          </w:p>
        </w:tc>
        <w:tc>
          <w:tcPr>
            <w:tcW w:w="2067" w:type="dxa"/>
            <w:tcBorders>
              <w:top w:val="nil"/>
            </w:tcBorders>
            <w:vAlign w:val="center"/>
          </w:tcPr>
          <w:p>
            <w:pPr>
              <w:spacing w:line="269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4"/>
              </w:rPr>
              <w:t>46,</w:t>
            </w:r>
            <w:r>
              <w:rPr>
                <w:rFonts w:hint="eastAsia" w:ascii="Times New Roman" w:hAnsi="Times New Roman" w:eastAsia="等线" w:cs="Times New Roman"/>
                <w:spacing w:val="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>XY</w:t>
            </w:r>
            <w:r>
              <w:rPr>
                <w:rFonts w:hint="default" w:ascii="Times New Roman" w:hAnsi="Times New Roman" w:eastAsia="等线" w:cs="Times New Roman"/>
                <w:spacing w:val="4"/>
              </w:rPr>
              <w:t>[20]</w:t>
            </w:r>
          </w:p>
        </w:tc>
        <w:tc>
          <w:tcPr>
            <w:tcW w:w="2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position w:val="1"/>
              </w:rPr>
              <w:t>CEBPA</w:t>
            </w:r>
            <w:r>
              <w:rPr>
                <w:rFonts w:hint="default" w:ascii="Times New Roman" w:hAnsi="Times New Roman" w:eastAsia="等线" w:cs="Times New Roman"/>
                <w:position w:val="10"/>
                <w:sz w:val="10"/>
                <w:szCs w:val="10"/>
              </w:rPr>
              <w:t>dm</w:t>
            </w:r>
            <w:r>
              <w:rPr>
                <w:rFonts w:hint="default" w:ascii="Times New Roman" w:hAnsi="Times New Roman" w:eastAsia="等线" w:cs="Times New Roman"/>
                <w:spacing w:val="23"/>
                <w:position w:val="1"/>
              </w:rPr>
              <w:t>/</w:t>
            </w:r>
            <w:r>
              <w:rPr>
                <w:rFonts w:hint="default" w:ascii="Times New Roman" w:hAnsi="Times New Roman" w:eastAsia="等线" w:cs="Times New Roman"/>
                <w:position w:val="1"/>
              </w:rPr>
              <w:t>GATA</w:t>
            </w:r>
            <w:r>
              <w:rPr>
                <w:rFonts w:hint="default" w:ascii="Times New Roman" w:hAnsi="Times New Roman" w:eastAsia="等线" w:cs="Times New Roman"/>
                <w:spacing w:val="23"/>
                <w:position w:val="1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6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3</w:t>
            </w:r>
          </w:p>
        </w:tc>
        <w:tc>
          <w:tcPr>
            <w:tcW w:w="62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1"/>
              </w:rPr>
              <w:t>61</w:t>
            </w:r>
          </w:p>
        </w:tc>
        <w:tc>
          <w:tcPr>
            <w:tcW w:w="680" w:type="dxa"/>
            <w:vAlign w:val="center"/>
          </w:tcPr>
          <w:p>
            <w:pPr>
              <w:spacing w:line="275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F</w:t>
            </w:r>
          </w:p>
        </w:tc>
        <w:tc>
          <w:tcPr>
            <w:tcW w:w="810" w:type="dxa"/>
            <w:vAlign w:val="center"/>
          </w:tcPr>
          <w:p>
            <w:pPr>
              <w:spacing w:line="275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-2"/>
              </w:rPr>
              <w:t>BM</w:t>
            </w:r>
          </w:p>
        </w:tc>
        <w:tc>
          <w:tcPr>
            <w:tcW w:w="68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1"/>
              </w:rPr>
              <w:t>22.5</w:t>
            </w:r>
          </w:p>
        </w:tc>
        <w:tc>
          <w:tcPr>
            <w:tcW w:w="1203" w:type="dxa"/>
            <w:vAlign w:val="center"/>
          </w:tcPr>
          <w:p>
            <w:pPr>
              <w:spacing w:line="100" w:lineRule="exact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83" w:line="190" w:lineRule="auto"/>
              <w:ind w:left="88"/>
              <w:jc w:val="center"/>
              <w:textAlignment w:val="baseline"/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</w:pP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val="en-US" w:eastAsia="en-US" w:bidi="ar-SA"/>
              </w:rPr>
              <w:t>New</w:t>
            </w: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3"/>
                <w:position w:val="4"/>
              </w:rPr>
              <w:t>diagnosis</w:t>
            </w:r>
          </w:p>
        </w:tc>
        <w:tc>
          <w:tcPr>
            <w:tcW w:w="2067" w:type="dxa"/>
            <w:vAlign w:val="center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pacing w:val="3"/>
              </w:rPr>
              <w:t>45,</w:t>
            </w:r>
            <w:r>
              <w:rPr>
                <w:rFonts w:hint="eastAsia" w:ascii="Times New Roman" w:hAnsi="Times New Roman" w:eastAsia="等线" w:cs="Times New Roman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pacing w:val="3"/>
              </w:rPr>
              <w:t>X,</w:t>
            </w:r>
            <w:r>
              <w:rPr>
                <w:rFonts w:hint="eastAsia" w:ascii="Times New Roman" w:hAnsi="Times New Roman" w:eastAsia="等线" w:cs="Times New Roman"/>
                <w:spacing w:val="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pacing w:val="3"/>
              </w:rPr>
              <w:t>-X[1]</w:t>
            </w:r>
          </w:p>
        </w:tc>
        <w:tc>
          <w:tcPr>
            <w:tcW w:w="2020" w:type="dxa"/>
            <w:vAlign w:val="center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等线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IDH</w:t>
            </w:r>
            <w:r>
              <w:rPr>
                <w:rFonts w:hint="default" w:ascii="Times New Roman" w:hAnsi="Times New Roman" w:eastAsia="等线" w:cs="Times New Roman"/>
                <w:spacing w:val="9"/>
              </w:rPr>
              <w:t>2 /</w:t>
            </w:r>
            <w:r>
              <w:rPr>
                <w:rFonts w:hint="default" w:ascii="Times New Roman" w:hAnsi="Times New Roman" w:eastAsia="等线" w:cs="Times New Roman"/>
              </w:rPr>
              <w:t>NPM</w:t>
            </w:r>
            <w:r>
              <w:rPr>
                <w:rFonts w:hint="default" w:ascii="Times New Roman" w:hAnsi="Times New Roman" w:eastAsia="等线" w:cs="Times New Roman"/>
                <w:spacing w:val="9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6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4</w:t>
            </w:r>
          </w:p>
        </w:tc>
        <w:tc>
          <w:tcPr>
            <w:tcW w:w="62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51</w:t>
            </w:r>
          </w:p>
        </w:tc>
        <w:tc>
          <w:tcPr>
            <w:tcW w:w="680" w:type="dxa"/>
            <w:vAlign w:val="center"/>
          </w:tcPr>
          <w:p>
            <w:pPr>
              <w:spacing w:line="275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de-DE"/>
              </w:rPr>
              <w:t>M</w:t>
            </w:r>
          </w:p>
        </w:tc>
        <w:tc>
          <w:tcPr>
            <w:tcW w:w="810" w:type="dxa"/>
            <w:vAlign w:val="center"/>
          </w:tcPr>
          <w:p>
            <w:pPr>
              <w:spacing w:line="275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de-DE"/>
              </w:rPr>
              <w:t>BM</w:t>
            </w:r>
          </w:p>
        </w:tc>
        <w:tc>
          <w:tcPr>
            <w:tcW w:w="68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napToGrid w:val="0"/>
                <w:color w:val="000000"/>
                <w:kern w:val="0"/>
                <w:sz w:val="19"/>
                <w:szCs w:val="19"/>
                <w:lang w:eastAsia="en-US"/>
              </w:rPr>
              <w:t>Normal</w:t>
            </w:r>
          </w:p>
        </w:tc>
        <w:tc>
          <w:tcPr>
            <w:tcW w:w="2067" w:type="dxa"/>
            <w:vAlign w:val="center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46,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XY[20]</w:t>
            </w:r>
          </w:p>
        </w:tc>
        <w:tc>
          <w:tcPr>
            <w:tcW w:w="2020" w:type="dxa"/>
            <w:vAlign w:val="center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-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96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5</w:t>
            </w:r>
          </w:p>
        </w:tc>
        <w:tc>
          <w:tcPr>
            <w:tcW w:w="62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43</w:t>
            </w:r>
          </w:p>
        </w:tc>
        <w:tc>
          <w:tcPr>
            <w:tcW w:w="680" w:type="dxa"/>
            <w:vAlign w:val="center"/>
          </w:tcPr>
          <w:p>
            <w:pPr>
              <w:spacing w:line="275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M</w:t>
            </w:r>
          </w:p>
        </w:tc>
        <w:tc>
          <w:tcPr>
            <w:tcW w:w="810" w:type="dxa"/>
            <w:vAlign w:val="center"/>
          </w:tcPr>
          <w:p>
            <w:pPr>
              <w:spacing w:line="275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de-DE"/>
              </w:rPr>
              <w:t>BM</w:t>
            </w:r>
          </w:p>
        </w:tc>
        <w:tc>
          <w:tcPr>
            <w:tcW w:w="680" w:type="dxa"/>
            <w:vAlign w:val="center"/>
          </w:tcPr>
          <w:p>
            <w:pPr>
              <w:spacing w:line="273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Normal</w:t>
            </w:r>
          </w:p>
        </w:tc>
        <w:tc>
          <w:tcPr>
            <w:tcW w:w="2067" w:type="dxa"/>
            <w:vAlign w:val="center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pt-PT"/>
              </w:rPr>
              <w:t>46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pt-PT"/>
              </w:rPr>
              <w:t>XY[20]</w:t>
            </w:r>
          </w:p>
        </w:tc>
        <w:tc>
          <w:tcPr>
            <w:tcW w:w="2020" w:type="dxa"/>
            <w:vAlign w:val="center"/>
          </w:tcPr>
          <w:p>
            <w:pPr>
              <w:spacing w:line="27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bookmarkStart w:id="0" w:name="OLE_LINK1"/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pt-PT"/>
              </w:rPr>
              <w:t>-</w:t>
            </w:r>
            <w:bookmarkEnd w:id="0"/>
          </w:p>
        </w:tc>
      </w:tr>
    </w:tbl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eastAsia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bidi w:val="0"/>
        <w:jc w:val="center"/>
        <w:rPr>
          <w:rFonts w:hint="eastAsia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bidi w:val="0"/>
        <w:jc w:val="left"/>
        <w:rPr>
          <w:rFonts w:hint="eastAsia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Supplementary Table 2 </w:t>
      </w:r>
    </w:p>
    <w:p>
      <w:pPr>
        <w:bidi w:val="0"/>
        <w:jc w:val="left"/>
        <w:rPr>
          <w:rFonts w:hint="eastAsia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shRNA sequence</w:t>
      </w:r>
    </w:p>
    <w:tbl>
      <w:tblPr>
        <w:tblStyle w:val="3"/>
        <w:tblpPr w:leftFromText="180" w:rightFromText="180" w:vertAnchor="text" w:horzAnchor="page" w:tblpX="1727" w:tblpY="3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3"/>
        <w:gridCol w:w="5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Name</w:t>
            </w:r>
          </w:p>
        </w:tc>
        <w:tc>
          <w:tcPr>
            <w:tcW w:w="530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shRNA sequence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5’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 to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3’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FTO-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ab/>
            </w:r>
          </w:p>
        </w:tc>
        <w:tc>
          <w:tcPr>
            <w:tcW w:w="53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ACCTGAACACCAGGCTCTTTA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FTO-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3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CAACAGGAACCTTGGATTATA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ab/>
            </w:r>
          </w:p>
        </w:tc>
      </w:tr>
    </w:tbl>
    <w:p>
      <w:pPr>
        <w:bidi w:val="0"/>
        <w:jc w:val="left"/>
        <w:rPr>
          <w:rFonts w:hint="default" w:ascii="Times New Roman" w:hAnsi="Times New Roman" w:eastAsia="AdvOTa9103878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a910387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ZTE1MzUyMWIyYzUwODMwODVkYzIzYzdhNDhmZjQifQ=="/>
  </w:docVars>
  <w:rsids>
    <w:rsidRoot w:val="54425402"/>
    <w:rsid w:val="034755E7"/>
    <w:rsid w:val="050C5918"/>
    <w:rsid w:val="135D3477"/>
    <w:rsid w:val="13F77993"/>
    <w:rsid w:val="15C71A5C"/>
    <w:rsid w:val="1A7D3F82"/>
    <w:rsid w:val="1DA91839"/>
    <w:rsid w:val="20BB4EC2"/>
    <w:rsid w:val="22C97440"/>
    <w:rsid w:val="25C6060A"/>
    <w:rsid w:val="2CAB47C4"/>
    <w:rsid w:val="2E6647A7"/>
    <w:rsid w:val="363A182F"/>
    <w:rsid w:val="3A381F94"/>
    <w:rsid w:val="3E525C3F"/>
    <w:rsid w:val="40E02836"/>
    <w:rsid w:val="46437038"/>
    <w:rsid w:val="54425402"/>
    <w:rsid w:val="54FB6B9E"/>
    <w:rsid w:val="579C69F2"/>
    <w:rsid w:val="5C090A3C"/>
    <w:rsid w:val="5FE20A0C"/>
    <w:rsid w:val="683C70E7"/>
    <w:rsid w:val="754161DE"/>
    <w:rsid w:val="7EEA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2023-11-30T12:37:00Z</dcterms:created>
  <dc:creator>真乾揍</dc:creator>
  <cp:lastModifiedBy>菘</cp:lastModifiedBy>
  <dcterms:modified xsi:type="dcterms:W3CDTF">2024-02-27T03:26:32Z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D965CE38EDFF448F982C966D5B7564D3_11</vt:lpwstr>
  </property>
</Properties>
</file>