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547D51C" w14:textId="77777777" w:rsidR="00AB2519" w:rsidRDefault="00000000">
      <w:pPr>
        <w:rPr>
          <w:rFonts w:ascii="Times New Roman" w:hAnsi="Times New Roman" w:cs="Times New Roman"/>
          <w:b/>
          <w:bCs/>
          <w:color w:val="000000" w:themeColor="text1"/>
          <w:sz w:val="28"/>
          <w:szCs w:val="28"/>
        </w:rPr>
      </w:pPr>
      <w:r>
        <w:rPr>
          <w:rFonts w:ascii="Times New Roman" w:hAnsi="Times New Roman" w:cs="Times New Roman"/>
          <w:b/>
          <w:bCs/>
          <w:color w:val="000000" w:themeColor="text1"/>
          <w:sz w:val="28"/>
          <w:szCs w:val="28"/>
        </w:rPr>
        <w:t>Supplement</w:t>
      </w:r>
      <w:r>
        <w:rPr>
          <w:rFonts w:ascii="Times New Roman" w:hAnsi="Times New Roman" w:cs="Times New Roman" w:hint="eastAsia"/>
          <w:b/>
          <w:bCs/>
          <w:color w:val="000000" w:themeColor="text1"/>
          <w:sz w:val="28"/>
          <w:szCs w:val="28"/>
        </w:rPr>
        <w:t>ary</w:t>
      </w:r>
      <w:r>
        <w:rPr>
          <w:rFonts w:ascii="Times New Roman" w:hAnsi="Times New Roman" w:cs="Times New Roman"/>
          <w:b/>
          <w:bCs/>
          <w:color w:val="000000" w:themeColor="text1"/>
          <w:sz w:val="28"/>
          <w:szCs w:val="28"/>
        </w:rPr>
        <w:t xml:space="preserve"> </w:t>
      </w:r>
      <w:r>
        <w:rPr>
          <w:rFonts w:ascii="Times New Roman" w:hAnsi="Times New Roman" w:cs="Times New Roman" w:hint="eastAsia"/>
          <w:b/>
          <w:bCs/>
          <w:color w:val="000000" w:themeColor="text1"/>
          <w:sz w:val="28"/>
          <w:szCs w:val="28"/>
        </w:rPr>
        <w:t>m</w:t>
      </w:r>
      <w:r>
        <w:rPr>
          <w:rFonts w:ascii="Times New Roman" w:hAnsi="Times New Roman" w:cs="Times New Roman"/>
          <w:b/>
          <w:bCs/>
          <w:color w:val="000000" w:themeColor="text1"/>
          <w:sz w:val="28"/>
          <w:szCs w:val="28"/>
        </w:rPr>
        <w:t>aterials and methods</w:t>
      </w:r>
    </w:p>
    <w:p w14:paraId="6FC75C73" w14:textId="77777777" w:rsidR="00AB2519" w:rsidRDefault="00AB2519">
      <w:pPr>
        <w:rPr>
          <w:rFonts w:ascii="Times New Roman" w:hAnsi="Times New Roman" w:cs="Times New Roman"/>
          <w:b/>
          <w:bCs/>
          <w:color w:val="000000" w:themeColor="text1"/>
          <w:sz w:val="28"/>
          <w:szCs w:val="28"/>
        </w:rPr>
      </w:pPr>
    </w:p>
    <w:p w14:paraId="4E329A58" w14:textId="77777777" w:rsidR="00AB2519" w:rsidRDefault="00000000">
      <w:pPr>
        <w:rPr>
          <w:rFonts w:ascii="Times New Roman" w:hAnsi="Times New Roman" w:cs="Times New Roman"/>
          <w:b/>
          <w:bCs/>
          <w:i/>
          <w:iCs/>
          <w:color w:val="000000" w:themeColor="text1"/>
          <w:sz w:val="21"/>
          <w:szCs w:val="21"/>
        </w:rPr>
      </w:pPr>
      <w:r>
        <w:rPr>
          <w:rFonts w:ascii="Times New Roman" w:hAnsi="Times New Roman" w:cs="Times New Roman"/>
          <w:b/>
          <w:bCs/>
          <w:i/>
          <w:iCs/>
          <w:color w:val="000000" w:themeColor="text1"/>
          <w:sz w:val="21"/>
          <w:szCs w:val="21"/>
        </w:rPr>
        <w:t xml:space="preserve">Tissue samples and immunohistochemistry  </w:t>
      </w:r>
    </w:p>
    <w:p w14:paraId="0657F179" w14:textId="77777777" w:rsidR="00AB2519" w:rsidRDefault="00AB2519">
      <w:pPr>
        <w:rPr>
          <w:rFonts w:ascii="Times New Roman" w:hAnsi="Times New Roman" w:cs="Times New Roman"/>
          <w:color w:val="000000" w:themeColor="text1"/>
          <w:sz w:val="21"/>
          <w:szCs w:val="21"/>
        </w:rPr>
      </w:pPr>
    </w:p>
    <w:p w14:paraId="76D757B7" w14:textId="77777777" w:rsidR="00AB2519" w:rsidRDefault="00000000">
      <w:pPr>
        <w:rPr>
          <w:rFonts w:ascii="Times New Roman" w:hAnsi="Times New Roman" w:cs="Times New Roman"/>
          <w:color w:val="000000" w:themeColor="text1"/>
          <w:sz w:val="21"/>
          <w:szCs w:val="21"/>
        </w:rPr>
      </w:pPr>
      <w:r>
        <w:rPr>
          <w:rFonts w:ascii="Times New Roman" w:hAnsi="Times New Roman" w:cs="Times New Roman"/>
          <w:color w:val="000000" w:themeColor="text1"/>
          <w:sz w:val="21"/>
          <w:szCs w:val="21"/>
        </w:rPr>
        <w:t>Tissue samples from 217 patients with NPC diagnosed at Jiangxi Cancer Hospital between January 2014 and December 2015 were included for analysis. A</w:t>
      </w:r>
      <w:r>
        <w:rPr>
          <w:rFonts w:ascii="Times New Roman" w:hAnsi="Times New Roman" w:cs="Times New Roman" w:hint="eastAsia"/>
          <w:color w:val="000000" w:themeColor="text1"/>
          <w:sz w:val="21"/>
          <w:szCs w:val="21"/>
        </w:rPr>
        <w:t>ll</w:t>
      </w:r>
      <w:r>
        <w:rPr>
          <w:rFonts w:ascii="Times New Roman" w:hAnsi="Times New Roman" w:cs="Times New Roman"/>
          <w:color w:val="000000" w:themeColor="text1"/>
          <w:sz w:val="21"/>
          <w:szCs w:val="21"/>
        </w:rPr>
        <w:t xml:space="preserve"> the patients have </w:t>
      </w:r>
      <w:r>
        <w:rPr>
          <w:rFonts w:ascii="Times New Roman" w:hAnsi="Times New Roman" w:cs="Times New Roman" w:hint="eastAsia"/>
          <w:color w:val="000000" w:themeColor="text1"/>
          <w:sz w:val="21"/>
          <w:szCs w:val="21"/>
        </w:rPr>
        <w:t>accepted</w:t>
      </w:r>
      <w:r>
        <w:rPr>
          <w:rFonts w:ascii="Times New Roman" w:hAnsi="Times New Roman" w:cs="Times New Roman"/>
          <w:color w:val="000000" w:themeColor="text1"/>
          <w:sz w:val="21"/>
          <w:szCs w:val="21"/>
        </w:rPr>
        <w:t xml:space="preserve"> </w:t>
      </w:r>
      <w:r>
        <w:rPr>
          <w:rFonts w:ascii="Times New Roman" w:hAnsi="Times New Roman" w:cs="Times New Roman" w:hint="eastAsia"/>
          <w:color w:val="000000" w:themeColor="text1"/>
          <w:sz w:val="21"/>
          <w:szCs w:val="21"/>
        </w:rPr>
        <w:t>radical</w:t>
      </w:r>
      <w:r>
        <w:rPr>
          <w:rFonts w:ascii="Times New Roman" w:hAnsi="Times New Roman" w:cs="Times New Roman"/>
          <w:color w:val="000000" w:themeColor="text1"/>
          <w:sz w:val="21"/>
          <w:szCs w:val="21"/>
        </w:rPr>
        <w:t xml:space="preserve"> </w:t>
      </w:r>
      <w:r>
        <w:rPr>
          <w:rFonts w:ascii="Times New Roman" w:hAnsi="Times New Roman" w:cs="Times New Roman" w:hint="eastAsia"/>
          <w:color w:val="000000" w:themeColor="text1"/>
          <w:sz w:val="21"/>
          <w:szCs w:val="21"/>
        </w:rPr>
        <w:t>radiotherapy</w:t>
      </w:r>
      <w:r>
        <w:rPr>
          <w:rFonts w:ascii="Times New Roman" w:hAnsi="Times New Roman" w:cs="Times New Roman"/>
          <w:color w:val="000000" w:themeColor="text1"/>
          <w:sz w:val="21"/>
          <w:szCs w:val="21"/>
        </w:rPr>
        <w:t>. All patients with NPC were reclassified according to the TNM stage classification scheme of the 8th edition of the American Joint Committee on Cancer staging manual. This study was approved by the Hospital Review Board of Jiangxi Cancer Hospital (No.2023</w:t>
      </w:r>
      <w:r>
        <w:rPr>
          <w:rFonts w:ascii="Times New Roman" w:hAnsi="Times New Roman" w:cs="Times New Roman" w:hint="eastAsia"/>
          <w:color w:val="000000" w:themeColor="text1"/>
          <w:sz w:val="21"/>
          <w:szCs w:val="21"/>
        </w:rPr>
        <w:t>ky</w:t>
      </w:r>
      <w:r>
        <w:rPr>
          <w:rFonts w:ascii="Times New Roman" w:hAnsi="Times New Roman" w:cs="Times New Roman"/>
          <w:color w:val="000000" w:themeColor="text1"/>
          <w:sz w:val="21"/>
          <w:szCs w:val="21"/>
        </w:rPr>
        <w:t xml:space="preserve">102), Jiangxi, China. </w:t>
      </w:r>
    </w:p>
    <w:p w14:paraId="3E4D007D" w14:textId="4BFF32CA" w:rsidR="00AB2519" w:rsidRDefault="00000000">
      <w:pPr>
        <w:rPr>
          <w:rFonts w:ascii="Times New Roman" w:hAnsi="Times New Roman" w:cs="Times New Roman"/>
          <w:color w:val="000000" w:themeColor="text1"/>
          <w:sz w:val="21"/>
          <w:szCs w:val="21"/>
        </w:rPr>
      </w:pPr>
      <w:r>
        <w:rPr>
          <w:rFonts w:ascii="Times New Roman" w:hAnsi="Times New Roman" w:cs="Times New Roman"/>
          <w:color w:val="000000" w:themeColor="text1"/>
          <w:sz w:val="21"/>
          <w:szCs w:val="21"/>
        </w:rPr>
        <w:t xml:space="preserve">The samples were fixed in formaldehyde and processed using heat-mediated antigen retrieval in citrate buffer (pH 6). The samples were then blocked and incubated with rabbit polyclonal anti-CD20 antibody (1:250, ab78237, Abcam, Cambridge, MA USA) </w:t>
      </w:r>
      <w:r>
        <w:rPr>
          <w:rFonts w:ascii="Times New Roman" w:hAnsi="Times New Roman" w:cs="Times New Roman" w:hint="eastAsia"/>
          <w:color w:val="000000" w:themeColor="text1"/>
          <w:sz w:val="21"/>
          <w:szCs w:val="21"/>
        </w:rPr>
        <w:t xml:space="preserve">or </w:t>
      </w:r>
      <w:r>
        <w:rPr>
          <w:rFonts w:ascii="Times New Roman" w:hAnsi="Times New Roman" w:cs="Times New Roman"/>
          <w:color w:val="000000" w:themeColor="text1"/>
          <w:sz w:val="21"/>
          <w:szCs w:val="21"/>
        </w:rPr>
        <w:t>rabbit monoclonal anti-</w:t>
      </w:r>
      <w:proofErr w:type="spellStart"/>
      <w:r>
        <w:rPr>
          <w:rFonts w:ascii="Times New Roman" w:hAnsi="Times New Roman" w:cs="Times New Roman"/>
          <w:color w:val="000000" w:themeColor="text1"/>
          <w:sz w:val="21"/>
          <w:szCs w:val="21"/>
        </w:rPr>
        <w:t>I</w:t>
      </w:r>
      <w:r>
        <w:rPr>
          <w:rFonts w:ascii="Times New Roman" w:hAnsi="Times New Roman" w:cs="Times New Roman" w:hint="eastAsia"/>
          <w:color w:val="000000" w:themeColor="text1"/>
          <w:sz w:val="21"/>
          <w:szCs w:val="21"/>
        </w:rPr>
        <w:t>g</w:t>
      </w:r>
      <w:r>
        <w:rPr>
          <w:rFonts w:ascii="Times New Roman" w:hAnsi="Times New Roman" w:cs="Times New Roman"/>
          <w:color w:val="000000" w:themeColor="text1"/>
          <w:sz w:val="21"/>
          <w:szCs w:val="21"/>
        </w:rPr>
        <w:t>D</w:t>
      </w:r>
      <w:proofErr w:type="spellEnd"/>
      <w:r>
        <w:rPr>
          <w:rFonts w:ascii="Times New Roman" w:hAnsi="Times New Roman" w:cs="Times New Roman"/>
          <w:color w:val="000000" w:themeColor="text1"/>
          <w:sz w:val="21"/>
          <w:szCs w:val="21"/>
        </w:rPr>
        <w:t xml:space="preserve"> antibody (1:1000, ab124795, Abcam, Cambridge, MA </w:t>
      </w:r>
      <w:proofErr w:type="gramStart"/>
      <w:r>
        <w:rPr>
          <w:rFonts w:ascii="Times New Roman" w:hAnsi="Times New Roman" w:cs="Times New Roman"/>
          <w:color w:val="000000" w:themeColor="text1"/>
          <w:sz w:val="21"/>
          <w:szCs w:val="21"/>
        </w:rPr>
        <w:t>USA)at</w:t>
      </w:r>
      <w:proofErr w:type="gramEnd"/>
      <w:r>
        <w:rPr>
          <w:rFonts w:ascii="Times New Roman" w:hAnsi="Times New Roman" w:cs="Times New Roman"/>
          <w:color w:val="000000" w:themeColor="text1"/>
          <w:sz w:val="21"/>
          <w:szCs w:val="21"/>
        </w:rPr>
        <w:t xml:space="preserve"> 4°C overnight, followed by detection with </w:t>
      </w:r>
      <w:proofErr w:type="spellStart"/>
      <w:r>
        <w:rPr>
          <w:rFonts w:ascii="Times New Roman" w:hAnsi="Times New Roman" w:cs="Times New Roman"/>
          <w:color w:val="000000" w:themeColor="text1"/>
          <w:sz w:val="21"/>
          <w:szCs w:val="21"/>
        </w:rPr>
        <w:t>Elivision</w:t>
      </w:r>
      <w:r>
        <w:rPr>
          <w:rFonts w:ascii="Times New Roman" w:hAnsi="Times New Roman" w:cs="Times New Roman"/>
          <w:color w:val="000000" w:themeColor="text1"/>
          <w:sz w:val="21"/>
          <w:szCs w:val="21"/>
          <w:vertAlign w:val="superscript"/>
        </w:rPr>
        <w:t>TM</w:t>
      </w:r>
      <w:proofErr w:type="spellEnd"/>
      <w:r>
        <w:rPr>
          <w:rFonts w:ascii="Times New Roman" w:hAnsi="Times New Roman" w:cs="Times New Roman"/>
          <w:color w:val="000000" w:themeColor="text1"/>
          <w:sz w:val="21"/>
          <w:szCs w:val="21"/>
        </w:rPr>
        <w:t xml:space="preserve"> Plus Polymer HRP (mouse/rabbit) IHC Kit (Cat. KIT-9901; MXB Biotechnologies, China). HALO software was used to calculate the number of infiltrating CD20</w:t>
      </w:r>
      <w:r>
        <w:rPr>
          <w:rFonts w:ascii="Times New Roman" w:hAnsi="Times New Roman" w:cs="Times New Roman"/>
          <w:color w:val="000000" w:themeColor="text1"/>
          <w:sz w:val="21"/>
          <w:szCs w:val="21"/>
          <w:vertAlign w:val="superscript"/>
        </w:rPr>
        <w:t>+</w:t>
      </w:r>
      <w:r>
        <w:rPr>
          <w:rFonts w:ascii="Times New Roman" w:hAnsi="Times New Roman" w:cs="Times New Roman"/>
          <w:color w:val="000000" w:themeColor="text1"/>
          <w:sz w:val="21"/>
          <w:szCs w:val="21"/>
        </w:rPr>
        <w:t xml:space="preserve"> B cells in the tumor area</w:t>
      </w:r>
      <w:r>
        <w:rPr>
          <w:rFonts w:ascii="Times New Roman" w:hAnsi="Times New Roman" w:cs="Times New Roman"/>
          <w:color w:val="000000" w:themeColor="text1"/>
          <w:sz w:val="21"/>
          <w:szCs w:val="21"/>
        </w:rPr>
        <w:fldChar w:fldCharType="begin"/>
      </w:r>
      <w:r w:rsidR="00DB0A1C">
        <w:rPr>
          <w:rFonts w:ascii="Times New Roman" w:hAnsi="Times New Roman" w:cs="Times New Roman"/>
          <w:color w:val="000000" w:themeColor="text1"/>
          <w:sz w:val="21"/>
          <w:szCs w:val="21"/>
        </w:rPr>
        <w:instrText xml:space="preserve"> ADDIN EN.CITE &lt;EndNote&gt;&lt;Cite&gt;&lt;Author&gt;Zhao&lt;/Author&gt;&lt;Year&gt;2022&lt;/Year&gt;&lt;RecNum&gt;58&lt;/RecNum&gt;&lt;DisplayText&gt;[1]&lt;/DisplayText&gt;&lt;record&gt;&lt;rec-number&gt;58&lt;/rec-number&gt;&lt;foreign-keys&gt;&lt;key app="EN" db-id="v9tvartsq5szage5druxt22yv9zpztzwfe5s" timestamp="1699424102"&gt;58&lt;/key&gt;&lt;/foreign-keys&gt;&lt;ref-type name="Journal Article"&gt;17&lt;/ref-type&gt;&lt;contributors&gt;&lt;authors&gt;&lt;author&gt;Zhao, Zhiying&lt;/author&gt;&lt;author&gt;Galiana, Gigi&lt;/author&gt;&lt;author&gt;Zillo, Cristofer&lt;/author&gt;&lt;author&gt;Camarro, Terry&lt;/author&gt;&lt;author&gt;Qiu, Maolin&lt;/author&gt;&lt;author&gt;Papademetris, Xenophon&lt;/author&gt;&lt;author&gt;Hampson, Michelle&lt;/author&gt;&lt;/authors&gt;&lt;/contributors&gt;&lt;titles&gt;&lt;title&gt;HALO: A software tool for real-time head alignment in the MR scanner &lt;/title&gt;&lt;secondary-title&gt; Magn Reson Med&lt;/secondary-title&gt;&lt;/titles&gt;&lt;pages&gt;1506-1513&lt;/pages&gt;&lt;volume&gt;89&lt;/volume&gt;&lt;number&gt;4&lt;/number&gt;&lt;dates&gt;&lt;year&gt;2022&lt;/year&gt;&lt;/dates&gt;&lt;urls&gt;&lt;/urls&gt;&lt;electronic-resource-num&gt;10.1101/2022.03.23.485491&lt;/electronic-resource-num&gt;&lt;/record&gt;&lt;/Cite&gt;&lt;/EndNote&gt;</w:instrText>
      </w:r>
      <w:r>
        <w:rPr>
          <w:rFonts w:ascii="Times New Roman" w:hAnsi="Times New Roman" w:cs="Times New Roman"/>
          <w:color w:val="000000" w:themeColor="text1"/>
          <w:sz w:val="21"/>
          <w:szCs w:val="21"/>
        </w:rPr>
        <w:fldChar w:fldCharType="separate"/>
      </w:r>
      <w:r w:rsidR="00DB0A1C">
        <w:rPr>
          <w:rFonts w:ascii="Times New Roman" w:hAnsi="Times New Roman" w:cs="Times New Roman"/>
          <w:noProof/>
          <w:color w:val="000000" w:themeColor="text1"/>
          <w:sz w:val="21"/>
          <w:szCs w:val="21"/>
        </w:rPr>
        <w:t>[1]</w:t>
      </w:r>
      <w:r>
        <w:rPr>
          <w:rFonts w:ascii="Times New Roman" w:hAnsi="Times New Roman" w:cs="Times New Roman"/>
          <w:color w:val="000000" w:themeColor="text1"/>
          <w:sz w:val="21"/>
          <w:szCs w:val="21"/>
        </w:rPr>
        <w:fldChar w:fldCharType="end"/>
      </w:r>
      <w:r>
        <w:rPr>
          <w:rFonts w:ascii="Times New Roman" w:hAnsi="Times New Roman" w:cs="Times New Roman"/>
          <w:color w:val="000000" w:themeColor="text1"/>
          <w:sz w:val="21"/>
          <w:szCs w:val="21"/>
        </w:rPr>
        <w:t>. The density of CD20</w:t>
      </w:r>
      <w:r>
        <w:rPr>
          <w:rFonts w:ascii="Times New Roman" w:hAnsi="Times New Roman" w:cs="Times New Roman"/>
          <w:color w:val="000000" w:themeColor="text1"/>
          <w:sz w:val="21"/>
          <w:szCs w:val="21"/>
          <w:vertAlign w:val="superscript"/>
        </w:rPr>
        <w:t>+</w:t>
      </w:r>
      <w:r>
        <w:rPr>
          <w:rFonts w:ascii="Times New Roman" w:hAnsi="Times New Roman" w:cs="Times New Roman"/>
          <w:color w:val="000000" w:themeColor="text1"/>
          <w:sz w:val="21"/>
          <w:szCs w:val="21"/>
        </w:rPr>
        <w:t xml:space="preserve"> B cells was calculated as the number of CD20</w:t>
      </w:r>
      <w:r>
        <w:rPr>
          <w:rFonts w:ascii="Times New Roman" w:hAnsi="Times New Roman" w:cs="Times New Roman"/>
          <w:color w:val="000000" w:themeColor="text1"/>
          <w:sz w:val="21"/>
          <w:szCs w:val="21"/>
          <w:vertAlign w:val="superscript"/>
        </w:rPr>
        <w:t>+</w:t>
      </w:r>
      <w:r>
        <w:rPr>
          <w:rFonts w:ascii="Times New Roman" w:hAnsi="Times New Roman" w:cs="Times New Roman"/>
          <w:color w:val="000000" w:themeColor="text1"/>
          <w:sz w:val="21"/>
          <w:szCs w:val="21"/>
        </w:rPr>
        <w:t xml:space="preserve"> B cells/tumor area (mm</w:t>
      </w:r>
      <w:r>
        <w:rPr>
          <w:rFonts w:ascii="Times New Roman" w:hAnsi="Times New Roman" w:cs="Times New Roman"/>
          <w:color w:val="000000" w:themeColor="text1"/>
          <w:sz w:val="21"/>
          <w:szCs w:val="21"/>
          <w:vertAlign w:val="superscript"/>
        </w:rPr>
        <w:t>2</w:t>
      </w:r>
      <w:r>
        <w:rPr>
          <w:rFonts w:ascii="Times New Roman" w:hAnsi="Times New Roman" w:cs="Times New Roman"/>
          <w:color w:val="000000" w:themeColor="text1"/>
          <w:sz w:val="21"/>
          <w:szCs w:val="21"/>
        </w:rPr>
        <w:t>). Patients were then divided into groups with high and low levels of infiltrating B cells according to the cut-off value of the infiltrating density of CD20</w:t>
      </w:r>
      <w:r>
        <w:rPr>
          <w:rFonts w:ascii="Times New Roman" w:hAnsi="Times New Roman" w:cs="Times New Roman"/>
          <w:color w:val="000000" w:themeColor="text1"/>
          <w:sz w:val="21"/>
          <w:szCs w:val="21"/>
          <w:vertAlign w:val="superscript"/>
        </w:rPr>
        <w:t>+</w:t>
      </w:r>
      <w:r>
        <w:rPr>
          <w:rFonts w:ascii="Times New Roman" w:hAnsi="Times New Roman" w:cs="Times New Roman"/>
          <w:color w:val="000000" w:themeColor="text1"/>
          <w:sz w:val="21"/>
          <w:szCs w:val="21"/>
        </w:rPr>
        <w:t xml:space="preserve"> B cells calculated with X-tile software.</w:t>
      </w:r>
    </w:p>
    <w:p w14:paraId="2B18A2BD" w14:textId="77777777" w:rsidR="00AB2519" w:rsidRDefault="00AB2519">
      <w:pPr>
        <w:rPr>
          <w:rFonts w:ascii="Times New Roman" w:hAnsi="Times New Roman" w:cs="Times New Roman"/>
          <w:color w:val="000000" w:themeColor="text1"/>
          <w:sz w:val="21"/>
          <w:szCs w:val="21"/>
        </w:rPr>
      </w:pPr>
    </w:p>
    <w:p w14:paraId="6B27F2A4" w14:textId="77777777" w:rsidR="00AB2519" w:rsidRDefault="00AB2519">
      <w:pPr>
        <w:rPr>
          <w:rFonts w:ascii="Times New Roman" w:hAnsi="Times New Roman" w:cs="Times New Roman"/>
          <w:color w:val="000000" w:themeColor="text1"/>
          <w:sz w:val="21"/>
          <w:szCs w:val="21"/>
        </w:rPr>
      </w:pPr>
    </w:p>
    <w:p w14:paraId="76947071" w14:textId="77777777" w:rsidR="00AB2519" w:rsidRDefault="00000000">
      <w:pPr>
        <w:rPr>
          <w:rFonts w:ascii="Times New Roman" w:hAnsi="Times New Roman" w:cs="Times New Roman"/>
          <w:b/>
          <w:bCs/>
          <w:i/>
          <w:iCs/>
          <w:color w:val="000000" w:themeColor="text1"/>
          <w:sz w:val="21"/>
          <w:szCs w:val="21"/>
        </w:rPr>
      </w:pPr>
      <w:r>
        <w:rPr>
          <w:rFonts w:ascii="Times New Roman" w:hAnsi="Times New Roman" w:cs="Times New Roman"/>
          <w:b/>
          <w:bCs/>
          <w:i/>
          <w:iCs/>
          <w:color w:val="000000" w:themeColor="text1"/>
          <w:sz w:val="21"/>
          <w:szCs w:val="21"/>
        </w:rPr>
        <w:t>Public</w:t>
      </w:r>
      <w:r>
        <w:rPr>
          <w:rFonts w:ascii="Times New Roman" w:hAnsi="Times New Roman" w:cs="Times New Roman"/>
          <w:i/>
          <w:iCs/>
          <w:color w:val="000000" w:themeColor="text1"/>
          <w:sz w:val="21"/>
          <w:szCs w:val="21"/>
        </w:rPr>
        <w:t xml:space="preserve"> </w:t>
      </w:r>
      <w:r>
        <w:rPr>
          <w:rFonts w:ascii="Times New Roman" w:hAnsi="Times New Roman" w:cs="Times New Roman"/>
          <w:b/>
          <w:bCs/>
          <w:i/>
          <w:iCs/>
          <w:color w:val="000000" w:themeColor="text1"/>
          <w:sz w:val="21"/>
          <w:szCs w:val="21"/>
        </w:rPr>
        <w:t>data sources</w:t>
      </w:r>
    </w:p>
    <w:p w14:paraId="37AA8A6D" w14:textId="77777777" w:rsidR="00AB2519" w:rsidRDefault="00AB2519">
      <w:pPr>
        <w:rPr>
          <w:rFonts w:ascii="Times New Roman" w:hAnsi="Times New Roman" w:cs="Times New Roman"/>
          <w:color w:val="000000" w:themeColor="text1"/>
          <w:sz w:val="21"/>
          <w:szCs w:val="21"/>
        </w:rPr>
      </w:pPr>
    </w:p>
    <w:p w14:paraId="248D3651" w14:textId="77777777" w:rsidR="00AB2519" w:rsidRDefault="00000000">
      <w:pPr>
        <w:rPr>
          <w:rFonts w:ascii="Times New Roman" w:hAnsi="Times New Roman" w:cs="Times New Roman"/>
          <w:color w:val="000000" w:themeColor="text1"/>
          <w:sz w:val="21"/>
          <w:szCs w:val="21"/>
        </w:rPr>
      </w:pPr>
      <w:r>
        <w:rPr>
          <w:rFonts w:ascii="Times New Roman" w:hAnsi="Times New Roman" w:cs="Times New Roman"/>
          <w:color w:val="000000" w:themeColor="text1"/>
          <w:sz w:val="21"/>
          <w:szCs w:val="21"/>
        </w:rPr>
        <w:tab/>
        <w:t>Two NPC single-cell transcriptome datasets were downloaded from the Gene Expression Omnibus (GEO) database (</w:t>
      </w:r>
      <w:hyperlink r:id="rId5" w:history="1">
        <w:r>
          <w:rPr>
            <w:rStyle w:val="a5"/>
            <w:rFonts w:ascii="Times New Roman" w:hAnsi="Times New Roman" w:cs="Times New Roman"/>
            <w:color w:val="000000" w:themeColor="text1"/>
            <w:sz w:val="21"/>
            <w:szCs w:val="21"/>
          </w:rPr>
          <w:t>http://www.ncbi.nlm.nih.gov/geo/</w:t>
        </w:r>
      </w:hyperlink>
      <w:r>
        <w:rPr>
          <w:rFonts w:ascii="Times New Roman" w:hAnsi="Times New Roman" w:cs="Times New Roman"/>
          <w:color w:val="000000" w:themeColor="text1"/>
          <w:sz w:val="21"/>
          <w:szCs w:val="21"/>
        </w:rPr>
        <w:t xml:space="preserve">): </w:t>
      </w:r>
      <w:r>
        <w:rPr>
          <w:rFonts w:ascii="Times New Roman" w:eastAsia="PingFang SC" w:hAnsi="Times New Roman" w:cs="Times New Roman"/>
          <w:color w:val="000000" w:themeColor="text1"/>
          <w:sz w:val="21"/>
          <w:szCs w:val="21"/>
          <w:shd w:val="clear" w:color="auto" w:fill="FFFFFF"/>
        </w:rPr>
        <w:t xml:space="preserve">GSE150430 and GSE162025. </w:t>
      </w:r>
      <w:r>
        <w:rPr>
          <w:rFonts w:ascii="Times New Roman" w:eastAsia="PingFang SC" w:hAnsi="Times New Roman" w:cs="Times New Roman"/>
          <w:color w:val="000000" w:themeColor="text1"/>
          <w:sz w:val="21"/>
          <w:szCs w:val="21"/>
        </w:rPr>
        <w:t xml:space="preserve">The GSE150430 dataset contained 15 primary NPC tumor tissues and </w:t>
      </w:r>
      <w:r>
        <w:rPr>
          <w:rFonts w:ascii="Times New Roman" w:eastAsia="PingFang SC" w:hAnsi="Times New Roman" w:cs="Times New Roman"/>
          <w:color w:val="000000" w:themeColor="text1"/>
          <w:sz w:val="21"/>
          <w:szCs w:val="21"/>
          <w:shd w:val="clear" w:color="auto" w:fill="FFFFFF"/>
        </w:rPr>
        <w:t xml:space="preserve">one </w:t>
      </w:r>
      <w:bookmarkStart w:id="0" w:name="OLE_LINK2"/>
      <w:bookmarkStart w:id="1" w:name="OLE_LINK1"/>
      <w:r>
        <w:rPr>
          <w:rFonts w:ascii="Times New Roman" w:eastAsia="PingFang SC" w:hAnsi="Times New Roman" w:cs="Times New Roman"/>
          <w:color w:val="000000" w:themeColor="text1"/>
          <w:sz w:val="21"/>
          <w:szCs w:val="21"/>
          <w:shd w:val="clear" w:color="auto" w:fill="FFFFFF"/>
        </w:rPr>
        <w:t>normal nasopharyngeal epithelial (NNE) tissue</w:t>
      </w:r>
      <w:bookmarkEnd w:id="0"/>
      <w:bookmarkEnd w:id="1"/>
      <w:r>
        <w:rPr>
          <w:rFonts w:ascii="Times New Roman" w:eastAsia="PingFang SC" w:hAnsi="Times New Roman" w:cs="Times New Roman"/>
          <w:color w:val="000000" w:themeColor="text1"/>
          <w:sz w:val="21"/>
          <w:szCs w:val="21"/>
          <w:shd w:val="clear" w:color="auto" w:fill="FFFFFF"/>
        </w:rPr>
        <w:t>, with a total of 48,584 cells (46,001 cells from NPC tissues and 2583 cells from the NNE tissue). The</w:t>
      </w:r>
      <w:r>
        <w:rPr>
          <w:rFonts w:ascii="Times New Roman" w:eastAsia="PingFang SC" w:hAnsi="Times New Roman" w:cs="Times New Roman"/>
          <w:color w:val="000000" w:themeColor="text1"/>
          <w:sz w:val="21"/>
          <w:szCs w:val="21"/>
        </w:rPr>
        <w:t xml:space="preserve"> GSE162025</w:t>
      </w:r>
      <w:r>
        <w:rPr>
          <w:rFonts w:ascii="Times New Roman" w:eastAsia="PingFang SC" w:hAnsi="Times New Roman" w:cs="Times New Roman"/>
          <w:color w:val="000000" w:themeColor="text1"/>
          <w:sz w:val="21"/>
          <w:szCs w:val="21"/>
          <w:shd w:val="clear" w:color="auto" w:fill="FFFFFF"/>
        </w:rPr>
        <w:t xml:space="preserve"> dataset contained 10 NPC tissues and paired peripheral blood samples</w:t>
      </w:r>
      <w:r>
        <w:rPr>
          <w:rFonts w:ascii="Times New Roman" w:eastAsia="PingFang SC" w:hAnsi="Times New Roman" w:cs="Times New Roman"/>
          <w:color w:val="000000" w:themeColor="text1"/>
          <w:sz w:val="21"/>
          <w:szCs w:val="21"/>
        </w:rPr>
        <w:t>,</w:t>
      </w:r>
      <w:r>
        <w:rPr>
          <w:rFonts w:ascii="Times New Roman" w:eastAsia="PingFang SC" w:hAnsi="Times New Roman" w:cs="Times New Roman"/>
          <w:color w:val="000000" w:themeColor="text1"/>
          <w:sz w:val="21"/>
          <w:szCs w:val="21"/>
          <w:shd w:val="clear" w:color="auto" w:fill="FFFFFF"/>
        </w:rPr>
        <w:t xml:space="preserve"> with a total of 17,6447 cells.</w:t>
      </w:r>
      <w:r>
        <w:rPr>
          <w:rFonts w:ascii="Times New Roman" w:hAnsi="Times New Roman" w:cs="Times New Roman"/>
          <w:color w:val="000000" w:themeColor="text1"/>
          <w:sz w:val="21"/>
          <w:szCs w:val="21"/>
        </w:rPr>
        <w:t xml:space="preserve"> Two bulk-RNA transcriptome datasets (GSE102349 and GSE34573) were also downloaded from the GEO database. The GSE102349 dataset contained mRNA expression levels and clinical data from 113 patients with NPC, whereas the GSE34573 dataset contained transcription data for 16 NPC tumor tissues and four </w:t>
      </w:r>
      <w:r>
        <w:rPr>
          <w:rFonts w:ascii="Times New Roman" w:eastAsia="PingFang SC" w:hAnsi="Times New Roman" w:cs="Times New Roman"/>
          <w:color w:val="000000" w:themeColor="text1"/>
          <w:sz w:val="21"/>
          <w:szCs w:val="21"/>
          <w:shd w:val="clear" w:color="auto" w:fill="FFFFFF"/>
        </w:rPr>
        <w:t>NNE tissue</w:t>
      </w:r>
      <w:r>
        <w:rPr>
          <w:rFonts w:ascii="Times New Roman" w:hAnsi="Times New Roman" w:cs="Times New Roman"/>
          <w:color w:val="000000" w:themeColor="text1"/>
          <w:sz w:val="21"/>
          <w:szCs w:val="21"/>
        </w:rPr>
        <w:t xml:space="preserve">s. These publicly available datasets were analyzed with pre-existing ethics approval from the original studies. </w:t>
      </w:r>
    </w:p>
    <w:p w14:paraId="5869762D" w14:textId="77777777" w:rsidR="00AB2519" w:rsidRDefault="00AB2519">
      <w:pPr>
        <w:rPr>
          <w:rFonts w:ascii="Times New Roman" w:hAnsi="Times New Roman" w:cs="Times New Roman"/>
          <w:color w:val="000000" w:themeColor="text1"/>
          <w:sz w:val="21"/>
          <w:szCs w:val="21"/>
        </w:rPr>
      </w:pPr>
    </w:p>
    <w:p w14:paraId="60E77164" w14:textId="77777777" w:rsidR="00AB2519" w:rsidRDefault="00000000">
      <w:pPr>
        <w:rPr>
          <w:rFonts w:ascii="Times New Roman" w:hAnsi="Times New Roman" w:cs="Times New Roman"/>
          <w:b/>
          <w:bCs/>
          <w:i/>
          <w:iCs/>
          <w:color w:val="000000" w:themeColor="text1"/>
          <w:sz w:val="21"/>
          <w:szCs w:val="21"/>
        </w:rPr>
      </w:pPr>
      <w:r>
        <w:rPr>
          <w:rFonts w:ascii="Times New Roman" w:hAnsi="Times New Roman" w:cs="Times New Roman"/>
          <w:b/>
          <w:bCs/>
          <w:i/>
          <w:iCs/>
          <w:color w:val="000000" w:themeColor="text1"/>
          <w:sz w:val="21"/>
          <w:szCs w:val="21"/>
        </w:rPr>
        <w:t>Identification of immune cell subsets</w:t>
      </w:r>
    </w:p>
    <w:p w14:paraId="29F5E963" w14:textId="77777777" w:rsidR="00AB2519" w:rsidRDefault="00AB2519">
      <w:pPr>
        <w:rPr>
          <w:rFonts w:ascii="Times New Roman" w:hAnsi="Times New Roman" w:cs="Times New Roman"/>
          <w:color w:val="000000" w:themeColor="text1"/>
          <w:sz w:val="21"/>
          <w:szCs w:val="21"/>
        </w:rPr>
      </w:pPr>
    </w:p>
    <w:p w14:paraId="5A074F8F" w14:textId="2107D3A6" w:rsidR="00AB2519" w:rsidRDefault="00000000">
      <w:pPr>
        <w:rPr>
          <w:rFonts w:ascii="Times New Roman" w:hAnsi="Times New Roman" w:cs="Times New Roman"/>
          <w:color w:val="000000" w:themeColor="text1"/>
          <w:sz w:val="21"/>
          <w:szCs w:val="21"/>
        </w:rPr>
      </w:pPr>
      <w:r>
        <w:rPr>
          <w:rFonts w:ascii="Times New Roman" w:hAnsi="Times New Roman" w:cs="Times New Roman"/>
          <w:color w:val="000000" w:themeColor="text1"/>
          <w:sz w:val="21"/>
          <w:szCs w:val="21"/>
        </w:rPr>
        <w:tab/>
        <w:t xml:space="preserve">Single-cell RNA-sequencing data were analyzed using the Seurat R package (version 3.1.5) </w:t>
      </w:r>
      <w:r>
        <w:rPr>
          <w:rFonts w:ascii="Times New Roman" w:hAnsi="Times New Roman" w:cs="Times New Roman"/>
          <w:color w:val="000000" w:themeColor="text1"/>
          <w:sz w:val="21"/>
          <w:szCs w:val="21"/>
        </w:rPr>
        <w:fldChar w:fldCharType="begin">
          <w:fldData xml:space="preserve">PEVuZE5vdGU+PENpdGU+PEF1dGhvcj5TYXRpamE8L0F1dGhvcj48WWVhcj4yMDE1PC9ZZWFyPjxS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=
</w:fldData>
        </w:fldChar>
      </w:r>
      <w:r w:rsidR="00DB0A1C">
        <w:rPr>
          <w:rFonts w:ascii="Times New Roman" w:hAnsi="Times New Roman" w:cs="Times New Roman"/>
          <w:color w:val="000000" w:themeColor="text1"/>
          <w:sz w:val="21"/>
          <w:szCs w:val="21"/>
        </w:rPr>
        <w:instrText xml:space="preserve"> ADDIN EN.CITE </w:instrText>
      </w:r>
      <w:r w:rsidR="00DB0A1C">
        <w:rPr>
          <w:rFonts w:ascii="Times New Roman" w:hAnsi="Times New Roman" w:cs="Times New Roman"/>
          <w:color w:val="000000" w:themeColor="text1"/>
          <w:sz w:val="21"/>
          <w:szCs w:val="21"/>
        </w:rPr>
        <w:fldChar w:fldCharType="begin">
          <w:fldData xml:space="preserve">PEVuZE5vdGU+PENpdGU+PEF1dGhvcj5TYXRpamE8L0F1dGhvcj48WWVhcj4yMDE1PC9ZZWFyPjxS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=
</w:fldData>
        </w:fldChar>
      </w:r>
      <w:r w:rsidR="00DB0A1C">
        <w:rPr>
          <w:rFonts w:ascii="Times New Roman" w:hAnsi="Times New Roman" w:cs="Times New Roman"/>
          <w:color w:val="000000" w:themeColor="text1"/>
          <w:sz w:val="21"/>
          <w:szCs w:val="21"/>
        </w:rPr>
        <w:instrText xml:space="preserve"> ADDIN EN.CITE.DATA </w:instrText>
      </w:r>
      <w:r w:rsidR="00DB0A1C">
        <w:rPr>
          <w:rFonts w:ascii="Times New Roman" w:hAnsi="Times New Roman" w:cs="Times New Roman"/>
          <w:color w:val="000000" w:themeColor="text1"/>
          <w:sz w:val="21"/>
          <w:szCs w:val="21"/>
        </w:rPr>
      </w:r>
      <w:r w:rsidR="00DB0A1C">
        <w:rPr>
          <w:rFonts w:ascii="Times New Roman" w:hAnsi="Times New Roman" w:cs="Times New Roman"/>
          <w:color w:val="000000" w:themeColor="text1"/>
          <w:sz w:val="21"/>
          <w:szCs w:val="21"/>
        </w:rPr>
        <w:fldChar w:fldCharType="end"/>
      </w:r>
      <w:r>
        <w:rPr>
          <w:rFonts w:ascii="Times New Roman" w:hAnsi="Times New Roman" w:cs="Times New Roman"/>
          <w:color w:val="000000" w:themeColor="text1"/>
          <w:sz w:val="21"/>
          <w:szCs w:val="21"/>
        </w:rPr>
        <w:fldChar w:fldCharType="separate"/>
      </w:r>
      <w:r w:rsidR="00DB0A1C">
        <w:rPr>
          <w:rFonts w:ascii="Times New Roman" w:hAnsi="Times New Roman" w:cs="Times New Roman"/>
          <w:noProof/>
          <w:color w:val="000000" w:themeColor="text1"/>
          <w:sz w:val="21"/>
          <w:szCs w:val="21"/>
        </w:rPr>
        <w:t>[2]</w:t>
      </w:r>
      <w:r>
        <w:rPr>
          <w:rFonts w:ascii="Times New Roman" w:hAnsi="Times New Roman" w:cs="Times New Roman"/>
          <w:color w:val="000000" w:themeColor="text1"/>
          <w:sz w:val="21"/>
          <w:szCs w:val="21"/>
        </w:rPr>
        <w:fldChar w:fldCharType="end"/>
      </w:r>
      <w:r>
        <w:rPr>
          <w:rFonts w:ascii="Times New Roman" w:hAnsi="Times New Roman" w:cs="Times New Roman"/>
          <w:color w:val="000000" w:themeColor="text1"/>
          <w:sz w:val="21"/>
          <w:szCs w:val="21"/>
        </w:rPr>
        <w:t xml:space="preserve">. Low-quality cells were removed based on a minimum gene number of 500, a maximum gene number of 7500, and a mitochondrial gene ratio of 2.5. Gene expression levels were normalized using the default parameters of the Seurat package. The </w:t>
      </w:r>
      <w:proofErr w:type="spellStart"/>
      <w:r>
        <w:rPr>
          <w:rFonts w:ascii="Times New Roman" w:hAnsi="Times New Roman" w:cs="Times New Roman"/>
          <w:color w:val="000000" w:themeColor="text1"/>
          <w:sz w:val="21"/>
          <w:szCs w:val="21"/>
        </w:rPr>
        <w:t>FindVariableFeatures</w:t>
      </w:r>
      <w:proofErr w:type="spellEnd"/>
      <w:r>
        <w:rPr>
          <w:rFonts w:ascii="Times New Roman" w:hAnsi="Times New Roman" w:cs="Times New Roman"/>
          <w:color w:val="000000" w:themeColor="text1"/>
          <w:sz w:val="21"/>
          <w:szCs w:val="21"/>
        </w:rPr>
        <w:t xml:space="preserve"> and </w:t>
      </w:r>
      <w:proofErr w:type="spellStart"/>
      <w:r>
        <w:rPr>
          <w:rFonts w:ascii="Times New Roman" w:hAnsi="Times New Roman" w:cs="Times New Roman"/>
          <w:color w:val="000000" w:themeColor="text1"/>
          <w:sz w:val="21"/>
          <w:szCs w:val="21"/>
        </w:rPr>
        <w:t>ScaleData</w:t>
      </w:r>
      <w:proofErr w:type="spellEnd"/>
      <w:r>
        <w:rPr>
          <w:rFonts w:ascii="Times New Roman" w:hAnsi="Times New Roman" w:cs="Times New Roman"/>
          <w:color w:val="000000" w:themeColor="text1"/>
          <w:sz w:val="21"/>
          <w:szCs w:val="21"/>
        </w:rPr>
        <w:t xml:space="preserve"> </w:t>
      </w:r>
      <w:r>
        <w:rPr>
          <w:rFonts w:ascii="Times New Roman" w:hAnsi="Times New Roman" w:cs="Times New Roman"/>
          <w:color w:val="000000" w:themeColor="text1"/>
          <w:sz w:val="21"/>
          <w:szCs w:val="21"/>
        </w:rPr>
        <w:lastRenderedPageBreak/>
        <w:t xml:space="preserve">functions were used with the default parameters. Subsequently, principal component analysis (dimensions = 25) and </w:t>
      </w:r>
      <w:proofErr w:type="spellStart"/>
      <w:r>
        <w:rPr>
          <w:rFonts w:ascii="Times New Roman" w:hAnsi="Times New Roman" w:cs="Times New Roman"/>
          <w:color w:val="000000" w:themeColor="text1"/>
          <w:sz w:val="21"/>
          <w:szCs w:val="21"/>
        </w:rPr>
        <w:t>FindClusters</w:t>
      </w:r>
      <w:proofErr w:type="spellEnd"/>
      <w:r>
        <w:rPr>
          <w:rFonts w:ascii="Times New Roman" w:hAnsi="Times New Roman" w:cs="Times New Roman"/>
          <w:color w:val="000000" w:themeColor="text1"/>
          <w:sz w:val="21"/>
          <w:szCs w:val="21"/>
        </w:rPr>
        <w:t xml:space="preserve"> (resolution = 0.5) were performed to identify the cell clusters. Single cells were subjected to t-distributed stochastic neighbor embedding to identify five cell types (T cells, B cells, CD4</w:t>
      </w:r>
      <w:r>
        <w:rPr>
          <w:rFonts w:ascii="Times New Roman" w:hAnsi="Times New Roman" w:cs="Times New Roman"/>
          <w:color w:val="000000" w:themeColor="text1"/>
          <w:sz w:val="21"/>
          <w:szCs w:val="21"/>
          <w:vertAlign w:val="superscript"/>
        </w:rPr>
        <w:t>+</w:t>
      </w:r>
      <w:r>
        <w:rPr>
          <w:rFonts w:ascii="Times New Roman" w:hAnsi="Times New Roman" w:cs="Times New Roman"/>
          <w:color w:val="000000" w:themeColor="text1"/>
          <w:sz w:val="21"/>
          <w:szCs w:val="21"/>
        </w:rPr>
        <w:t xml:space="preserve"> T cells, CD8</w:t>
      </w:r>
      <w:r>
        <w:rPr>
          <w:rFonts w:ascii="Times New Roman" w:hAnsi="Times New Roman" w:cs="Times New Roman"/>
          <w:color w:val="000000" w:themeColor="text1"/>
          <w:sz w:val="21"/>
          <w:szCs w:val="21"/>
          <w:vertAlign w:val="superscript"/>
        </w:rPr>
        <w:t>+</w:t>
      </w:r>
      <w:r>
        <w:rPr>
          <w:rFonts w:ascii="Times New Roman" w:hAnsi="Times New Roman" w:cs="Times New Roman"/>
          <w:color w:val="000000" w:themeColor="text1"/>
          <w:sz w:val="21"/>
          <w:szCs w:val="21"/>
        </w:rPr>
        <w:t xml:space="preserve">T cells, and dendritic cells) </w:t>
      </w:r>
      <w:r>
        <w:rPr>
          <w:rFonts w:ascii="Times New Roman" w:hAnsi="Times New Roman" w:cs="Times New Roman"/>
          <w:color w:val="000000" w:themeColor="text1"/>
          <w:sz w:val="21"/>
          <w:szCs w:val="21"/>
        </w:rPr>
        <w:fldChar w:fldCharType="begin">
          <w:fldData xml:space="preserve">PEVuZE5vdGU+PENpdGU+PEF1dGhvcj5Lb2JhazwvQXV0aG9yPjxZZWFyPjIwMTk8L1llYXI+PFJl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</w:fldData>
        </w:fldChar>
      </w:r>
      <w:r w:rsidR="00DB0A1C">
        <w:rPr>
          <w:rFonts w:ascii="Times New Roman" w:hAnsi="Times New Roman" w:cs="Times New Roman"/>
          <w:color w:val="000000" w:themeColor="text1"/>
          <w:sz w:val="21"/>
          <w:szCs w:val="21"/>
        </w:rPr>
        <w:instrText xml:space="preserve"> ADDIN EN.CITE </w:instrText>
      </w:r>
      <w:r w:rsidR="00DB0A1C">
        <w:rPr>
          <w:rFonts w:ascii="Times New Roman" w:hAnsi="Times New Roman" w:cs="Times New Roman"/>
          <w:color w:val="000000" w:themeColor="text1"/>
          <w:sz w:val="21"/>
          <w:szCs w:val="21"/>
        </w:rPr>
        <w:fldChar w:fldCharType="begin">
          <w:fldData xml:space="preserve">PEVuZE5vdGU+PENpdGU+PEF1dGhvcj5Lb2JhazwvQXV0aG9yPjxZZWFyPjIwMTk8L1llYXI+PFJl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</w:fldData>
        </w:fldChar>
      </w:r>
      <w:r w:rsidR="00DB0A1C">
        <w:rPr>
          <w:rFonts w:ascii="Times New Roman" w:hAnsi="Times New Roman" w:cs="Times New Roman"/>
          <w:color w:val="000000" w:themeColor="text1"/>
          <w:sz w:val="21"/>
          <w:szCs w:val="21"/>
        </w:rPr>
        <w:instrText xml:space="preserve"> ADDIN EN.CITE.DATA </w:instrText>
      </w:r>
      <w:r w:rsidR="00DB0A1C">
        <w:rPr>
          <w:rFonts w:ascii="Times New Roman" w:hAnsi="Times New Roman" w:cs="Times New Roman"/>
          <w:color w:val="000000" w:themeColor="text1"/>
          <w:sz w:val="21"/>
          <w:szCs w:val="21"/>
        </w:rPr>
      </w:r>
      <w:r w:rsidR="00DB0A1C">
        <w:rPr>
          <w:rFonts w:ascii="Times New Roman" w:hAnsi="Times New Roman" w:cs="Times New Roman"/>
          <w:color w:val="000000" w:themeColor="text1"/>
          <w:sz w:val="21"/>
          <w:szCs w:val="21"/>
        </w:rPr>
        <w:fldChar w:fldCharType="end"/>
      </w:r>
      <w:r>
        <w:rPr>
          <w:rFonts w:ascii="Times New Roman" w:hAnsi="Times New Roman" w:cs="Times New Roman"/>
          <w:color w:val="000000" w:themeColor="text1"/>
          <w:sz w:val="21"/>
          <w:szCs w:val="21"/>
        </w:rPr>
        <w:fldChar w:fldCharType="separate"/>
      </w:r>
      <w:r w:rsidR="00DB0A1C">
        <w:rPr>
          <w:rFonts w:ascii="Times New Roman" w:hAnsi="Times New Roman" w:cs="Times New Roman"/>
          <w:noProof/>
          <w:color w:val="000000" w:themeColor="text1"/>
          <w:sz w:val="21"/>
          <w:szCs w:val="21"/>
        </w:rPr>
        <w:t>[3]</w:t>
      </w:r>
      <w:r>
        <w:rPr>
          <w:rFonts w:ascii="Times New Roman" w:hAnsi="Times New Roman" w:cs="Times New Roman"/>
          <w:color w:val="000000" w:themeColor="text1"/>
          <w:sz w:val="21"/>
          <w:szCs w:val="21"/>
        </w:rPr>
        <w:fldChar w:fldCharType="end"/>
      </w:r>
      <w:r>
        <w:rPr>
          <w:rFonts w:ascii="Times New Roman" w:hAnsi="Times New Roman" w:cs="Times New Roman"/>
          <w:color w:val="000000" w:themeColor="text1"/>
          <w:sz w:val="21"/>
          <w:szCs w:val="21"/>
        </w:rPr>
        <w:t xml:space="preserve">. Following standard Seurat procedures, four subsets of B cells (naïve B cells, switched memory B cells, exhausted B cells, and plasma cells) were identified from 19,154 B cells. These subsets were then annotated using data generated using the </w:t>
      </w:r>
      <w:proofErr w:type="spellStart"/>
      <w:r>
        <w:rPr>
          <w:rFonts w:ascii="Times New Roman" w:hAnsi="Times New Roman" w:cs="Times New Roman"/>
          <w:color w:val="000000" w:themeColor="text1"/>
          <w:sz w:val="21"/>
          <w:szCs w:val="21"/>
        </w:rPr>
        <w:t>FindAllMarkers</w:t>
      </w:r>
      <w:proofErr w:type="spellEnd"/>
      <w:r>
        <w:rPr>
          <w:rFonts w:ascii="Times New Roman" w:hAnsi="Times New Roman" w:cs="Times New Roman"/>
          <w:color w:val="000000" w:themeColor="text1"/>
          <w:sz w:val="21"/>
          <w:szCs w:val="21"/>
        </w:rPr>
        <w:t xml:space="preserve"> function in the Seurat package.</w:t>
      </w:r>
    </w:p>
    <w:p w14:paraId="6583FD8F" w14:textId="77777777" w:rsidR="00AB2519" w:rsidRDefault="00AB2519">
      <w:pPr>
        <w:rPr>
          <w:rFonts w:ascii="Times New Roman" w:hAnsi="Times New Roman" w:cs="Times New Roman"/>
          <w:color w:val="000000" w:themeColor="text1"/>
          <w:sz w:val="21"/>
          <w:szCs w:val="21"/>
        </w:rPr>
      </w:pPr>
    </w:p>
    <w:p w14:paraId="13A34446" w14:textId="77777777" w:rsidR="00AB2519" w:rsidRDefault="00000000">
      <w:pPr>
        <w:rPr>
          <w:rFonts w:ascii="Times New Roman" w:hAnsi="Times New Roman" w:cs="Times New Roman"/>
          <w:b/>
          <w:bCs/>
          <w:i/>
          <w:iCs/>
          <w:color w:val="000000" w:themeColor="text1"/>
          <w:sz w:val="21"/>
          <w:szCs w:val="21"/>
        </w:rPr>
      </w:pPr>
      <w:r>
        <w:rPr>
          <w:rFonts w:ascii="Times New Roman" w:hAnsi="Times New Roman" w:cs="Times New Roman"/>
          <w:b/>
          <w:bCs/>
          <w:i/>
          <w:iCs/>
          <w:color w:val="000000" w:themeColor="text1"/>
          <w:sz w:val="21"/>
          <w:szCs w:val="21"/>
        </w:rPr>
        <w:t>Gene set enrichment of B-cell subsets</w:t>
      </w:r>
    </w:p>
    <w:p w14:paraId="797EE56D" w14:textId="77777777" w:rsidR="00AB2519" w:rsidRDefault="00AB2519">
      <w:pPr>
        <w:rPr>
          <w:rFonts w:ascii="Times New Roman" w:hAnsi="Times New Roman" w:cs="Times New Roman"/>
          <w:b/>
          <w:bCs/>
          <w:color w:val="000000" w:themeColor="text1"/>
          <w:sz w:val="21"/>
          <w:szCs w:val="21"/>
        </w:rPr>
      </w:pPr>
    </w:p>
    <w:p w14:paraId="1434890D" w14:textId="33C21ABF" w:rsidR="00AB2519" w:rsidRDefault="00000000">
      <w:pPr>
        <w:rPr>
          <w:rFonts w:ascii="Times New Roman" w:hAnsi="Times New Roman" w:cs="Times New Roman"/>
          <w:color w:val="000000" w:themeColor="text1"/>
          <w:sz w:val="21"/>
          <w:szCs w:val="21"/>
        </w:rPr>
      </w:pPr>
      <w:r>
        <w:rPr>
          <w:rFonts w:ascii="Times New Roman" w:hAnsi="Times New Roman" w:cs="Times New Roman"/>
          <w:color w:val="000000" w:themeColor="text1"/>
          <w:sz w:val="21"/>
          <w:szCs w:val="21"/>
        </w:rPr>
        <w:tab/>
        <w:t xml:space="preserve">Hallmark genes associated with B-cell subsets in NPC were evaluated using gene set enrichment analysis (GSEA) </w:t>
      </w:r>
      <w:r>
        <w:rPr>
          <w:rFonts w:ascii="Times New Roman" w:hAnsi="Times New Roman" w:cs="Times New Roman"/>
          <w:color w:val="000000" w:themeColor="text1"/>
          <w:sz w:val="21"/>
          <w:szCs w:val="21"/>
        </w:rPr>
        <w:fldChar w:fldCharType="begin"/>
      </w:r>
      <w:r w:rsidR="00DB0A1C">
        <w:rPr>
          <w:rFonts w:ascii="Times New Roman" w:hAnsi="Times New Roman" w:cs="Times New Roman"/>
          <w:color w:val="000000" w:themeColor="text1"/>
          <w:sz w:val="21"/>
          <w:szCs w:val="21"/>
        </w:rPr>
        <w:instrText xml:space="preserve"> ADDIN EN.CITE &lt;EndNote&gt;&lt;Cite&gt;&lt;Author&gt;Subramanian&lt;/Author&gt;&lt;Year&gt;2005 Oct 25&lt;/Year&gt;&lt;RecNum&gt;37&lt;/RecNum&gt;&lt;DisplayText&gt;[4]&lt;/DisplayText&gt;&lt;record&gt;&lt;rec-number&gt;37&lt;/rec-number&gt;&lt;foreign-keys&gt;&lt;key app="EN" db-id="v9tvartsq5szage5druxt22yv9zpztzwfe5s" timestamp="1697763071"&gt;37&lt;/key&gt;&lt;/foreign-keys&gt;&lt;ref-type name="Journal Article"&gt;17&lt;/ref-type&gt;&lt;contributors&gt;&lt;authors&gt;&lt;author&gt;Aravind Subramanian&lt;/author&gt;&lt;author&gt;Pablo Tamayo&lt;/author&gt;&lt;author&gt;Vamsi K Mootha&lt;/author&gt;&lt;author&gt;Sayan Mukherjee&lt;/author&gt;&lt;author&gt;Benjamin L Ebert&lt;/author&gt;&lt;author&gt;Michael A Gillette&lt;/author&gt;&lt;author&gt;Amanda Paulovich&lt;/author&gt;&lt;author&gt;Scott L Pomeroy&lt;/author&gt;&lt;author&gt;Todd R Golub&lt;/author&gt;&lt;author&gt;Eric S Lander&lt;/author&gt;&lt;author&gt;Jill P Mesirov&lt;/author&gt;&lt;/authors&gt;&lt;/contributors&gt;&lt;titles&gt;&lt;title&gt; Gene set enrichment analysis: a knowledge-based approach for interpreting genome-wide expression profiles &lt;/title&gt;&lt;secondary-title&gt; Proc Natl Acad Sci U S A&lt;/secondary-title&gt;&lt;/titles&gt;&lt;pages&gt;15545-50&lt;/pages&gt;&lt;volume&gt;102&lt;/volume&gt;&lt;number&gt;43&lt;/number&gt;&lt;dates&gt;&lt;year&gt;2005 Oct 25&lt;/year&gt;&lt;/dates&gt;&lt;urls&gt;&lt;/urls&gt;&lt;custom2&gt;PMC1239896 &lt;/custom2&gt;&lt;electronic-resource-num&gt;10.1073/pnas.0506580102 &lt;/electronic-resource-num&gt;&lt;/record&gt;&lt;/Cite&gt;&lt;/EndNote&gt;</w:instrText>
      </w:r>
      <w:r>
        <w:rPr>
          <w:rFonts w:ascii="Times New Roman" w:hAnsi="Times New Roman" w:cs="Times New Roman"/>
          <w:color w:val="000000" w:themeColor="text1"/>
          <w:sz w:val="21"/>
          <w:szCs w:val="21"/>
        </w:rPr>
        <w:fldChar w:fldCharType="separate"/>
      </w:r>
      <w:r w:rsidR="00DB0A1C">
        <w:rPr>
          <w:rFonts w:ascii="Times New Roman" w:hAnsi="Times New Roman" w:cs="Times New Roman"/>
          <w:noProof/>
          <w:color w:val="000000" w:themeColor="text1"/>
          <w:sz w:val="21"/>
          <w:szCs w:val="21"/>
        </w:rPr>
        <w:t>[4]</w:t>
      </w:r>
      <w:r>
        <w:rPr>
          <w:rFonts w:ascii="Times New Roman" w:hAnsi="Times New Roman" w:cs="Times New Roman"/>
          <w:color w:val="000000" w:themeColor="text1"/>
          <w:sz w:val="21"/>
          <w:szCs w:val="21"/>
        </w:rPr>
        <w:fldChar w:fldCharType="end"/>
      </w:r>
      <w:r>
        <w:rPr>
          <w:rFonts w:ascii="Times New Roman" w:hAnsi="Times New Roman" w:cs="Times New Roman"/>
          <w:color w:val="000000" w:themeColor="text1"/>
          <w:sz w:val="21"/>
          <w:szCs w:val="21"/>
        </w:rPr>
        <w:t>, single-sample gene set enrichment analysis (</w:t>
      </w:r>
      <w:proofErr w:type="spellStart"/>
      <w:r>
        <w:rPr>
          <w:rFonts w:ascii="Times New Roman" w:hAnsi="Times New Roman" w:cs="Times New Roman"/>
          <w:color w:val="000000" w:themeColor="text1"/>
          <w:sz w:val="21"/>
          <w:szCs w:val="21"/>
        </w:rPr>
        <w:t>ssGSEA</w:t>
      </w:r>
      <w:proofErr w:type="spellEnd"/>
      <w:r>
        <w:rPr>
          <w:rFonts w:ascii="Times New Roman" w:hAnsi="Times New Roman" w:cs="Times New Roman"/>
          <w:color w:val="000000" w:themeColor="text1"/>
          <w:sz w:val="21"/>
          <w:szCs w:val="21"/>
        </w:rPr>
        <w:t xml:space="preserve">) </w:t>
      </w:r>
      <w:r>
        <w:rPr>
          <w:rFonts w:ascii="Times New Roman" w:hAnsi="Times New Roman" w:cs="Times New Roman"/>
          <w:color w:val="000000" w:themeColor="text1"/>
          <w:sz w:val="21"/>
          <w:szCs w:val="21"/>
        </w:rPr>
        <w:fldChar w:fldCharType="begin">
          <w:fldData xml:space="preserve">PEVuZE5vdGU+PENpdGU+PEF1dGhvcj5CYXJiaWU8L0F1dGhvcj48WWVhcj4yMDA5PC9ZZWFyPjxS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</w:fldData>
        </w:fldChar>
      </w:r>
      <w:r w:rsidR="00DB0A1C">
        <w:rPr>
          <w:rFonts w:ascii="Times New Roman" w:hAnsi="Times New Roman" w:cs="Times New Roman"/>
          <w:color w:val="000000" w:themeColor="text1"/>
          <w:sz w:val="21"/>
          <w:szCs w:val="21"/>
        </w:rPr>
        <w:instrText xml:space="preserve"> ADDIN EN.CITE </w:instrText>
      </w:r>
      <w:r w:rsidR="00DB0A1C">
        <w:rPr>
          <w:rFonts w:ascii="Times New Roman" w:hAnsi="Times New Roman" w:cs="Times New Roman"/>
          <w:color w:val="000000" w:themeColor="text1"/>
          <w:sz w:val="21"/>
          <w:szCs w:val="21"/>
        </w:rPr>
        <w:fldChar w:fldCharType="begin">
          <w:fldData xml:space="preserve">PEVuZE5vdGU+PENpdGU+PEF1dGhvcj5CYXJiaWU8L0F1dGhvcj48WWVhcj4yMDA5PC9ZZWFyPjxS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</w:fldData>
        </w:fldChar>
      </w:r>
      <w:r w:rsidR="00DB0A1C">
        <w:rPr>
          <w:rFonts w:ascii="Times New Roman" w:hAnsi="Times New Roman" w:cs="Times New Roman"/>
          <w:color w:val="000000" w:themeColor="text1"/>
          <w:sz w:val="21"/>
          <w:szCs w:val="21"/>
        </w:rPr>
        <w:instrText xml:space="preserve"> ADDIN EN.CITE.DATA </w:instrText>
      </w:r>
      <w:r w:rsidR="00DB0A1C">
        <w:rPr>
          <w:rFonts w:ascii="Times New Roman" w:hAnsi="Times New Roman" w:cs="Times New Roman"/>
          <w:color w:val="000000" w:themeColor="text1"/>
          <w:sz w:val="21"/>
          <w:szCs w:val="21"/>
        </w:rPr>
      </w:r>
      <w:r w:rsidR="00DB0A1C">
        <w:rPr>
          <w:rFonts w:ascii="Times New Roman" w:hAnsi="Times New Roman" w:cs="Times New Roman"/>
          <w:color w:val="000000" w:themeColor="text1"/>
          <w:sz w:val="21"/>
          <w:szCs w:val="21"/>
        </w:rPr>
        <w:fldChar w:fldCharType="end"/>
      </w:r>
      <w:r>
        <w:rPr>
          <w:rFonts w:ascii="Times New Roman" w:hAnsi="Times New Roman" w:cs="Times New Roman"/>
          <w:color w:val="000000" w:themeColor="text1"/>
          <w:sz w:val="21"/>
          <w:szCs w:val="21"/>
        </w:rPr>
        <w:fldChar w:fldCharType="separate"/>
      </w:r>
      <w:r w:rsidR="00DB0A1C">
        <w:rPr>
          <w:rFonts w:ascii="Times New Roman" w:hAnsi="Times New Roman" w:cs="Times New Roman"/>
          <w:noProof/>
          <w:color w:val="000000" w:themeColor="text1"/>
          <w:sz w:val="21"/>
          <w:szCs w:val="21"/>
        </w:rPr>
        <w:t>[5]</w:t>
      </w:r>
      <w:r>
        <w:rPr>
          <w:rFonts w:ascii="Times New Roman" w:hAnsi="Times New Roman" w:cs="Times New Roman"/>
          <w:color w:val="000000" w:themeColor="text1"/>
          <w:sz w:val="21"/>
          <w:szCs w:val="21"/>
        </w:rPr>
        <w:fldChar w:fldCharType="end"/>
      </w:r>
      <w:r>
        <w:rPr>
          <w:rFonts w:ascii="Times New Roman" w:hAnsi="Times New Roman" w:cs="Times New Roman"/>
          <w:color w:val="000000" w:themeColor="text1"/>
          <w:sz w:val="21"/>
          <w:szCs w:val="21"/>
        </w:rPr>
        <w:t xml:space="preserve">, and gene set variation analyses (GSVA) </w:t>
      </w:r>
      <w:r>
        <w:rPr>
          <w:rFonts w:ascii="Times New Roman" w:hAnsi="Times New Roman" w:cs="Times New Roman"/>
          <w:color w:val="000000" w:themeColor="text1"/>
          <w:sz w:val="21"/>
          <w:szCs w:val="21"/>
        </w:rPr>
        <w:fldChar w:fldCharType="begin"/>
      </w:r>
      <w:r w:rsidR="00DB0A1C">
        <w:rPr>
          <w:rFonts w:ascii="Times New Roman" w:hAnsi="Times New Roman" w:cs="Times New Roman"/>
          <w:color w:val="000000" w:themeColor="text1"/>
          <w:sz w:val="21"/>
          <w:szCs w:val="21"/>
        </w:rPr>
        <w:instrText xml:space="preserve"> ADDIN EN.CITE &lt;EndNote&gt;&lt;Cite&gt;&lt;Author&gt;Hänzelmann&lt;/Author&gt;&lt;Year&gt;2013 Jan 16&lt;/Year&gt;&lt;RecNum&gt;39&lt;/RecNum&gt;&lt;DisplayText&gt;[6]&lt;/DisplayText&gt;&lt;record&gt;&lt;rec-number&gt;39&lt;/rec-number&gt;&lt;foreign-keys&gt;&lt;key app="EN" db-id="v9tvartsq5szage5druxt22yv9zpztzwfe5s" timestamp="1697763642"&gt;39&lt;/key&gt;&lt;/foreign-keys&gt;&lt;ref-type name="Journal Article"&gt;17&lt;/ref-type&gt;&lt;contributors&gt;&lt;authors&gt;&lt;author&gt;Sonja Hänzelmann&lt;/author&gt;&lt;author&gt;Robert Castelo&lt;/author&gt;&lt;author&gt;Justin Guinney&lt;/author&gt;&lt;/authors&gt;&lt;/contributors&gt;&lt;titles&gt;&lt;title&gt;GSVA: gene set variation analysis for microarray and RNA-seq data &lt;/title&gt;&lt;secondary-title&gt; BMC Bioinformatics&lt;/secondary-title&gt;&lt;/titles&gt;&lt;pages&gt;7&lt;/pages&gt;&lt;volume&gt;16&lt;/volume&gt;&lt;number&gt;14&lt;/number&gt;&lt;dates&gt;&lt;year&gt;2013 Jan 16&lt;/year&gt;&lt;/dates&gt;&lt;urls&gt;&lt;/urls&gt;&lt;custom2&gt;PMC3618321 &lt;/custom2&gt;&lt;electronic-resource-num&gt;10.1186/1471-2105-14-7&lt;/electronic-resource-num&gt;&lt;/record&gt;&lt;/Cite&gt;&lt;/EndNote&gt;</w:instrText>
      </w:r>
      <w:r>
        <w:rPr>
          <w:rFonts w:ascii="Times New Roman" w:hAnsi="Times New Roman" w:cs="Times New Roman"/>
          <w:color w:val="000000" w:themeColor="text1"/>
          <w:sz w:val="21"/>
          <w:szCs w:val="21"/>
        </w:rPr>
        <w:fldChar w:fldCharType="separate"/>
      </w:r>
      <w:r w:rsidR="00DB0A1C">
        <w:rPr>
          <w:rFonts w:ascii="Times New Roman" w:hAnsi="Times New Roman" w:cs="Times New Roman"/>
          <w:noProof/>
          <w:color w:val="000000" w:themeColor="text1"/>
          <w:sz w:val="21"/>
          <w:szCs w:val="21"/>
        </w:rPr>
        <w:t>[6]</w:t>
      </w:r>
      <w:r>
        <w:rPr>
          <w:rFonts w:ascii="Times New Roman" w:hAnsi="Times New Roman" w:cs="Times New Roman"/>
          <w:color w:val="000000" w:themeColor="text1"/>
          <w:sz w:val="21"/>
          <w:szCs w:val="21"/>
        </w:rPr>
        <w:fldChar w:fldCharType="end"/>
      </w:r>
      <w:r>
        <w:rPr>
          <w:rFonts w:ascii="Times New Roman" w:hAnsi="Times New Roman" w:cs="Times New Roman"/>
          <w:color w:val="000000" w:themeColor="text1"/>
          <w:sz w:val="21"/>
          <w:szCs w:val="21"/>
        </w:rPr>
        <w:t xml:space="preserve">. GSEA classifies genes based on genomic annotation; </w:t>
      </w:r>
      <w:proofErr w:type="spellStart"/>
      <w:r>
        <w:rPr>
          <w:rFonts w:ascii="Times New Roman" w:hAnsi="Times New Roman" w:cs="Times New Roman"/>
          <w:color w:val="000000" w:themeColor="text1"/>
          <w:sz w:val="21"/>
          <w:szCs w:val="21"/>
        </w:rPr>
        <w:t>ssGSEA</w:t>
      </w:r>
      <w:proofErr w:type="spellEnd"/>
      <w:r>
        <w:rPr>
          <w:rFonts w:ascii="Times New Roman" w:hAnsi="Times New Roman" w:cs="Times New Roman"/>
          <w:color w:val="000000" w:themeColor="text1"/>
          <w:sz w:val="21"/>
          <w:szCs w:val="21"/>
        </w:rPr>
        <w:t xml:space="preserve"> is a special type of GSEA that is mainly used for single samples that cannot be subject to the classical GSEA approach, along with proposal of an implementation method. GSVA is a non-parametric, unsupervised method for estimating gene set enrichment variation according to the expression levels of samples from sequencing datasets. GSEA was conducted using the R package “</w:t>
      </w:r>
      <w:proofErr w:type="spellStart"/>
      <w:r>
        <w:rPr>
          <w:rFonts w:ascii="Times New Roman" w:hAnsi="Times New Roman" w:cs="Times New Roman"/>
          <w:color w:val="000000" w:themeColor="text1"/>
          <w:sz w:val="21"/>
          <w:szCs w:val="21"/>
        </w:rPr>
        <w:t>clusterProfiler</w:t>
      </w:r>
      <w:proofErr w:type="spellEnd"/>
      <w:r>
        <w:rPr>
          <w:rFonts w:ascii="Times New Roman" w:hAnsi="Times New Roman" w:cs="Times New Roman"/>
          <w:color w:val="000000" w:themeColor="text1"/>
          <w:sz w:val="21"/>
          <w:szCs w:val="21"/>
        </w:rPr>
        <w:t xml:space="preserve">” </w:t>
      </w:r>
      <w:r>
        <w:rPr>
          <w:rFonts w:ascii="Times New Roman" w:hAnsi="Times New Roman" w:cs="Times New Roman"/>
          <w:color w:val="000000" w:themeColor="text1"/>
          <w:sz w:val="21"/>
          <w:szCs w:val="21"/>
        </w:rPr>
        <w:fldChar w:fldCharType="begin"/>
      </w:r>
      <w:r w:rsidR="00DB0A1C">
        <w:rPr>
          <w:rFonts w:ascii="Times New Roman" w:hAnsi="Times New Roman" w:cs="Times New Roman"/>
          <w:color w:val="000000" w:themeColor="text1"/>
          <w:sz w:val="21"/>
          <w:szCs w:val="21"/>
        </w:rPr>
        <w:instrText xml:space="preserve"> ADDIN EN.CITE &lt;EndNote&gt;&lt;Cite&gt;&lt;Author&gt;Yu&lt;/Author&gt;&lt;Year&gt;2012&lt;/Year&gt;&lt;RecNum&gt;41&lt;/RecNum&gt;&lt;DisplayText&gt;[7]&lt;/DisplayText&gt;&lt;record&gt;&lt;rec-number&gt;41&lt;/rec-number&gt;&lt;foreign-keys&gt;&lt;key app="EN" db-id="v9tvartsq5szage5druxt22yv9zpztzwfe5s" timestamp="1697764792"&gt;41&lt;/key&gt;&lt;/foreign-keys&gt;&lt;ref-type name="Journal Article"&gt;17&lt;/ref-type&gt;&lt;contributors&gt;&lt;authors&gt;&lt;author&gt;Yu, G.&lt;/author&gt;&lt;author&gt;Wang, L. G.&lt;/author&gt;&lt;author&gt;Han, Y.&lt;/author&gt;&lt;author&gt;He, Q. Y.&lt;/author&gt;&lt;/authors&gt;&lt;/contributors&gt;&lt;auth-address&gt;Institute of Life and Health Engineering, Key Laboratory of Functional Protein Research of Guangdong Higher Education Institutes, Jinan University, Guangzhou, People&amp;apos;s Republic of China.&lt;/auth-address&gt;&lt;titles&gt;&lt;title&gt;clusterProfiler: an R package for comparing biological themes among gene clusters&lt;/title&gt;&lt;secondary-title&gt;OMICS&lt;/secondary-title&gt;&lt;/titles&gt;&lt;periodical&gt;&lt;full-title&gt;OMICS&lt;/full-title&gt;&lt;/periodical&gt;&lt;pages&gt;284-7&lt;/pages&gt;&lt;volume&gt;16&lt;/volume&gt;&lt;number&gt;5&lt;/number&gt;&lt;edition&gt;2012/03/30&lt;/edition&gt;&lt;keywords&gt;&lt;keyword&gt;Animals&lt;/keyword&gt;&lt;keyword&gt;Gene Expression Profiling/*methods&lt;/keyword&gt;&lt;keyword&gt;Humans&lt;/keyword&gt;&lt;keyword&gt;Mice&lt;/keyword&gt;&lt;keyword&gt;*Multigene Family&lt;/keyword&gt;&lt;keyword&gt;Programming Languages&lt;/keyword&gt;&lt;keyword&gt;Proteomics/*methods&lt;/keyword&gt;&lt;keyword&gt;Software&lt;/keyword&gt;&lt;keyword&gt;*Transcriptome&lt;/keyword&gt;&lt;keyword&gt;Yeasts&lt;/keyword&gt;&lt;/keywords&gt;&lt;dates&gt;&lt;year&gt;2012&lt;/year&gt;&lt;pub-dates&gt;&lt;date&gt;May&lt;/date&gt;&lt;/pub-dates&gt;&lt;/dates&gt;&lt;isbn&gt;1557-8100 (Electronic)&amp;#xD;1536-2310 (Print)&amp;#xD;1536-2310 (Linking)&lt;/isbn&gt;&lt;accession-num&gt;22455463&lt;/accession-num&gt;&lt;urls&gt;&lt;related-urls&gt;&lt;url&gt;https://www.ncbi.nlm.nih.gov/pubmed/22455463&lt;/url&gt;&lt;/related-urls&gt;&lt;/urls&gt;&lt;custom2&gt;PMC3339379&lt;/custom2&gt;&lt;electronic-resource-num&gt;10.1089/omi.2011.0118&lt;/electronic-resource-num&gt;&lt;/record&gt;&lt;/Cite&gt;&lt;/EndNote&gt;</w:instrText>
      </w:r>
      <w:r>
        <w:rPr>
          <w:rFonts w:ascii="Times New Roman" w:hAnsi="Times New Roman" w:cs="Times New Roman"/>
          <w:color w:val="000000" w:themeColor="text1"/>
          <w:sz w:val="21"/>
          <w:szCs w:val="21"/>
        </w:rPr>
        <w:fldChar w:fldCharType="separate"/>
      </w:r>
      <w:r w:rsidR="00DB0A1C">
        <w:rPr>
          <w:rFonts w:ascii="Times New Roman" w:hAnsi="Times New Roman" w:cs="Times New Roman"/>
          <w:noProof/>
          <w:color w:val="000000" w:themeColor="text1"/>
          <w:sz w:val="21"/>
          <w:szCs w:val="21"/>
        </w:rPr>
        <w:t>[7]</w:t>
      </w:r>
      <w:r>
        <w:rPr>
          <w:rFonts w:ascii="Times New Roman" w:hAnsi="Times New Roman" w:cs="Times New Roman"/>
          <w:color w:val="000000" w:themeColor="text1"/>
          <w:sz w:val="21"/>
          <w:szCs w:val="21"/>
        </w:rPr>
        <w:fldChar w:fldCharType="end"/>
      </w:r>
      <w:r>
        <w:rPr>
          <w:rFonts w:ascii="Times New Roman" w:hAnsi="Times New Roman" w:cs="Times New Roman"/>
          <w:color w:val="000000" w:themeColor="text1"/>
          <w:sz w:val="21"/>
          <w:szCs w:val="21"/>
        </w:rPr>
        <w:t xml:space="preserve">, whereas </w:t>
      </w:r>
      <w:proofErr w:type="spellStart"/>
      <w:r>
        <w:rPr>
          <w:rFonts w:ascii="Times New Roman" w:hAnsi="Times New Roman" w:cs="Times New Roman"/>
          <w:color w:val="000000" w:themeColor="text1"/>
          <w:sz w:val="21"/>
          <w:szCs w:val="21"/>
        </w:rPr>
        <w:t>ssGSEA</w:t>
      </w:r>
      <w:proofErr w:type="spellEnd"/>
      <w:r>
        <w:rPr>
          <w:rFonts w:ascii="Times New Roman" w:hAnsi="Times New Roman" w:cs="Times New Roman"/>
          <w:color w:val="000000" w:themeColor="text1"/>
          <w:sz w:val="21"/>
          <w:szCs w:val="21"/>
        </w:rPr>
        <w:t xml:space="preserve"> and GSVA were conducted using the R package “GSVA.” Trajectory analysis for all B-cell subsets was performed using the R package “monocle.”</w:t>
      </w:r>
    </w:p>
    <w:p w14:paraId="3E7A7457" w14:textId="77777777" w:rsidR="00AB2519" w:rsidRDefault="00AB2519">
      <w:pPr>
        <w:rPr>
          <w:rFonts w:ascii="Times New Roman" w:hAnsi="Times New Roman" w:cs="Times New Roman"/>
          <w:color w:val="000000" w:themeColor="text1"/>
          <w:sz w:val="21"/>
          <w:szCs w:val="21"/>
        </w:rPr>
      </w:pPr>
    </w:p>
    <w:p w14:paraId="7ACE056B" w14:textId="77777777" w:rsidR="00AB2519" w:rsidRDefault="00000000">
      <w:pPr>
        <w:rPr>
          <w:rFonts w:ascii="Times New Roman" w:hAnsi="Times New Roman" w:cs="Times New Roman"/>
          <w:b/>
          <w:bCs/>
          <w:i/>
          <w:iCs/>
          <w:color w:val="000000" w:themeColor="text1"/>
          <w:sz w:val="21"/>
          <w:szCs w:val="21"/>
        </w:rPr>
      </w:pPr>
      <w:r>
        <w:rPr>
          <w:rFonts w:ascii="Times New Roman" w:hAnsi="Times New Roman" w:cs="Times New Roman"/>
          <w:b/>
          <w:bCs/>
          <w:i/>
          <w:iCs/>
          <w:color w:val="000000" w:themeColor="text1"/>
          <w:sz w:val="21"/>
          <w:szCs w:val="21"/>
        </w:rPr>
        <w:t>Differentially expressed genes according to B-cell infiltration levels</w:t>
      </w:r>
    </w:p>
    <w:p w14:paraId="4CB2D594" w14:textId="77777777" w:rsidR="00AB2519" w:rsidRDefault="00AB2519">
      <w:pPr>
        <w:rPr>
          <w:rFonts w:ascii="Times New Roman" w:hAnsi="Times New Roman" w:cs="Times New Roman"/>
          <w:b/>
          <w:bCs/>
          <w:color w:val="000000" w:themeColor="text1"/>
          <w:sz w:val="21"/>
          <w:szCs w:val="21"/>
        </w:rPr>
      </w:pPr>
    </w:p>
    <w:p w14:paraId="03B8646A" w14:textId="14846D36" w:rsidR="00AB2519" w:rsidRDefault="00000000">
      <w:pPr>
        <w:rPr>
          <w:rFonts w:ascii="Times New Roman" w:hAnsi="Times New Roman" w:cs="Times New Roman"/>
          <w:color w:val="000000" w:themeColor="text1"/>
          <w:sz w:val="21"/>
          <w:szCs w:val="21"/>
        </w:rPr>
      </w:pPr>
      <w:r>
        <w:rPr>
          <w:rFonts w:ascii="Times New Roman" w:hAnsi="Times New Roman" w:cs="Times New Roman"/>
          <w:color w:val="000000" w:themeColor="text1"/>
          <w:sz w:val="21"/>
          <w:szCs w:val="21"/>
        </w:rPr>
        <w:t>Differential gene expression analysis of samples with high and low levels of infiltrating B cells</w:t>
      </w:r>
      <w:r>
        <w:rPr>
          <w:rFonts w:ascii="Times New Roman" w:hAnsi="Times New Roman" w:cs="Times New Roman"/>
          <w:color w:val="000000" w:themeColor="text1"/>
          <w:sz w:val="21"/>
          <w:szCs w:val="21"/>
        </w:rPr>
        <w:t>（</w:t>
      </w:r>
      <w:r>
        <w:rPr>
          <w:rFonts w:ascii="Times New Roman" w:hAnsi="Times New Roman" w:cs="Times New Roman"/>
          <w:color w:val="000000" w:themeColor="text1"/>
          <w:sz w:val="21"/>
          <w:szCs w:val="21"/>
        </w:rPr>
        <w:t>based on the median value of infiltration</w:t>
      </w:r>
      <w:r>
        <w:rPr>
          <w:rFonts w:ascii="Times New Roman" w:hAnsi="Times New Roman" w:cs="Times New Roman"/>
          <w:color w:val="000000" w:themeColor="text1"/>
          <w:sz w:val="21"/>
          <w:szCs w:val="21"/>
        </w:rPr>
        <w:t>）</w:t>
      </w:r>
      <w:r>
        <w:rPr>
          <w:rFonts w:ascii="Times New Roman" w:hAnsi="Times New Roman" w:cs="Times New Roman"/>
          <w:color w:val="000000" w:themeColor="text1"/>
          <w:sz w:val="21"/>
          <w:szCs w:val="21"/>
        </w:rPr>
        <w:t>was conducted in the GSE102349 dataset using the R package “</w:t>
      </w:r>
      <w:proofErr w:type="spellStart"/>
      <w:r>
        <w:rPr>
          <w:rFonts w:ascii="Times New Roman" w:hAnsi="Times New Roman" w:cs="Times New Roman"/>
          <w:color w:val="000000" w:themeColor="text1"/>
          <w:sz w:val="21"/>
          <w:szCs w:val="21"/>
        </w:rPr>
        <w:t>limma</w:t>
      </w:r>
      <w:proofErr w:type="spellEnd"/>
      <w:r>
        <w:rPr>
          <w:rFonts w:ascii="Times New Roman" w:hAnsi="Times New Roman" w:cs="Times New Roman"/>
          <w:color w:val="000000" w:themeColor="text1"/>
          <w:sz w:val="21"/>
          <w:szCs w:val="21"/>
        </w:rPr>
        <w:t xml:space="preserve">” </w:t>
      </w:r>
      <w:r>
        <w:rPr>
          <w:rFonts w:ascii="Times New Roman" w:hAnsi="Times New Roman" w:cs="Times New Roman"/>
          <w:color w:val="000000" w:themeColor="text1"/>
          <w:sz w:val="21"/>
          <w:szCs w:val="21"/>
        </w:rPr>
        <w:fldChar w:fldCharType="begin">
          <w:fldData xml:space="preserve">PEVuZE5vdGU+PENpdGU+PEF1dGhvcj5SaXRjaGllPC9BdXRob3I+PFllYXI+MjAxNTwvWWVhcj48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</w:fldData>
        </w:fldChar>
      </w:r>
      <w:r w:rsidR="00DB0A1C">
        <w:rPr>
          <w:rFonts w:ascii="Times New Roman" w:hAnsi="Times New Roman" w:cs="Times New Roman"/>
          <w:color w:val="000000" w:themeColor="text1"/>
          <w:sz w:val="21"/>
          <w:szCs w:val="21"/>
        </w:rPr>
        <w:instrText xml:space="preserve"> ADDIN EN.CITE </w:instrText>
      </w:r>
      <w:r w:rsidR="00DB0A1C">
        <w:rPr>
          <w:rFonts w:ascii="Times New Roman" w:hAnsi="Times New Roman" w:cs="Times New Roman"/>
          <w:color w:val="000000" w:themeColor="text1"/>
          <w:sz w:val="21"/>
          <w:szCs w:val="21"/>
        </w:rPr>
        <w:fldChar w:fldCharType="begin">
          <w:fldData xml:space="preserve">PEVuZE5vdGU+PENpdGU+PEF1dGhvcj5SaXRjaGllPC9BdXRob3I+PFllYXI+MjAxNTwvWWVhcj48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</w:fldData>
        </w:fldChar>
      </w:r>
      <w:r w:rsidR="00DB0A1C">
        <w:rPr>
          <w:rFonts w:ascii="Times New Roman" w:hAnsi="Times New Roman" w:cs="Times New Roman"/>
          <w:color w:val="000000" w:themeColor="text1"/>
          <w:sz w:val="21"/>
          <w:szCs w:val="21"/>
        </w:rPr>
        <w:instrText xml:space="preserve"> ADDIN EN.CITE.DATA </w:instrText>
      </w:r>
      <w:r w:rsidR="00DB0A1C">
        <w:rPr>
          <w:rFonts w:ascii="Times New Roman" w:hAnsi="Times New Roman" w:cs="Times New Roman"/>
          <w:color w:val="000000" w:themeColor="text1"/>
          <w:sz w:val="21"/>
          <w:szCs w:val="21"/>
        </w:rPr>
      </w:r>
      <w:r w:rsidR="00DB0A1C">
        <w:rPr>
          <w:rFonts w:ascii="Times New Roman" w:hAnsi="Times New Roman" w:cs="Times New Roman"/>
          <w:color w:val="000000" w:themeColor="text1"/>
          <w:sz w:val="21"/>
          <w:szCs w:val="21"/>
        </w:rPr>
        <w:fldChar w:fldCharType="end"/>
      </w:r>
      <w:r>
        <w:rPr>
          <w:rFonts w:ascii="Times New Roman" w:hAnsi="Times New Roman" w:cs="Times New Roman"/>
          <w:color w:val="000000" w:themeColor="text1"/>
          <w:sz w:val="21"/>
          <w:szCs w:val="21"/>
        </w:rPr>
        <w:fldChar w:fldCharType="separate"/>
      </w:r>
      <w:r w:rsidR="00DB0A1C">
        <w:rPr>
          <w:rFonts w:ascii="Times New Roman" w:hAnsi="Times New Roman" w:cs="Times New Roman"/>
          <w:noProof/>
          <w:color w:val="000000" w:themeColor="text1"/>
          <w:sz w:val="21"/>
          <w:szCs w:val="21"/>
        </w:rPr>
        <w:t>[8]</w:t>
      </w:r>
      <w:r>
        <w:rPr>
          <w:rFonts w:ascii="Times New Roman" w:hAnsi="Times New Roman" w:cs="Times New Roman"/>
          <w:color w:val="000000" w:themeColor="text1"/>
          <w:sz w:val="21"/>
          <w:szCs w:val="21"/>
        </w:rPr>
        <w:fldChar w:fldCharType="end"/>
      </w:r>
      <w:r>
        <w:rPr>
          <w:rFonts w:ascii="Times New Roman" w:hAnsi="Times New Roman" w:cs="Times New Roman"/>
          <w:color w:val="000000" w:themeColor="text1"/>
          <w:sz w:val="21"/>
          <w:szCs w:val="21"/>
        </w:rPr>
        <w:t xml:space="preserve">  according to thresholds of p &lt; 0.05 and |log fold change| &gt; 1. The differentially expressed genes (DEGs) were visualized with heatmaps and volcano plots using the R package “</w:t>
      </w:r>
      <w:proofErr w:type="spellStart"/>
      <w:r>
        <w:rPr>
          <w:rFonts w:ascii="Times New Roman" w:hAnsi="Times New Roman" w:cs="Times New Roman"/>
          <w:color w:val="000000" w:themeColor="text1"/>
          <w:sz w:val="21"/>
          <w:szCs w:val="21"/>
        </w:rPr>
        <w:t>pheatmap</w:t>
      </w:r>
      <w:proofErr w:type="spellEnd"/>
      <w:r>
        <w:rPr>
          <w:rFonts w:ascii="Times New Roman" w:hAnsi="Times New Roman" w:cs="Times New Roman"/>
          <w:color w:val="000000" w:themeColor="text1"/>
          <w:sz w:val="21"/>
          <w:szCs w:val="21"/>
        </w:rPr>
        <w:t>” and “</w:t>
      </w:r>
      <w:proofErr w:type="spellStart"/>
      <w:r>
        <w:rPr>
          <w:rFonts w:ascii="Times New Roman" w:hAnsi="Times New Roman" w:cs="Times New Roman"/>
          <w:color w:val="000000" w:themeColor="text1"/>
          <w:sz w:val="21"/>
          <w:szCs w:val="21"/>
        </w:rPr>
        <w:t>EnhancedVolcano</w:t>
      </w:r>
      <w:proofErr w:type="spellEnd"/>
      <w:r>
        <w:rPr>
          <w:rFonts w:ascii="Times New Roman" w:hAnsi="Times New Roman" w:cs="Times New Roman"/>
          <w:color w:val="000000" w:themeColor="text1"/>
          <w:sz w:val="21"/>
          <w:szCs w:val="21"/>
        </w:rPr>
        <w:t>,” respectively.</w:t>
      </w:r>
    </w:p>
    <w:p w14:paraId="53F0DB39" w14:textId="77777777" w:rsidR="00AB2519" w:rsidRDefault="00AB2519">
      <w:pPr>
        <w:rPr>
          <w:rFonts w:ascii="Times New Roman" w:hAnsi="Times New Roman" w:cs="Times New Roman"/>
          <w:color w:val="000000" w:themeColor="text1"/>
          <w:sz w:val="21"/>
          <w:szCs w:val="21"/>
        </w:rPr>
      </w:pPr>
    </w:p>
    <w:p w14:paraId="5A16F3B2" w14:textId="77777777" w:rsidR="00AB2519" w:rsidRDefault="00000000">
      <w:pPr>
        <w:rPr>
          <w:rFonts w:ascii="Times New Roman" w:hAnsi="Times New Roman" w:cs="Times New Roman"/>
          <w:i/>
          <w:iCs/>
          <w:color w:val="000000" w:themeColor="text1"/>
          <w:sz w:val="21"/>
          <w:szCs w:val="21"/>
        </w:rPr>
      </w:pPr>
      <w:r>
        <w:rPr>
          <w:rFonts w:ascii="Times New Roman" w:hAnsi="Times New Roman" w:cs="Times New Roman"/>
          <w:b/>
          <w:bCs/>
          <w:i/>
          <w:iCs/>
          <w:color w:val="000000" w:themeColor="text1"/>
          <w:sz w:val="21"/>
          <w:szCs w:val="21"/>
        </w:rPr>
        <w:t>Pathway and functional enrichment analysis</w:t>
      </w:r>
      <w:r>
        <w:rPr>
          <w:rFonts w:ascii="Times New Roman" w:hAnsi="Times New Roman" w:cs="Times New Roman"/>
          <w:i/>
          <w:iCs/>
          <w:color w:val="000000" w:themeColor="text1"/>
          <w:sz w:val="21"/>
          <w:szCs w:val="21"/>
        </w:rPr>
        <w:tab/>
      </w:r>
    </w:p>
    <w:p w14:paraId="3D8FD346" w14:textId="77777777" w:rsidR="00AB2519" w:rsidRDefault="00AB2519">
      <w:pPr>
        <w:rPr>
          <w:rFonts w:ascii="Times New Roman" w:hAnsi="Times New Roman" w:cs="Times New Roman"/>
          <w:color w:val="000000" w:themeColor="text1"/>
          <w:sz w:val="21"/>
          <w:szCs w:val="21"/>
        </w:rPr>
      </w:pPr>
    </w:p>
    <w:p w14:paraId="51A8F594" w14:textId="1A20BE4C" w:rsidR="00AB2519" w:rsidRDefault="00000000">
      <w:pPr>
        <w:rPr>
          <w:rFonts w:ascii="Times New Roman" w:hAnsi="Times New Roman" w:cs="Times New Roman"/>
          <w:color w:val="000000" w:themeColor="text1"/>
          <w:sz w:val="21"/>
          <w:szCs w:val="21"/>
        </w:rPr>
      </w:pPr>
      <w:r>
        <w:rPr>
          <w:rFonts w:ascii="Times New Roman" w:hAnsi="Times New Roman" w:cs="Times New Roman"/>
          <w:color w:val="000000" w:themeColor="text1"/>
          <w:sz w:val="21"/>
          <w:szCs w:val="21"/>
        </w:rPr>
        <w:tab/>
        <w:t>Pathway and functional enrichment analyses of the DEGs between high- and low-infiltrating B-cell groups were performed with Kyoko Encyclopedia of Genes and Genomes (KEGG) and Gene Ontology (GO) databases using the R package “</w:t>
      </w:r>
      <w:proofErr w:type="spellStart"/>
      <w:r>
        <w:rPr>
          <w:rFonts w:ascii="Times New Roman" w:hAnsi="Times New Roman" w:cs="Times New Roman"/>
          <w:color w:val="000000" w:themeColor="text1"/>
          <w:sz w:val="21"/>
          <w:szCs w:val="21"/>
        </w:rPr>
        <w:t>ClusterProfiler</w:t>
      </w:r>
      <w:proofErr w:type="spellEnd"/>
      <w:r>
        <w:rPr>
          <w:rFonts w:ascii="Times New Roman" w:hAnsi="Times New Roman" w:cs="Times New Roman"/>
          <w:color w:val="000000" w:themeColor="text1"/>
          <w:sz w:val="21"/>
          <w:szCs w:val="21"/>
        </w:rPr>
        <w:t>” (version 4.0.5)</w:t>
      </w:r>
      <w:r>
        <w:rPr>
          <w:rFonts w:ascii="Times New Roman" w:hAnsi="Times New Roman" w:cs="Times New Roman"/>
          <w:color w:val="000000" w:themeColor="text1"/>
          <w:sz w:val="21"/>
          <w:szCs w:val="21"/>
        </w:rPr>
        <w:fldChar w:fldCharType="begin"/>
      </w:r>
      <w:r w:rsidR="00DB0A1C">
        <w:rPr>
          <w:rFonts w:ascii="Times New Roman" w:hAnsi="Times New Roman" w:cs="Times New Roman"/>
          <w:color w:val="000000" w:themeColor="text1"/>
          <w:sz w:val="21"/>
          <w:szCs w:val="21"/>
        </w:rPr>
        <w:instrText xml:space="preserve"> ADDIN EN.CITE &lt;EndNote&gt;&lt;Cite&gt;&lt;Author&gt;Yu&lt;/Author&gt;&lt;Year&gt;2012&lt;/Year&gt;&lt;RecNum&gt;41&lt;/RecNum&gt;&lt;DisplayText&gt;[7]&lt;/DisplayText&gt;&lt;record&gt;&lt;rec-number&gt;41&lt;/rec-number&gt;&lt;foreign-keys&gt;&lt;key app="EN" db-id="v9tvartsq5szage5druxt22yv9zpztzwfe5s" timestamp="1697764792"&gt;41&lt;/key&gt;&lt;/foreign-keys&gt;&lt;ref-type name="Journal Article"&gt;17&lt;/ref-type&gt;&lt;contributors&gt;&lt;authors&gt;&lt;author&gt;Yu, G.&lt;/author&gt;&lt;author&gt;Wang, L. G.&lt;/author&gt;&lt;author&gt;Han, Y.&lt;/author&gt;&lt;author&gt;He, Q. Y.&lt;/author&gt;&lt;/authors&gt;&lt;/contributors&gt;&lt;auth-address&gt;Institute of Life and Health Engineering, Key Laboratory of Functional Protein Research of Guangdong Higher Education Institutes, Jinan University, Guangzhou, People&amp;apos;s Republic of China.&lt;/auth-address&gt;&lt;titles&gt;&lt;title&gt;clusterProfiler: an R package for comparing biological themes among gene clusters&lt;/title&gt;&lt;secondary-title&gt;OMICS&lt;/secondary-title&gt;&lt;/titles&gt;&lt;periodical&gt;&lt;full-title&gt;OMICS&lt;/full-title&gt;&lt;/periodical&gt;&lt;pages&gt;284-7&lt;/pages&gt;&lt;volume&gt;16&lt;/volume&gt;&lt;number&gt;5&lt;/number&gt;&lt;edition&gt;2012/03/30&lt;/edition&gt;&lt;keywords&gt;&lt;keyword&gt;Animals&lt;/keyword&gt;&lt;keyword&gt;Gene Expression Profiling/*methods&lt;/keyword&gt;&lt;keyword&gt;Humans&lt;/keyword&gt;&lt;keyword&gt;Mice&lt;/keyword&gt;&lt;keyword&gt;*Multigene Family&lt;/keyword&gt;&lt;keyword&gt;Programming Languages&lt;/keyword&gt;&lt;keyword&gt;Proteomics/*methods&lt;/keyword&gt;&lt;keyword&gt;Software&lt;/keyword&gt;&lt;keyword&gt;*Transcriptome&lt;/keyword&gt;&lt;keyword&gt;Yeasts&lt;/keyword&gt;&lt;/keywords&gt;&lt;dates&gt;&lt;year&gt;2012&lt;/year&gt;&lt;pub-dates&gt;&lt;date&gt;May&lt;/date&gt;&lt;/pub-dates&gt;&lt;/dates&gt;&lt;isbn&gt;1557-8100 (Electronic)&amp;#xD;1536-2310 (Print)&amp;#xD;1536-2310 (Linking)&lt;/isbn&gt;&lt;accession-num&gt;22455463&lt;/accession-num&gt;&lt;urls&gt;&lt;related-urls&gt;&lt;url&gt;https://www.ncbi.nlm.nih.gov/pubmed/22455463&lt;/url&gt;&lt;/related-urls&gt;&lt;/urls&gt;&lt;custom2&gt;PMC3339379&lt;/custom2&gt;&lt;electronic-resource-num&gt;10.1089/omi.2011.0118&lt;/electronic-resource-num&gt;&lt;/record&gt;&lt;/Cite&gt;&lt;/EndNote&gt;</w:instrText>
      </w:r>
      <w:r>
        <w:rPr>
          <w:rFonts w:ascii="Times New Roman" w:hAnsi="Times New Roman" w:cs="Times New Roman"/>
          <w:color w:val="000000" w:themeColor="text1"/>
          <w:sz w:val="21"/>
          <w:szCs w:val="21"/>
        </w:rPr>
        <w:fldChar w:fldCharType="separate"/>
      </w:r>
      <w:r w:rsidR="00DB0A1C">
        <w:rPr>
          <w:rFonts w:ascii="Times New Roman" w:hAnsi="Times New Roman" w:cs="Times New Roman"/>
          <w:noProof/>
          <w:color w:val="000000" w:themeColor="text1"/>
          <w:sz w:val="21"/>
          <w:szCs w:val="21"/>
        </w:rPr>
        <w:t>[7]</w:t>
      </w:r>
      <w:r>
        <w:rPr>
          <w:rFonts w:ascii="Times New Roman" w:hAnsi="Times New Roman" w:cs="Times New Roman"/>
          <w:color w:val="000000" w:themeColor="text1"/>
          <w:sz w:val="21"/>
          <w:szCs w:val="21"/>
        </w:rPr>
        <w:fldChar w:fldCharType="end"/>
      </w:r>
      <w:r>
        <w:rPr>
          <w:rFonts w:ascii="Times New Roman" w:hAnsi="Times New Roman" w:cs="Times New Roman"/>
          <w:color w:val="000000" w:themeColor="text1"/>
          <w:sz w:val="21"/>
          <w:szCs w:val="21"/>
        </w:rPr>
        <w:t>. A threshold of p &lt; 0.05 was used to screen for significantly enriched pathways and functions.</w:t>
      </w:r>
    </w:p>
    <w:p w14:paraId="59E1FDBD" w14:textId="77777777" w:rsidR="00AB2519" w:rsidRDefault="00AB2519">
      <w:pPr>
        <w:rPr>
          <w:rFonts w:ascii="Times New Roman" w:hAnsi="Times New Roman" w:cs="Times New Roman"/>
          <w:color w:val="000000" w:themeColor="text1"/>
          <w:sz w:val="21"/>
          <w:szCs w:val="21"/>
        </w:rPr>
      </w:pPr>
    </w:p>
    <w:p w14:paraId="4DD026BB" w14:textId="77777777" w:rsidR="00AB2519" w:rsidRDefault="00000000">
      <w:pPr>
        <w:rPr>
          <w:rFonts w:ascii="Times New Roman" w:hAnsi="Times New Roman" w:cs="Times New Roman"/>
          <w:b/>
          <w:bCs/>
          <w:i/>
          <w:iCs/>
          <w:color w:val="000000" w:themeColor="text1"/>
          <w:sz w:val="21"/>
          <w:szCs w:val="21"/>
        </w:rPr>
      </w:pPr>
      <w:r>
        <w:rPr>
          <w:rFonts w:ascii="Times New Roman" w:hAnsi="Times New Roman" w:cs="Times New Roman"/>
          <w:b/>
          <w:bCs/>
          <w:i/>
          <w:iCs/>
          <w:color w:val="000000" w:themeColor="text1"/>
          <w:sz w:val="21"/>
          <w:szCs w:val="21"/>
        </w:rPr>
        <w:t>Cell–cell interactions and protein–protein interaction (PPI) network</w:t>
      </w:r>
    </w:p>
    <w:p w14:paraId="456AC36D" w14:textId="77777777" w:rsidR="00AB2519" w:rsidRDefault="00AB2519">
      <w:pPr>
        <w:rPr>
          <w:rFonts w:ascii="Times New Roman" w:hAnsi="Times New Roman" w:cs="Times New Roman"/>
          <w:b/>
          <w:bCs/>
          <w:color w:val="000000" w:themeColor="text1"/>
          <w:sz w:val="21"/>
          <w:szCs w:val="21"/>
        </w:rPr>
      </w:pPr>
    </w:p>
    <w:p w14:paraId="2BD8113A" w14:textId="34ED6DEB" w:rsidR="00AB2519" w:rsidRDefault="00000000">
      <w:pPr>
        <w:rPr>
          <w:rFonts w:ascii="Times New Roman" w:hAnsi="Times New Roman" w:cs="Times New Roman"/>
          <w:color w:val="000000" w:themeColor="text1"/>
          <w:sz w:val="21"/>
          <w:szCs w:val="21"/>
        </w:rPr>
      </w:pPr>
      <w:r>
        <w:rPr>
          <w:rFonts w:ascii="Times New Roman" w:hAnsi="Times New Roman" w:cs="Times New Roman"/>
          <w:color w:val="000000" w:themeColor="text1"/>
          <w:sz w:val="21"/>
          <w:szCs w:val="21"/>
        </w:rPr>
        <w:tab/>
        <w:t xml:space="preserve">We used </w:t>
      </w:r>
      <w:proofErr w:type="spellStart"/>
      <w:r>
        <w:rPr>
          <w:rFonts w:ascii="Times New Roman" w:hAnsi="Times New Roman" w:cs="Times New Roman"/>
          <w:color w:val="000000" w:themeColor="text1"/>
          <w:sz w:val="21"/>
          <w:szCs w:val="21"/>
        </w:rPr>
        <w:t>CellphoneDB</w:t>
      </w:r>
      <w:proofErr w:type="spellEnd"/>
      <w:r>
        <w:rPr>
          <w:rFonts w:ascii="Times New Roman" w:hAnsi="Times New Roman" w:cs="Times New Roman"/>
          <w:color w:val="000000" w:themeColor="text1"/>
          <w:sz w:val="21"/>
          <w:szCs w:val="21"/>
        </w:rPr>
        <w:fldChar w:fldCharType="begin"/>
      </w:r>
      <w:r w:rsidR="00DB0A1C">
        <w:rPr>
          <w:rFonts w:ascii="Times New Roman" w:hAnsi="Times New Roman" w:cs="Times New Roman"/>
          <w:color w:val="000000" w:themeColor="text1"/>
          <w:sz w:val="21"/>
          <w:szCs w:val="21"/>
        </w:rPr>
        <w:instrText xml:space="preserve"> ADDIN EN.CITE &lt;EndNote&gt;&lt;Cite&gt;&lt;Author&gt;Efremova&lt;/Author&gt;&lt;Year&gt;2020&lt;/Year&gt;&lt;RecNum&gt;46&lt;/RecNum&gt;&lt;DisplayText&gt;[9]&lt;/DisplayText&gt;&lt;record&gt;&lt;rec-number&gt;46&lt;/rec-number&gt;&lt;foreign-keys&gt;&lt;key app="EN" db-id="v9tvartsq5szage5druxt22yv9zpztzwfe5s" timestamp="1697811473"&gt;46&lt;/key&gt;&lt;/foreign-keys&gt;&lt;ref-type name="Journal Article"&gt;17&lt;/ref-type&gt;&lt;contributors&gt;&lt;authors&gt;&lt;author&gt;Efremova, M.&lt;/author&gt;&lt;author&gt;Vento-Tormo, M.&lt;/author&gt;&lt;author&gt;Teichmann, S. A.&lt;/author&gt;&lt;author&gt;Vento-Tormo, R.&lt;/author&gt;&lt;/authors&gt;&lt;/contributors&gt;&lt;auth-address&gt;Wellcome Sanger Institute, Wellcome Genome Campus, Cambridge, UK.&amp;#xD;YDEVS Software Development, Valencia, Spain.&amp;#xD;Theory of Condensed Matter Group, Cavendish Laboratory, University of Cambridge, Cambridge, UK.&amp;#xD;Wellcome Sanger Institute, Wellcome Genome Campus, Cambridge, UK. rv4@sanger.ac.uk.&lt;/auth-address&gt;&lt;titles&gt;&lt;title&gt;CellPhoneDB: inferring cell-cell communication from combined expression of multi-subunit ligand-receptor complexes&lt;/title&gt;&lt;secondary-title&gt;Nat Protoc&lt;/secondary-title&gt;&lt;/titles&gt;&lt;periodical&gt;&lt;full-title&gt;Nat Protoc&lt;/full-title&gt;&lt;/periodical&gt;&lt;pages&gt;1484-1506&lt;/pages&gt;&lt;volume&gt;15&lt;/volume&gt;&lt;number&gt;4&lt;/number&gt;&lt;edition&gt;2020/02/28&lt;/edition&gt;&lt;keywords&gt;&lt;keyword&gt;Animals&lt;/keyword&gt;&lt;keyword&gt;Cell Communication/*genetics&lt;/keyword&gt;&lt;keyword&gt;Gene Expression Profiling/*methods&lt;/keyword&gt;&lt;keyword&gt;Humans&lt;/keyword&gt;&lt;keyword&gt;Ligands&lt;/keyword&gt;&lt;keyword&gt;Mice&lt;/keyword&gt;&lt;keyword&gt;Receptors, Cell Surface/genetics/metabolism&lt;/keyword&gt;&lt;keyword&gt;Sequence Analysis, RNA/methods&lt;/keyword&gt;&lt;keyword&gt;Signal Transduction&lt;/keyword&gt;&lt;keyword&gt;Single-Cell Analysis/methods&lt;/keyword&gt;&lt;keyword&gt;*Software&lt;/keyword&gt;&lt;keyword&gt;Transcriptome/*genetics&lt;/keyword&gt;&lt;/keywords&gt;&lt;dates&gt;&lt;year&gt;2020&lt;/year&gt;&lt;pub-dates&gt;&lt;date&gt;Apr&lt;/date&gt;&lt;/pub-dates&gt;&lt;/dates&gt;&lt;isbn&gt;1750-2799 (Electronic)&amp;#xD;1750-2799 (Linking)&lt;/isbn&gt;&lt;accession-num&gt;32103204&lt;/accession-num&gt;&lt;urls&gt;&lt;related-urls&gt;&lt;url&gt;https://www.ncbi.nlm.nih.gov/pubmed/32103204&lt;/url&gt;&lt;/related-urls&gt;&lt;/urls&gt;&lt;electronic-resource-num&gt;10.1038/s41596-020-0292-x&lt;/electronic-resource-num&gt;&lt;/record&gt;&lt;/Cite&gt;&lt;/EndNote&gt;</w:instrText>
      </w:r>
      <w:r>
        <w:rPr>
          <w:rFonts w:ascii="Times New Roman" w:hAnsi="Times New Roman" w:cs="Times New Roman"/>
          <w:color w:val="000000" w:themeColor="text1"/>
          <w:sz w:val="21"/>
          <w:szCs w:val="21"/>
        </w:rPr>
        <w:fldChar w:fldCharType="separate"/>
      </w:r>
      <w:r w:rsidR="00DB0A1C">
        <w:rPr>
          <w:rFonts w:ascii="Times New Roman" w:hAnsi="Times New Roman" w:cs="Times New Roman"/>
          <w:noProof/>
          <w:color w:val="000000" w:themeColor="text1"/>
          <w:sz w:val="21"/>
          <w:szCs w:val="21"/>
        </w:rPr>
        <w:t>[9]</w:t>
      </w:r>
      <w:r>
        <w:rPr>
          <w:rFonts w:ascii="Times New Roman" w:hAnsi="Times New Roman" w:cs="Times New Roman"/>
          <w:color w:val="000000" w:themeColor="text1"/>
          <w:sz w:val="21"/>
          <w:szCs w:val="21"/>
        </w:rPr>
        <w:fldChar w:fldCharType="end"/>
      </w:r>
      <w:r>
        <w:rPr>
          <w:rFonts w:ascii="Times New Roman" w:hAnsi="Times New Roman" w:cs="Times New Roman"/>
          <w:color w:val="000000" w:themeColor="text1"/>
          <w:sz w:val="21"/>
          <w:szCs w:val="21"/>
        </w:rPr>
        <w:t xml:space="preserve"> to identify interactive pairs with default parameters and to predict receptor–ligand interactions. In addition, we used the STRING database to conduct PPI analysis of the DEGs; the network was visualized using </w:t>
      </w:r>
      <w:proofErr w:type="spellStart"/>
      <w:r>
        <w:rPr>
          <w:rFonts w:ascii="Times New Roman" w:hAnsi="Times New Roman" w:cs="Times New Roman"/>
          <w:color w:val="000000" w:themeColor="text1"/>
          <w:sz w:val="21"/>
          <w:szCs w:val="21"/>
        </w:rPr>
        <w:t>Cytoscape</w:t>
      </w:r>
      <w:proofErr w:type="spellEnd"/>
      <w:r>
        <w:rPr>
          <w:rFonts w:ascii="Times New Roman" w:hAnsi="Times New Roman" w:cs="Times New Roman"/>
          <w:color w:val="000000" w:themeColor="text1"/>
          <w:sz w:val="21"/>
          <w:szCs w:val="21"/>
        </w:rPr>
        <w:t xml:space="preserve"> (version 3.9.1). The MCODE plugin was used to detect important co-modulation modules and the </w:t>
      </w:r>
      <w:proofErr w:type="spellStart"/>
      <w:r>
        <w:rPr>
          <w:rFonts w:ascii="Times New Roman" w:hAnsi="Times New Roman" w:cs="Times New Roman"/>
          <w:color w:val="000000" w:themeColor="text1"/>
          <w:sz w:val="21"/>
          <w:szCs w:val="21"/>
        </w:rPr>
        <w:t>CytoHubba</w:t>
      </w:r>
      <w:proofErr w:type="spellEnd"/>
      <w:r>
        <w:rPr>
          <w:rFonts w:ascii="Times New Roman" w:hAnsi="Times New Roman" w:cs="Times New Roman"/>
          <w:color w:val="000000" w:themeColor="text1"/>
          <w:sz w:val="21"/>
          <w:szCs w:val="21"/>
        </w:rPr>
        <w:t xml:space="preserve"> plugin was used to compute the hub nodes which were </w:t>
      </w:r>
      <w:r>
        <w:rPr>
          <w:rFonts w:ascii="Times New Roman" w:hAnsi="Times New Roman" w:cs="Times New Roman" w:hint="eastAsia"/>
          <w:color w:val="000000" w:themeColor="text1"/>
          <w:sz w:val="21"/>
          <w:szCs w:val="21"/>
        </w:rPr>
        <w:t>based</w:t>
      </w:r>
      <w:r>
        <w:rPr>
          <w:rFonts w:ascii="Times New Roman" w:hAnsi="Times New Roman" w:cs="Times New Roman"/>
          <w:color w:val="000000" w:themeColor="text1"/>
          <w:sz w:val="21"/>
          <w:szCs w:val="21"/>
        </w:rPr>
        <w:t xml:space="preserve"> </w:t>
      </w:r>
      <w:r>
        <w:rPr>
          <w:rFonts w:ascii="Times New Roman" w:hAnsi="Times New Roman" w:cs="Times New Roman" w:hint="eastAsia"/>
          <w:color w:val="000000" w:themeColor="text1"/>
          <w:sz w:val="21"/>
          <w:szCs w:val="21"/>
        </w:rPr>
        <w:t>on</w:t>
      </w:r>
      <w:r>
        <w:rPr>
          <w:rFonts w:ascii="Times New Roman" w:hAnsi="Times New Roman" w:cs="Times New Roman"/>
          <w:color w:val="000000" w:themeColor="text1"/>
          <w:sz w:val="21"/>
          <w:szCs w:val="21"/>
        </w:rPr>
        <w:t xml:space="preserve"> </w:t>
      </w:r>
      <w:r>
        <w:rPr>
          <w:rFonts w:ascii="Times New Roman" w:hAnsi="Times New Roman" w:cs="Times New Roman" w:hint="eastAsia"/>
          <w:color w:val="000000" w:themeColor="text1"/>
          <w:sz w:val="21"/>
          <w:szCs w:val="21"/>
        </w:rPr>
        <w:t>the</w:t>
      </w:r>
      <w:r>
        <w:rPr>
          <w:rFonts w:ascii="Times New Roman" w:hAnsi="Times New Roman" w:cs="Times New Roman"/>
          <w:color w:val="000000" w:themeColor="text1"/>
          <w:sz w:val="21"/>
          <w:szCs w:val="21"/>
        </w:rPr>
        <w:t xml:space="preserve"> intersecting DEGs between the bulk RNA-seq and </w:t>
      </w:r>
      <w:proofErr w:type="spellStart"/>
      <w:r>
        <w:rPr>
          <w:rFonts w:ascii="Times New Roman" w:hAnsi="Times New Roman" w:cs="Times New Roman"/>
          <w:color w:val="000000" w:themeColor="text1"/>
          <w:sz w:val="21"/>
          <w:szCs w:val="21"/>
        </w:rPr>
        <w:t>scRNA</w:t>
      </w:r>
      <w:proofErr w:type="spellEnd"/>
      <w:r>
        <w:rPr>
          <w:rFonts w:ascii="Times New Roman" w:hAnsi="Times New Roman" w:cs="Times New Roman"/>
          <w:color w:val="000000" w:themeColor="text1"/>
          <w:sz w:val="21"/>
          <w:szCs w:val="21"/>
        </w:rPr>
        <w:t>-seq datasets.</w:t>
      </w:r>
    </w:p>
    <w:p w14:paraId="1B19B5BD" w14:textId="77777777" w:rsidR="00AB2519" w:rsidRDefault="00AB2519">
      <w:pPr>
        <w:rPr>
          <w:rFonts w:ascii="Times New Roman" w:hAnsi="Times New Roman" w:cs="Times New Roman"/>
          <w:color w:val="000000" w:themeColor="text1"/>
          <w:sz w:val="21"/>
          <w:szCs w:val="21"/>
        </w:rPr>
      </w:pPr>
    </w:p>
    <w:p w14:paraId="445DDB11" w14:textId="77777777" w:rsidR="00AB2519" w:rsidRDefault="00000000">
      <w:pPr>
        <w:rPr>
          <w:rFonts w:ascii="Times New Roman" w:hAnsi="Times New Roman" w:cs="Times New Roman"/>
          <w:b/>
          <w:bCs/>
          <w:i/>
          <w:iCs/>
          <w:color w:val="000000" w:themeColor="text1"/>
          <w:sz w:val="21"/>
          <w:szCs w:val="21"/>
        </w:rPr>
      </w:pPr>
      <w:r>
        <w:rPr>
          <w:rFonts w:ascii="Times New Roman" w:hAnsi="Times New Roman" w:cs="Times New Roman"/>
          <w:b/>
          <w:bCs/>
          <w:i/>
          <w:iCs/>
          <w:color w:val="000000" w:themeColor="text1"/>
          <w:sz w:val="21"/>
          <w:szCs w:val="21"/>
        </w:rPr>
        <w:lastRenderedPageBreak/>
        <w:t>Statistical analysis</w:t>
      </w:r>
    </w:p>
    <w:p w14:paraId="5FA9F8FC" w14:textId="77777777" w:rsidR="00AB2519" w:rsidRDefault="00000000">
      <w:pPr>
        <w:rPr>
          <w:rFonts w:ascii="Times New Roman" w:hAnsi="Times New Roman" w:cs="Times New Roman"/>
          <w:color w:val="000000" w:themeColor="text1"/>
          <w:sz w:val="21"/>
          <w:szCs w:val="21"/>
        </w:rPr>
      </w:pPr>
      <w:r>
        <w:rPr>
          <w:rFonts w:ascii="Times New Roman" w:hAnsi="Times New Roman" w:cs="Times New Roman"/>
          <w:color w:val="000000" w:themeColor="text1"/>
          <w:sz w:val="21"/>
          <w:szCs w:val="21"/>
        </w:rPr>
        <w:tab/>
        <w:t>Distant metastasis-free survival (DMFS) was defined as the time from randomization to the development of any distant metastasis or death. Overall survival (OS) was defined as the duration from the date of diagnosis to death from any cause or the last follow-up.</w:t>
      </w:r>
      <w:r>
        <w:rPr>
          <w:color w:val="000000" w:themeColor="text1"/>
        </w:rPr>
        <w:t xml:space="preserve"> </w:t>
      </w:r>
      <w:r>
        <w:rPr>
          <w:rFonts w:ascii="Times New Roman" w:hAnsi="Times New Roman" w:cs="Times New Roman"/>
          <w:color w:val="000000" w:themeColor="text1"/>
          <w:sz w:val="21"/>
          <w:szCs w:val="21"/>
        </w:rPr>
        <w:t>Recurrence-free survival (RFS) was defined as the time elapsed between randomization and any recurrence (local, distant) or death for any reason. Progression free survival (PFS) was defined as duration from the date of diagnosis to disease progression or death from any cause. Pearson χ2 test or Fisher’s test was used to compare the basic clinical characteristics of patients in different groups. Kaplan–Meier survival analyses were used to estimate the DMFS, OS, RFS and PFS with log-rank test for comparison of survival curves. Multivariate analyses (MVA) with Cox proportional hazard methods were used to estimate the risk of death. The MVA models were constructed using a backward step. The criterion for the backward step is for significance at the 0.05 level before a variable could stay in the model, while parameters with a significance of greater than 0.10 were removed from the model. A bilateral P value &lt;0.05 was statistically significant. All data in the study were analyzed using R (version 3.6.1) and SPSS (SPSS 26.0 IBM Corp, Armonk, NY).</w:t>
      </w:r>
    </w:p>
    <w:p w14:paraId="16C1C546" w14:textId="77777777" w:rsidR="00AB2519" w:rsidRDefault="00AB2519">
      <w:pPr>
        <w:rPr>
          <w:color w:val="000000" w:themeColor="text1"/>
        </w:rPr>
      </w:pPr>
    </w:p>
    <w:p w14:paraId="22B9CD39" w14:textId="77777777" w:rsidR="00AB2519" w:rsidRDefault="00000000">
      <w:pPr>
        <w:pStyle w:val="EndNoteBibliography"/>
        <w:rPr>
          <w:color w:val="000000" w:themeColor="text1"/>
        </w:rPr>
      </w:pPr>
      <w:r>
        <w:rPr>
          <w:rFonts w:ascii="Times New Roman" w:hAnsi="Times New Roman" w:cs="Times New Roman"/>
          <w:b/>
          <w:bCs/>
          <w:color w:val="000000" w:themeColor="text1"/>
        </w:rPr>
        <w:t>References</w:t>
      </w:r>
      <w:r>
        <w:rPr>
          <w:rFonts w:ascii="Times New Roman" w:hAnsi="Times New Roman" w:cs="Times New Roman" w:hint="eastAsia"/>
          <w:b/>
          <w:bCs/>
          <w:color w:val="000000" w:themeColor="text1"/>
        </w:rPr>
        <w:t>：</w:t>
      </w:r>
    </w:p>
    <w:p w14:paraId="7D0FA435" w14:textId="32D0FF94" w:rsidR="00DB0A1C" w:rsidRPr="00DB0A1C" w:rsidRDefault="00000000" w:rsidP="00DB0A1C">
      <w:pPr>
        <w:pStyle w:val="EndNoteBibliography"/>
        <w:ind w:left="720" w:hanging="720"/>
        <w:rPr>
          <w:rFonts w:ascii="Times New Roman" w:eastAsia="PingFang SC" w:hAnsi="Times New Roman" w:cs="Times New Roman"/>
          <w:noProof/>
        </w:rPr>
      </w:pPr>
      <w:r w:rsidRPr="00DB0A1C">
        <w:rPr>
          <w:rFonts w:ascii="Times New Roman" w:hAnsi="Times New Roman" w:cs="Times New Roman"/>
          <w:color w:val="000000" w:themeColor="text1"/>
        </w:rPr>
        <w:fldChar w:fldCharType="begin"/>
      </w:r>
      <w:r w:rsidRPr="00DB0A1C">
        <w:rPr>
          <w:rFonts w:ascii="Times New Roman" w:hAnsi="Times New Roman" w:cs="Times New Roman"/>
          <w:color w:val="000000" w:themeColor="text1"/>
        </w:rPr>
        <w:instrText xml:space="preserve"> ADDIN EN.REFLIST </w:instrText>
      </w:r>
      <w:r w:rsidRPr="00DB0A1C">
        <w:rPr>
          <w:rFonts w:ascii="Times New Roman" w:hAnsi="Times New Roman" w:cs="Times New Roman"/>
          <w:color w:val="000000" w:themeColor="text1"/>
        </w:rPr>
        <w:fldChar w:fldCharType="separate"/>
      </w:r>
      <w:r w:rsidR="00DB0A1C" w:rsidRPr="00DB0A1C">
        <w:rPr>
          <w:rFonts w:ascii="Times New Roman" w:hAnsi="Times New Roman" w:cs="Times New Roman"/>
          <w:noProof/>
        </w:rPr>
        <w:t>[1]</w:t>
      </w:r>
      <w:r w:rsidR="00DB0A1C" w:rsidRPr="00DB0A1C">
        <w:rPr>
          <w:rFonts w:ascii="Times New Roman" w:hAnsi="Times New Roman" w:cs="Times New Roman"/>
          <w:noProof/>
        </w:rPr>
        <w:tab/>
        <w:t>Zhao Z, Galiana G, Zillo C</w:t>
      </w:r>
      <w:r w:rsidR="00DB0A1C" w:rsidRPr="00DB0A1C">
        <w:rPr>
          <w:rFonts w:ascii="Times New Roman" w:hAnsi="Times New Roman" w:cs="Times New Roman"/>
          <w:i/>
          <w:noProof/>
        </w:rPr>
        <w:t>, et al.</w:t>
      </w:r>
      <w:r w:rsidR="00DB0A1C" w:rsidRPr="00DB0A1C">
        <w:rPr>
          <w:rFonts w:ascii="Times New Roman" w:hAnsi="Times New Roman" w:cs="Times New Roman"/>
          <w:noProof/>
        </w:rPr>
        <w:t xml:space="preserve"> HALO: A software tool for real-time head alignment in the MR scanner  Magn Reson Med 2022; 89: 1506-1513. </w:t>
      </w:r>
      <w:hyperlink r:id="rId6" w:history="1">
        <w:r w:rsidR="00DB0A1C" w:rsidRPr="00DB0A1C">
          <w:rPr>
            <w:rStyle w:val="a5"/>
            <w:rFonts w:ascii="Times New Roman" w:hAnsi="Times New Roman" w:cs="Times New Roman"/>
            <w:noProof/>
          </w:rPr>
          <w:t>https://doi.org/10.1101/2022.03.23.485491</w:t>
        </w:r>
      </w:hyperlink>
      <w:r w:rsidR="00DB0A1C" w:rsidRPr="00DB0A1C">
        <w:rPr>
          <w:rFonts w:ascii="Times New Roman" w:eastAsia="PingFang SC" w:hAnsi="Times New Roman" w:cs="Times New Roman"/>
          <w:noProof/>
        </w:rPr>
        <w:t>.</w:t>
      </w:r>
    </w:p>
    <w:p w14:paraId="5E228260" w14:textId="7F7BB8BA" w:rsidR="00DB0A1C" w:rsidRPr="00DB0A1C" w:rsidRDefault="00DB0A1C" w:rsidP="00DB0A1C">
      <w:pPr>
        <w:pStyle w:val="EndNoteBibliography"/>
        <w:ind w:left="720" w:hanging="720"/>
        <w:rPr>
          <w:rFonts w:ascii="Times New Roman" w:eastAsia="PingFang SC" w:hAnsi="Times New Roman" w:cs="Times New Roman"/>
          <w:noProof/>
        </w:rPr>
      </w:pPr>
      <w:r w:rsidRPr="00DB0A1C">
        <w:rPr>
          <w:rFonts w:ascii="Times New Roman" w:hAnsi="Times New Roman" w:cs="Times New Roman"/>
          <w:noProof/>
        </w:rPr>
        <w:t>[2]</w:t>
      </w:r>
      <w:r w:rsidRPr="00DB0A1C">
        <w:rPr>
          <w:rFonts w:ascii="Times New Roman" w:hAnsi="Times New Roman" w:cs="Times New Roman"/>
          <w:noProof/>
        </w:rPr>
        <w:tab/>
        <w:t>Satija R, Farrell JA, Gennert D</w:t>
      </w:r>
      <w:r w:rsidRPr="00DB0A1C">
        <w:rPr>
          <w:rFonts w:ascii="Times New Roman" w:hAnsi="Times New Roman" w:cs="Times New Roman"/>
          <w:i/>
          <w:noProof/>
        </w:rPr>
        <w:t>, et al.</w:t>
      </w:r>
      <w:r w:rsidRPr="00DB0A1C">
        <w:rPr>
          <w:rFonts w:ascii="Times New Roman" w:hAnsi="Times New Roman" w:cs="Times New Roman"/>
          <w:noProof/>
        </w:rPr>
        <w:t xml:space="preserve"> Spatial reconstruction of single-cell gene expression data. Nat Biotechnol 2015; 33: 495-502. </w:t>
      </w:r>
      <w:hyperlink r:id="rId7" w:history="1">
        <w:r w:rsidRPr="00DB0A1C">
          <w:rPr>
            <w:rStyle w:val="a5"/>
            <w:rFonts w:ascii="Times New Roman" w:hAnsi="Times New Roman" w:cs="Times New Roman"/>
            <w:noProof/>
          </w:rPr>
          <w:t>https://doi.org/10.1038/nbt.3192</w:t>
        </w:r>
      </w:hyperlink>
      <w:r w:rsidRPr="00DB0A1C">
        <w:rPr>
          <w:rFonts w:ascii="Times New Roman" w:eastAsia="PingFang SC" w:hAnsi="Times New Roman" w:cs="Times New Roman"/>
          <w:noProof/>
        </w:rPr>
        <w:t>.</w:t>
      </w:r>
    </w:p>
    <w:p w14:paraId="056082BA" w14:textId="5A8FFFFE" w:rsidR="00DB0A1C" w:rsidRPr="00DB0A1C" w:rsidRDefault="00DB0A1C" w:rsidP="00DB0A1C">
      <w:pPr>
        <w:pStyle w:val="EndNoteBibliography"/>
        <w:ind w:left="720" w:hanging="720"/>
        <w:rPr>
          <w:rFonts w:ascii="Times New Roman" w:eastAsia="PingFang SC" w:hAnsi="Times New Roman" w:cs="Times New Roman"/>
          <w:noProof/>
        </w:rPr>
      </w:pPr>
      <w:r w:rsidRPr="00DB0A1C">
        <w:rPr>
          <w:rFonts w:ascii="Times New Roman" w:hAnsi="Times New Roman" w:cs="Times New Roman"/>
          <w:noProof/>
        </w:rPr>
        <w:t>[3]</w:t>
      </w:r>
      <w:r w:rsidRPr="00DB0A1C">
        <w:rPr>
          <w:rFonts w:ascii="Times New Roman" w:hAnsi="Times New Roman" w:cs="Times New Roman"/>
          <w:noProof/>
        </w:rPr>
        <w:tab/>
        <w:t xml:space="preserve">Kobak D and Berens P. The art of using t-SNE for single-cell transcriptomics. Nat Commun 2019; 10: 5416. </w:t>
      </w:r>
      <w:hyperlink r:id="rId8" w:history="1">
        <w:r w:rsidRPr="00DB0A1C">
          <w:rPr>
            <w:rStyle w:val="a5"/>
            <w:rFonts w:ascii="Times New Roman" w:hAnsi="Times New Roman" w:cs="Times New Roman"/>
            <w:noProof/>
          </w:rPr>
          <w:t>https://doi.org/10.1038/s41467-019-13056-x</w:t>
        </w:r>
      </w:hyperlink>
      <w:r w:rsidRPr="00DB0A1C">
        <w:rPr>
          <w:rFonts w:ascii="Times New Roman" w:eastAsia="PingFang SC" w:hAnsi="Times New Roman" w:cs="Times New Roman"/>
          <w:noProof/>
        </w:rPr>
        <w:t>.</w:t>
      </w:r>
    </w:p>
    <w:p w14:paraId="77F61927" w14:textId="161AAE1F" w:rsidR="00DB0A1C" w:rsidRPr="00DB0A1C" w:rsidRDefault="00DB0A1C" w:rsidP="00DB0A1C">
      <w:pPr>
        <w:pStyle w:val="EndNoteBibliography"/>
        <w:ind w:left="720" w:hanging="720"/>
        <w:rPr>
          <w:rFonts w:ascii="Times New Roman" w:hAnsi="Times New Roman" w:cs="Times New Roman"/>
          <w:noProof/>
        </w:rPr>
      </w:pPr>
      <w:r w:rsidRPr="00DB0A1C">
        <w:rPr>
          <w:rFonts w:ascii="Times New Roman" w:hAnsi="Times New Roman" w:cs="Times New Roman"/>
          <w:noProof/>
        </w:rPr>
        <w:t>[4]</w:t>
      </w:r>
      <w:r w:rsidRPr="00DB0A1C">
        <w:rPr>
          <w:rFonts w:ascii="Times New Roman" w:hAnsi="Times New Roman" w:cs="Times New Roman"/>
          <w:noProof/>
        </w:rPr>
        <w:tab/>
        <w:t>Subramanian A, Tamayo P, Mootha VK</w:t>
      </w:r>
      <w:r w:rsidRPr="00DB0A1C">
        <w:rPr>
          <w:rFonts w:ascii="Times New Roman" w:hAnsi="Times New Roman" w:cs="Times New Roman"/>
          <w:i/>
          <w:noProof/>
        </w:rPr>
        <w:t>, et al.</w:t>
      </w:r>
      <w:r w:rsidRPr="00DB0A1C">
        <w:rPr>
          <w:rFonts w:ascii="Times New Roman" w:hAnsi="Times New Roman" w:cs="Times New Roman"/>
          <w:noProof/>
        </w:rPr>
        <w:t xml:space="preserve"> Gene set enrichment analysis: a knowledge-based approach for interpreting genome-wide expression profiles  Proc Natl Acad Sci U S A 2005 Oct 25; 102: 15545-15550. </w:t>
      </w:r>
      <w:hyperlink r:id="rId9" w:history="1">
        <w:r w:rsidRPr="00DB0A1C">
          <w:rPr>
            <w:rStyle w:val="a5"/>
            <w:rFonts w:ascii="Times New Roman" w:hAnsi="Times New Roman" w:cs="Times New Roman"/>
            <w:noProof/>
          </w:rPr>
          <w:t>https://doi.org/10.1073/pnas.0506580102</w:t>
        </w:r>
      </w:hyperlink>
      <w:r w:rsidRPr="00DB0A1C">
        <w:rPr>
          <w:rFonts w:ascii="Times New Roman" w:hAnsi="Times New Roman" w:cs="Times New Roman"/>
          <w:noProof/>
        </w:rPr>
        <w:t xml:space="preserve"> </w:t>
      </w:r>
    </w:p>
    <w:p w14:paraId="5810DFBB" w14:textId="6D07E3CA" w:rsidR="00DB0A1C" w:rsidRPr="00DB0A1C" w:rsidRDefault="00DB0A1C" w:rsidP="00DB0A1C">
      <w:pPr>
        <w:pStyle w:val="EndNoteBibliography"/>
        <w:ind w:left="720" w:hanging="720"/>
        <w:rPr>
          <w:rFonts w:ascii="Times New Roman" w:eastAsia="PingFang SC" w:hAnsi="Times New Roman" w:cs="Times New Roman"/>
          <w:noProof/>
        </w:rPr>
      </w:pPr>
      <w:r w:rsidRPr="00DB0A1C">
        <w:rPr>
          <w:rFonts w:ascii="Times New Roman" w:hAnsi="Times New Roman" w:cs="Times New Roman"/>
          <w:noProof/>
        </w:rPr>
        <w:t>[5]</w:t>
      </w:r>
      <w:r w:rsidRPr="00DB0A1C">
        <w:rPr>
          <w:rFonts w:ascii="Times New Roman" w:hAnsi="Times New Roman" w:cs="Times New Roman"/>
          <w:noProof/>
        </w:rPr>
        <w:tab/>
        <w:t>Barbie DA, Tamayo P, Boehm JS</w:t>
      </w:r>
      <w:r w:rsidRPr="00DB0A1C">
        <w:rPr>
          <w:rFonts w:ascii="Times New Roman" w:hAnsi="Times New Roman" w:cs="Times New Roman"/>
          <w:i/>
          <w:noProof/>
        </w:rPr>
        <w:t>, et al.</w:t>
      </w:r>
      <w:r w:rsidRPr="00DB0A1C">
        <w:rPr>
          <w:rFonts w:ascii="Times New Roman" w:hAnsi="Times New Roman" w:cs="Times New Roman"/>
          <w:noProof/>
        </w:rPr>
        <w:t xml:space="preserve"> Systematic RNA interference reveals that oncogenic KRAS-driven cancers require TBK1. Nature 2009; 462: 108-112. </w:t>
      </w:r>
      <w:hyperlink r:id="rId10" w:history="1">
        <w:r w:rsidRPr="00DB0A1C">
          <w:rPr>
            <w:rStyle w:val="a5"/>
            <w:rFonts w:ascii="Times New Roman" w:hAnsi="Times New Roman" w:cs="Times New Roman"/>
            <w:noProof/>
          </w:rPr>
          <w:t>https://doi.org/10.1038/nature08460</w:t>
        </w:r>
      </w:hyperlink>
      <w:r w:rsidRPr="00DB0A1C">
        <w:rPr>
          <w:rFonts w:ascii="Times New Roman" w:eastAsia="PingFang SC" w:hAnsi="Times New Roman" w:cs="Times New Roman"/>
          <w:noProof/>
        </w:rPr>
        <w:t>.</w:t>
      </w:r>
    </w:p>
    <w:p w14:paraId="482BBCA0" w14:textId="60EE8624" w:rsidR="00DB0A1C" w:rsidRPr="00DB0A1C" w:rsidRDefault="00DB0A1C" w:rsidP="00DB0A1C">
      <w:pPr>
        <w:pStyle w:val="EndNoteBibliography"/>
        <w:ind w:left="720" w:hanging="720"/>
        <w:rPr>
          <w:rFonts w:ascii="Times New Roman" w:eastAsia="PingFang SC" w:hAnsi="Times New Roman" w:cs="Times New Roman"/>
          <w:noProof/>
        </w:rPr>
      </w:pPr>
      <w:r w:rsidRPr="00DB0A1C">
        <w:rPr>
          <w:rFonts w:ascii="Times New Roman" w:hAnsi="Times New Roman" w:cs="Times New Roman"/>
          <w:noProof/>
        </w:rPr>
        <w:t>[6]</w:t>
      </w:r>
      <w:r w:rsidRPr="00DB0A1C">
        <w:rPr>
          <w:rFonts w:ascii="Times New Roman" w:hAnsi="Times New Roman" w:cs="Times New Roman"/>
          <w:noProof/>
        </w:rPr>
        <w:tab/>
        <w:t xml:space="preserve">Hänzelmann S, Castelo R and Guinney J. GSVA: gene set variation analysis for microarray and RNA-seq data  BMC Bioinformatics 2013 Jan 16; 16: 7. </w:t>
      </w:r>
      <w:hyperlink r:id="rId11" w:history="1">
        <w:r w:rsidRPr="00DB0A1C">
          <w:rPr>
            <w:rStyle w:val="a5"/>
            <w:rFonts w:ascii="Times New Roman" w:hAnsi="Times New Roman" w:cs="Times New Roman"/>
            <w:noProof/>
          </w:rPr>
          <w:t>https://doi.org/10.1186/1471-2105-14-7</w:t>
        </w:r>
      </w:hyperlink>
      <w:r w:rsidRPr="00DB0A1C">
        <w:rPr>
          <w:rFonts w:ascii="Times New Roman" w:eastAsia="PingFang SC" w:hAnsi="Times New Roman" w:cs="Times New Roman"/>
          <w:noProof/>
        </w:rPr>
        <w:t>.</w:t>
      </w:r>
    </w:p>
    <w:p w14:paraId="12CA192E" w14:textId="281BBD9D" w:rsidR="00DB0A1C" w:rsidRPr="00DB0A1C" w:rsidRDefault="00DB0A1C" w:rsidP="00DB0A1C">
      <w:pPr>
        <w:pStyle w:val="EndNoteBibliography"/>
        <w:ind w:left="720" w:hanging="720"/>
        <w:rPr>
          <w:rFonts w:ascii="Times New Roman" w:eastAsia="PingFang SC" w:hAnsi="Times New Roman" w:cs="Times New Roman"/>
          <w:noProof/>
        </w:rPr>
      </w:pPr>
      <w:r w:rsidRPr="00DB0A1C">
        <w:rPr>
          <w:rFonts w:ascii="Times New Roman" w:hAnsi="Times New Roman" w:cs="Times New Roman"/>
          <w:noProof/>
        </w:rPr>
        <w:t>[7]</w:t>
      </w:r>
      <w:r w:rsidRPr="00DB0A1C">
        <w:rPr>
          <w:rFonts w:ascii="Times New Roman" w:hAnsi="Times New Roman" w:cs="Times New Roman"/>
          <w:noProof/>
        </w:rPr>
        <w:tab/>
        <w:t>Yu G, Wang LG, Han Y</w:t>
      </w:r>
      <w:r w:rsidRPr="00DB0A1C">
        <w:rPr>
          <w:rFonts w:ascii="Times New Roman" w:hAnsi="Times New Roman" w:cs="Times New Roman"/>
          <w:i/>
          <w:noProof/>
        </w:rPr>
        <w:t>, et al.</w:t>
      </w:r>
      <w:r w:rsidRPr="00DB0A1C">
        <w:rPr>
          <w:rFonts w:ascii="Times New Roman" w:hAnsi="Times New Roman" w:cs="Times New Roman"/>
          <w:noProof/>
        </w:rPr>
        <w:t xml:space="preserve"> clusterProfiler: an R package for comparing biological themes among gene clusters. OMICS 2012; 16: 284-287. </w:t>
      </w:r>
      <w:hyperlink r:id="rId12" w:history="1">
        <w:r w:rsidRPr="00DB0A1C">
          <w:rPr>
            <w:rStyle w:val="a5"/>
            <w:rFonts w:ascii="Times New Roman" w:hAnsi="Times New Roman" w:cs="Times New Roman"/>
            <w:noProof/>
          </w:rPr>
          <w:t>https://doi.org/10.1089/omi.2011.0118</w:t>
        </w:r>
      </w:hyperlink>
      <w:r w:rsidRPr="00DB0A1C">
        <w:rPr>
          <w:rFonts w:ascii="Times New Roman" w:eastAsia="PingFang SC" w:hAnsi="Times New Roman" w:cs="Times New Roman"/>
          <w:noProof/>
        </w:rPr>
        <w:t>.</w:t>
      </w:r>
    </w:p>
    <w:p w14:paraId="77DEC558" w14:textId="74EDFE36" w:rsidR="00DB0A1C" w:rsidRPr="00DB0A1C" w:rsidRDefault="00DB0A1C" w:rsidP="00DB0A1C">
      <w:pPr>
        <w:pStyle w:val="EndNoteBibliography"/>
        <w:ind w:left="720" w:hanging="720"/>
        <w:rPr>
          <w:rFonts w:ascii="Times New Roman" w:eastAsia="PingFang SC" w:hAnsi="Times New Roman" w:cs="Times New Roman"/>
          <w:noProof/>
        </w:rPr>
      </w:pPr>
      <w:r w:rsidRPr="00DB0A1C">
        <w:rPr>
          <w:rFonts w:ascii="Times New Roman" w:hAnsi="Times New Roman" w:cs="Times New Roman"/>
          <w:noProof/>
        </w:rPr>
        <w:t>[8]</w:t>
      </w:r>
      <w:r w:rsidRPr="00DB0A1C">
        <w:rPr>
          <w:rFonts w:ascii="Times New Roman" w:hAnsi="Times New Roman" w:cs="Times New Roman"/>
          <w:noProof/>
        </w:rPr>
        <w:tab/>
        <w:t>Ritchie ME, Phipson B, Wu D</w:t>
      </w:r>
      <w:r w:rsidRPr="00DB0A1C">
        <w:rPr>
          <w:rFonts w:ascii="Times New Roman" w:hAnsi="Times New Roman" w:cs="Times New Roman"/>
          <w:i/>
          <w:noProof/>
        </w:rPr>
        <w:t>, et al.</w:t>
      </w:r>
      <w:r w:rsidRPr="00DB0A1C">
        <w:rPr>
          <w:rFonts w:ascii="Times New Roman" w:hAnsi="Times New Roman" w:cs="Times New Roman"/>
          <w:noProof/>
        </w:rPr>
        <w:t xml:space="preserve"> limma powers differential expression analyses for RNA-sequencing and microarray studies. Nucleic Acids Res 2015; 43: e47. </w:t>
      </w:r>
      <w:hyperlink r:id="rId13" w:history="1">
        <w:r w:rsidRPr="00DB0A1C">
          <w:rPr>
            <w:rStyle w:val="a5"/>
            <w:rFonts w:ascii="Times New Roman" w:hAnsi="Times New Roman" w:cs="Times New Roman"/>
            <w:noProof/>
          </w:rPr>
          <w:t>https://doi.org/10.1093/nar/gkv007</w:t>
        </w:r>
      </w:hyperlink>
      <w:r w:rsidRPr="00DB0A1C">
        <w:rPr>
          <w:rFonts w:ascii="Times New Roman" w:eastAsia="PingFang SC" w:hAnsi="Times New Roman" w:cs="Times New Roman"/>
          <w:noProof/>
        </w:rPr>
        <w:t>.</w:t>
      </w:r>
    </w:p>
    <w:p w14:paraId="7427C77A" w14:textId="33C3429A" w:rsidR="00DB0A1C" w:rsidRPr="00DB0A1C" w:rsidRDefault="00DB0A1C" w:rsidP="00DB0A1C">
      <w:pPr>
        <w:pStyle w:val="EndNoteBibliography"/>
        <w:ind w:left="720" w:hanging="720"/>
        <w:rPr>
          <w:rFonts w:ascii="Times New Roman" w:eastAsia="PingFang SC" w:hAnsi="Times New Roman" w:cs="Times New Roman"/>
          <w:noProof/>
        </w:rPr>
      </w:pPr>
      <w:r w:rsidRPr="00DB0A1C">
        <w:rPr>
          <w:rFonts w:ascii="Times New Roman" w:hAnsi="Times New Roman" w:cs="Times New Roman"/>
          <w:noProof/>
        </w:rPr>
        <w:t>[9]</w:t>
      </w:r>
      <w:r w:rsidRPr="00DB0A1C">
        <w:rPr>
          <w:rFonts w:ascii="Times New Roman" w:hAnsi="Times New Roman" w:cs="Times New Roman"/>
          <w:noProof/>
        </w:rPr>
        <w:tab/>
        <w:t>Efremova M, Vento-Tormo M, Teichmann SA</w:t>
      </w:r>
      <w:r w:rsidRPr="00DB0A1C">
        <w:rPr>
          <w:rFonts w:ascii="Times New Roman" w:hAnsi="Times New Roman" w:cs="Times New Roman"/>
          <w:i/>
          <w:noProof/>
        </w:rPr>
        <w:t>, et al.</w:t>
      </w:r>
      <w:r w:rsidRPr="00DB0A1C">
        <w:rPr>
          <w:rFonts w:ascii="Times New Roman" w:hAnsi="Times New Roman" w:cs="Times New Roman"/>
          <w:noProof/>
        </w:rPr>
        <w:t xml:space="preserve"> CellPhoneDB: inferring cell-cell communication from combined expression of multi-subunit ligand-</w:t>
      </w:r>
      <w:r w:rsidRPr="00DB0A1C">
        <w:rPr>
          <w:rFonts w:ascii="Times New Roman" w:hAnsi="Times New Roman" w:cs="Times New Roman"/>
          <w:noProof/>
        </w:rPr>
        <w:lastRenderedPageBreak/>
        <w:t xml:space="preserve">receptor complexes. Nat Protoc 2020; 15: 1484-1506. </w:t>
      </w:r>
      <w:hyperlink r:id="rId14" w:history="1">
        <w:r w:rsidRPr="00DB0A1C">
          <w:rPr>
            <w:rStyle w:val="a5"/>
            <w:rFonts w:ascii="Times New Roman" w:hAnsi="Times New Roman" w:cs="Times New Roman"/>
            <w:noProof/>
          </w:rPr>
          <w:t>https://doi.org/10.1038/s41596-020-0292-x</w:t>
        </w:r>
      </w:hyperlink>
      <w:r w:rsidRPr="00DB0A1C">
        <w:rPr>
          <w:rFonts w:ascii="Times New Roman" w:eastAsia="PingFang SC" w:hAnsi="Times New Roman" w:cs="Times New Roman"/>
          <w:noProof/>
        </w:rPr>
        <w:t>.</w:t>
      </w:r>
    </w:p>
    <w:p w14:paraId="02042AF3" w14:textId="678F010A" w:rsidR="00AB2519" w:rsidRPr="00DB0A1C" w:rsidRDefault="00000000">
      <w:pPr>
        <w:rPr>
          <w:rFonts w:ascii="Times New Roman" w:hAnsi="Times New Roman" w:cs="Times New Roman"/>
          <w:color w:val="000000" w:themeColor="text1"/>
        </w:rPr>
      </w:pPr>
      <w:r w:rsidRPr="00DB0A1C">
        <w:rPr>
          <w:rFonts w:ascii="Times New Roman" w:hAnsi="Times New Roman" w:cs="Times New Roman"/>
          <w:color w:val="000000" w:themeColor="text1"/>
        </w:rPr>
        <w:fldChar w:fldCharType="end"/>
      </w:r>
    </w:p>
    <w:sectPr w:rsidR="00AB2519" w:rsidRPr="00DB0A1C">
      <w:pgSz w:w="11900" w:h="16840"/>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PingFang SC">
    <w:panose1 w:val="020B0400000000000000"/>
    <w:charset w:val="86"/>
    <w:family w:val="swiss"/>
    <w:pitch w:val="variable"/>
    <w:sig w:usb0="A00002FF" w:usb1="7ACFFDFB" w:usb2="00000017"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93"/>
  <w:doNotDisplayPageBoundarie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NDFjYzUyZjg3YzU4NzAzMTJkNTQ0NjRkOTE0YWViMzcifQ=="/>
    <w:docVar w:name="EN.InstantFormat" w:val="&lt;ENInstantFormat&gt;&lt;Enabled&gt;1&lt;/Enabled&gt;&lt;ScanUnformatted&gt;1&lt;/ScanUnformatted&gt;&lt;ScanChanges&gt;1&lt;/ScanChanges&gt;&lt;Suspended&gt;0&lt;/Suspended&gt;&lt;/ENInstantFormat&gt;"/>
    <w:docVar w:name="EN.Layout" w:val="&lt;ENLayout&gt;&lt;Style&gt;IJCEM&lt;/Style&gt;&lt;LeftDelim&gt;{&lt;/LeftDelim&gt;&lt;RightDelim&gt;}&lt;/RightDelim&gt;&lt;FontName&gt;宋体&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v9tvartsq5szage5druxt22yv9zpztzwfe5s&quot;&gt;Identification of the valuable B cell subtypes and hub genes in nasopharyngeal carcinoma from the single cell sequencing data and bulk RNA data &lt;record-ids&gt;&lt;item&gt;36&lt;/item&gt;&lt;item&gt;37&lt;/item&gt;&lt;item&gt;38&lt;/item&gt;&lt;item&gt;39&lt;/item&gt;&lt;item&gt;40&lt;/item&gt;&lt;item&gt;41&lt;/item&gt;&lt;item&gt;45&lt;/item&gt;&lt;item&gt;46&lt;/item&gt;&lt;item&gt;58&lt;/item&gt;&lt;/record-ids&gt;&lt;/item&gt;&lt;/Libraries&gt;"/>
  </w:docVars>
  <w:rsids>
    <w:rsidRoot w:val="001560CC"/>
    <w:rsid w:val="000001C8"/>
    <w:rsid w:val="0000158C"/>
    <w:rsid w:val="00042C1A"/>
    <w:rsid w:val="0006537D"/>
    <w:rsid w:val="000753CB"/>
    <w:rsid w:val="00076C59"/>
    <w:rsid w:val="00083EEE"/>
    <w:rsid w:val="000B0B81"/>
    <w:rsid w:val="000B327A"/>
    <w:rsid w:val="000C48BE"/>
    <w:rsid w:val="000C7355"/>
    <w:rsid w:val="000D16C4"/>
    <w:rsid w:val="000E2A9C"/>
    <w:rsid w:val="00101FA8"/>
    <w:rsid w:val="001027B5"/>
    <w:rsid w:val="00114034"/>
    <w:rsid w:val="00137E5F"/>
    <w:rsid w:val="00142DD5"/>
    <w:rsid w:val="001523E9"/>
    <w:rsid w:val="001560CC"/>
    <w:rsid w:val="001617D0"/>
    <w:rsid w:val="00177E65"/>
    <w:rsid w:val="00195A80"/>
    <w:rsid w:val="001E79AC"/>
    <w:rsid w:val="00203C49"/>
    <w:rsid w:val="00210E8A"/>
    <w:rsid w:val="002135CB"/>
    <w:rsid w:val="002240B8"/>
    <w:rsid w:val="0022741C"/>
    <w:rsid w:val="002418F1"/>
    <w:rsid w:val="00244C7C"/>
    <w:rsid w:val="002618D1"/>
    <w:rsid w:val="002A2B51"/>
    <w:rsid w:val="002C1DFE"/>
    <w:rsid w:val="002C500A"/>
    <w:rsid w:val="003164FE"/>
    <w:rsid w:val="0032043B"/>
    <w:rsid w:val="00326C92"/>
    <w:rsid w:val="00337C7F"/>
    <w:rsid w:val="00352023"/>
    <w:rsid w:val="00355976"/>
    <w:rsid w:val="00372BCE"/>
    <w:rsid w:val="0037517C"/>
    <w:rsid w:val="0038622F"/>
    <w:rsid w:val="00387012"/>
    <w:rsid w:val="00390EFB"/>
    <w:rsid w:val="003968CC"/>
    <w:rsid w:val="003977DE"/>
    <w:rsid w:val="003D2446"/>
    <w:rsid w:val="003E04B8"/>
    <w:rsid w:val="003E2311"/>
    <w:rsid w:val="00405DC4"/>
    <w:rsid w:val="00442D20"/>
    <w:rsid w:val="00447905"/>
    <w:rsid w:val="00453C76"/>
    <w:rsid w:val="00475047"/>
    <w:rsid w:val="00482A40"/>
    <w:rsid w:val="004A019C"/>
    <w:rsid w:val="004A3493"/>
    <w:rsid w:val="004A7226"/>
    <w:rsid w:val="004B30A3"/>
    <w:rsid w:val="004C08C1"/>
    <w:rsid w:val="004D0918"/>
    <w:rsid w:val="004F05BD"/>
    <w:rsid w:val="004F35AC"/>
    <w:rsid w:val="00511D31"/>
    <w:rsid w:val="005143EF"/>
    <w:rsid w:val="00522D2D"/>
    <w:rsid w:val="00553D29"/>
    <w:rsid w:val="00570176"/>
    <w:rsid w:val="005752FA"/>
    <w:rsid w:val="00582B32"/>
    <w:rsid w:val="00585FE9"/>
    <w:rsid w:val="005904D7"/>
    <w:rsid w:val="00593723"/>
    <w:rsid w:val="005B3CED"/>
    <w:rsid w:val="005C2B17"/>
    <w:rsid w:val="005C2ED0"/>
    <w:rsid w:val="005C77EA"/>
    <w:rsid w:val="005D13BB"/>
    <w:rsid w:val="005F3FF0"/>
    <w:rsid w:val="005F751B"/>
    <w:rsid w:val="00601D93"/>
    <w:rsid w:val="00612815"/>
    <w:rsid w:val="006A7F30"/>
    <w:rsid w:val="006B0131"/>
    <w:rsid w:val="006C651F"/>
    <w:rsid w:val="006D0353"/>
    <w:rsid w:val="006F6140"/>
    <w:rsid w:val="007626FB"/>
    <w:rsid w:val="0078010D"/>
    <w:rsid w:val="007943B0"/>
    <w:rsid w:val="00796CE6"/>
    <w:rsid w:val="007A7664"/>
    <w:rsid w:val="00817A12"/>
    <w:rsid w:val="00830E12"/>
    <w:rsid w:val="00843470"/>
    <w:rsid w:val="00893A07"/>
    <w:rsid w:val="00894194"/>
    <w:rsid w:val="008A28D0"/>
    <w:rsid w:val="008D2078"/>
    <w:rsid w:val="008D4871"/>
    <w:rsid w:val="008F432A"/>
    <w:rsid w:val="008F7D09"/>
    <w:rsid w:val="00904989"/>
    <w:rsid w:val="00933591"/>
    <w:rsid w:val="00940CB8"/>
    <w:rsid w:val="00946C91"/>
    <w:rsid w:val="00966B23"/>
    <w:rsid w:val="00984C00"/>
    <w:rsid w:val="009C2156"/>
    <w:rsid w:val="009F5484"/>
    <w:rsid w:val="00A248F2"/>
    <w:rsid w:val="00A42A1D"/>
    <w:rsid w:val="00A83CF4"/>
    <w:rsid w:val="00A90B62"/>
    <w:rsid w:val="00A93F7A"/>
    <w:rsid w:val="00AA49C7"/>
    <w:rsid w:val="00AB2519"/>
    <w:rsid w:val="00AC3489"/>
    <w:rsid w:val="00AD72A2"/>
    <w:rsid w:val="00B13B12"/>
    <w:rsid w:val="00B17DA8"/>
    <w:rsid w:val="00B22EA4"/>
    <w:rsid w:val="00B2779C"/>
    <w:rsid w:val="00B40838"/>
    <w:rsid w:val="00B663F2"/>
    <w:rsid w:val="00B73A60"/>
    <w:rsid w:val="00B85ED1"/>
    <w:rsid w:val="00B92B73"/>
    <w:rsid w:val="00BD7784"/>
    <w:rsid w:val="00BE0398"/>
    <w:rsid w:val="00BE7A23"/>
    <w:rsid w:val="00C00EA6"/>
    <w:rsid w:val="00C04AE3"/>
    <w:rsid w:val="00C224CF"/>
    <w:rsid w:val="00C44C79"/>
    <w:rsid w:val="00C61D6D"/>
    <w:rsid w:val="00C76887"/>
    <w:rsid w:val="00C80774"/>
    <w:rsid w:val="00C94D94"/>
    <w:rsid w:val="00CA5559"/>
    <w:rsid w:val="00CC25B6"/>
    <w:rsid w:val="00CD5091"/>
    <w:rsid w:val="00CE18E0"/>
    <w:rsid w:val="00D0315C"/>
    <w:rsid w:val="00D0712E"/>
    <w:rsid w:val="00D23DE9"/>
    <w:rsid w:val="00D35D07"/>
    <w:rsid w:val="00D448A9"/>
    <w:rsid w:val="00D45ED3"/>
    <w:rsid w:val="00D50E0B"/>
    <w:rsid w:val="00D51625"/>
    <w:rsid w:val="00D7423E"/>
    <w:rsid w:val="00DB0A1C"/>
    <w:rsid w:val="00DC31B5"/>
    <w:rsid w:val="00DD2121"/>
    <w:rsid w:val="00DE2358"/>
    <w:rsid w:val="00DE6425"/>
    <w:rsid w:val="00DF0881"/>
    <w:rsid w:val="00E653BB"/>
    <w:rsid w:val="00EF25EF"/>
    <w:rsid w:val="00F0230C"/>
    <w:rsid w:val="00F07070"/>
    <w:rsid w:val="00F10EB5"/>
    <w:rsid w:val="00F11895"/>
    <w:rsid w:val="00F13622"/>
    <w:rsid w:val="00F477D4"/>
    <w:rsid w:val="00F60924"/>
    <w:rsid w:val="00F617C1"/>
    <w:rsid w:val="00F83442"/>
    <w:rsid w:val="00F87AF8"/>
    <w:rsid w:val="00F92877"/>
    <w:rsid w:val="00F96E12"/>
    <w:rsid w:val="00FC4373"/>
    <w:rsid w:val="00FD64D4"/>
    <w:rsid w:val="00FF2CCF"/>
    <w:rsid w:val="3DB5170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4317A9CE"/>
  <w15:docId w15:val="{C79AC4F1-D061-E94C-B538-4FA142703B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qFormat="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ascii="宋体" w:eastAsia="宋体" w:hAnsi="宋体" w:cs="宋体"/>
      <w:sz w:val="24"/>
      <w:szCs w:val="24"/>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autoRedefine/>
    <w:uiPriority w:val="99"/>
    <w:unhideWhenUsed/>
    <w:qFormat/>
  </w:style>
  <w:style w:type="character" w:styleId="a5">
    <w:name w:val="Hyperlink"/>
    <w:basedOn w:val="a0"/>
    <w:autoRedefine/>
    <w:uiPriority w:val="99"/>
    <w:unhideWhenUsed/>
    <w:qFormat/>
    <w:rPr>
      <w:color w:val="0563C1" w:themeColor="hyperlink"/>
      <w:u w:val="single"/>
    </w:rPr>
  </w:style>
  <w:style w:type="character" w:styleId="a6">
    <w:name w:val="annotation reference"/>
    <w:basedOn w:val="a0"/>
    <w:uiPriority w:val="99"/>
    <w:semiHidden/>
    <w:unhideWhenUsed/>
    <w:qFormat/>
    <w:rPr>
      <w:sz w:val="21"/>
      <w:szCs w:val="21"/>
    </w:rPr>
  </w:style>
  <w:style w:type="character" w:customStyle="1" w:styleId="a4">
    <w:name w:val="批注文字 字符"/>
    <w:basedOn w:val="a0"/>
    <w:link w:val="a3"/>
    <w:uiPriority w:val="99"/>
    <w:qFormat/>
    <w:rPr>
      <w:rFonts w:ascii="宋体" w:eastAsia="宋体" w:hAnsi="宋体" w:cs="宋体"/>
      <w:kern w:val="0"/>
      <w:sz w:val="24"/>
    </w:rPr>
  </w:style>
  <w:style w:type="paragraph" w:customStyle="1" w:styleId="EndNoteBibliographyTitle">
    <w:name w:val="EndNote Bibliography Title"/>
    <w:basedOn w:val="a"/>
    <w:link w:val="EndNoteBibliographyTitle0"/>
    <w:pPr>
      <w:jc w:val="center"/>
    </w:pPr>
  </w:style>
  <w:style w:type="character" w:customStyle="1" w:styleId="EndNoteBibliographyTitle0">
    <w:name w:val="EndNote Bibliography Title 字符"/>
    <w:basedOn w:val="a0"/>
    <w:link w:val="EndNoteBibliographyTitle"/>
    <w:autoRedefine/>
    <w:qFormat/>
    <w:rPr>
      <w:rFonts w:ascii="宋体" w:eastAsia="宋体" w:hAnsi="宋体" w:cs="宋体"/>
      <w:sz w:val="24"/>
      <w:szCs w:val="24"/>
    </w:rPr>
  </w:style>
  <w:style w:type="paragraph" w:customStyle="1" w:styleId="EndNoteBibliography">
    <w:name w:val="EndNote Bibliography"/>
    <w:basedOn w:val="a"/>
    <w:link w:val="EndNoteBibliography0"/>
  </w:style>
  <w:style w:type="character" w:customStyle="1" w:styleId="EndNoteBibliography0">
    <w:name w:val="EndNote Bibliography 字符"/>
    <w:basedOn w:val="a0"/>
    <w:link w:val="EndNoteBibliography"/>
    <w:rPr>
      <w:rFonts w:ascii="宋体" w:eastAsia="宋体" w:hAnsi="宋体" w:cs="宋体"/>
      <w:sz w:val="24"/>
      <w:szCs w:val="24"/>
    </w:rPr>
  </w:style>
  <w:style w:type="paragraph" w:customStyle="1" w:styleId="1">
    <w:name w:val="修订1"/>
    <w:hidden/>
    <w:uiPriority w:val="99"/>
    <w:semiHidden/>
    <w:rPr>
      <w:rFonts w:ascii="宋体" w:eastAsia="宋体" w:hAnsi="宋体" w:cs="宋体"/>
      <w:sz w:val="24"/>
      <w:szCs w:val="24"/>
    </w:rPr>
  </w:style>
  <w:style w:type="paragraph" w:styleId="a7">
    <w:name w:val="Revision"/>
    <w:hidden/>
    <w:uiPriority w:val="99"/>
    <w:unhideWhenUsed/>
    <w:rsid w:val="00940CB8"/>
    <w:rPr>
      <w:rFonts w:ascii="宋体" w:eastAsia="宋体" w:hAnsi="宋体" w:cs="宋体"/>
      <w:sz w:val="24"/>
      <w:szCs w:val="24"/>
    </w:rPr>
  </w:style>
  <w:style w:type="character" w:styleId="a8">
    <w:name w:val="Unresolved Mention"/>
    <w:basedOn w:val="a0"/>
    <w:uiPriority w:val="99"/>
    <w:semiHidden/>
    <w:unhideWhenUsed/>
    <w:rsid w:val="00DB0A1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https://doi.org/10.1038/s41467-019-13056-x" TargetMode="External"/><Relationship Id="rId13" Type="http://schemas.openxmlformats.org/officeDocument/2006/relationships/hyperlink" Target="https://doi.org/10.1093/nar/gkv007" TargetMode="External"/><Relationship Id="rId3" Type="http://schemas.openxmlformats.org/officeDocument/2006/relationships/settings" Target="settings.xml"/><Relationship Id="rId7" Type="http://schemas.openxmlformats.org/officeDocument/2006/relationships/hyperlink" Target="https://doi.org/10.1038/nbt.3192" TargetMode="External"/><Relationship Id="rId12" Type="http://schemas.openxmlformats.org/officeDocument/2006/relationships/hyperlink" Target="https://doi.org/10.1089/omi.2011.0118"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hyperlink" Target="https://doi.org/10.1101/2022.03.23.485491" TargetMode="External"/><Relationship Id="rId11" Type="http://schemas.openxmlformats.org/officeDocument/2006/relationships/hyperlink" Target="https://doi.org/10.1186/1471-2105-14-7" TargetMode="External"/><Relationship Id="rId5" Type="http://schemas.openxmlformats.org/officeDocument/2006/relationships/hyperlink" Target="http://www.ncbi.nlm.nih.gov/geo/" TargetMode="External"/><Relationship Id="rId15" Type="http://schemas.openxmlformats.org/officeDocument/2006/relationships/fontTable" Target="fontTable.xml"/><Relationship Id="rId10" Type="http://schemas.openxmlformats.org/officeDocument/2006/relationships/hyperlink" Target="https://doi.org/10.1038/nature08460" TargetMode="External"/><Relationship Id="rId4" Type="http://schemas.openxmlformats.org/officeDocument/2006/relationships/webSettings" Target="webSettings.xml"/><Relationship Id="rId9" Type="http://schemas.openxmlformats.org/officeDocument/2006/relationships/hyperlink" Target="https://doi.org/10.1073/pnas.0506580102" TargetMode="External"/><Relationship Id="rId14" Type="http://schemas.openxmlformats.org/officeDocument/2006/relationships/hyperlink" Target="https://doi.org/10.1038/s41596-020-0292-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FA5A23A-F13E-604A-BDE9-61CCE10053D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4</Pages>
  <Words>2698</Words>
  <Characters>15384</Characters>
  <Application>Microsoft Office Word</Application>
  <DocSecurity>0</DocSecurity>
  <Lines>128</Lines>
  <Paragraphs>36</Paragraphs>
  <ScaleCrop>false</ScaleCrop>
  <Company/>
  <LinksUpToDate>false</LinksUpToDate>
  <CharactersWithSpaces>18046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Fangyan Zhong</dc:creator>
  <cp:lastModifiedBy>Zhong Fang-Yan</cp:lastModifiedBy>
  <cp:revision>55</cp:revision>
  <dcterms:created xsi:type="dcterms:W3CDTF">2023-08-28T02:40:00Z</dcterms:created>
  <dcterms:modified xsi:type="dcterms:W3CDTF">2024-05-14T06:13:00Z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2052-12.1.0.16309</vt:lpwstr>
  </property>
  <property fmtid="{D5CDD505-2E9C-101B-9397-08002B2CF9AE}" pid="3" name="ICV">
    <vt:lpwstr>50AAF638393D4F3AA0497518F66D4F55_13</vt:lpwstr>
  </property>
</Properties>
</file>