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S</w:t>
      </w:r>
      <w:r>
        <w:rPr>
          <w:rFonts w:hint="eastAsia" w:ascii="Times New Roman" w:hAnsi="Times New Roman" w:cs="Times New Roman"/>
          <w:b/>
          <w:sz w:val="30"/>
          <w:szCs w:val="30"/>
        </w:rPr>
        <w:t>upplementary</w:t>
      </w:r>
    </w:p>
    <w:p>
      <w:pPr>
        <w:spacing w:line="36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Striae </w:t>
      </w:r>
      <w:r>
        <w:rPr>
          <w:rFonts w:hint="eastAsia" w:ascii="Times New Roman" w:hAnsi="Times New Roman" w:cs="Times New Roman"/>
          <w:b/>
          <w:sz w:val="30"/>
          <w:szCs w:val="30"/>
        </w:rPr>
        <w:t>g</w:t>
      </w:r>
      <w:r>
        <w:rPr>
          <w:rFonts w:ascii="Times New Roman" w:hAnsi="Times New Roman" w:cs="Times New Roman"/>
          <w:b/>
          <w:sz w:val="30"/>
          <w:szCs w:val="30"/>
        </w:rPr>
        <w:t xml:space="preserve">ravidarum in </w:t>
      </w:r>
      <w:r>
        <w:rPr>
          <w:rFonts w:hint="eastAsia" w:ascii="Times New Roman" w:hAnsi="Times New Roman" w:cs="Times New Roman"/>
          <w:b/>
          <w:sz w:val="30"/>
          <w:szCs w:val="30"/>
        </w:rPr>
        <w:t xml:space="preserve">the </w:t>
      </w:r>
      <w:r>
        <w:rPr>
          <w:rFonts w:ascii="Times New Roman" w:hAnsi="Times New Roman" w:cs="Times New Roman"/>
          <w:b/>
          <w:sz w:val="30"/>
          <w:szCs w:val="30"/>
        </w:rPr>
        <w:t>Han Chinese</w:t>
      </w:r>
      <w:r>
        <w:rPr>
          <w:rFonts w:hint="eastAsia" w:ascii="Times New Roman" w:hAnsi="Times New Roman" w:cs="Times New Roman"/>
          <w:b/>
          <w:sz w:val="30"/>
          <w:szCs w:val="30"/>
        </w:rPr>
        <w:t xml:space="preserve"> p</w:t>
      </w:r>
      <w:r>
        <w:rPr>
          <w:rFonts w:ascii="Times New Roman" w:hAnsi="Times New Roman" w:cs="Times New Roman"/>
          <w:b/>
          <w:sz w:val="30"/>
          <w:szCs w:val="30"/>
        </w:rPr>
        <w:t xml:space="preserve">regnant population: Identifying </w:t>
      </w:r>
      <w:r>
        <w:rPr>
          <w:rFonts w:hint="eastAsia" w:ascii="Times New Roman" w:hAnsi="Times New Roman" w:cs="Times New Roman"/>
          <w:b/>
          <w:sz w:val="30"/>
          <w:szCs w:val="30"/>
        </w:rPr>
        <w:t>g</w:t>
      </w:r>
      <w:r>
        <w:rPr>
          <w:rFonts w:ascii="Times New Roman" w:hAnsi="Times New Roman" w:cs="Times New Roman"/>
          <w:b/>
          <w:sz w:val="30"/>
          <w:szCs w:val="30"/>
        </w:rPr>
        <w:t xml:space="preserve">enetic </w:t>
      </w:r>
      <w:r>
        <w:rPr>
          <w:rFonts w:hint="eastAsia" w:ascii="Times New Roman" w:hAnsi="Times New Roman" w:cs="Times New Roman"/>
          <w:b/>
          <w:sz w:val="30"/>
          <w:szCs w:val="30"/>
        </w:rPr>
        <w:t>m</w:t>
      </w:r>
      <w:r>
        <w:rPr>
          <w:rFonts w:ascii="Times New Roman" w:hAnsi="Times New Roman" w:cs="Times New Roman"/>
          <w:b/>
          <w:sz w:val="30"/>
          <w:szCs w:val="30"/>
        </w:rPr>
        <w:t xml:space="preserve">arkers and </w:t>
      </w:r>
      <w:r>
        <w:rPr>
          <w:rFonts w:hint="eastAsia" w:ascii="Times New Roman" w:hAnsi="Times New Roman" w:cs="Times New Roman"/>
          <w:b/>
          <w:sz w:val="30"/>
          <w:szCs w:val="30"/>
        </w:rPr>
        <w:t>r</w:t>
      </w:r>
      <w:r>
        <w:rPr>
          <w:rFonts w:ascii="Times New Roman" w:hAnsi="Times New Roman" w:cs="Times New Roman"/>
          <w:b/>
          <w:sz w:val="30"/>
          <w:szCs w:val="30"/>
        </w:rPr>
        <w:t xml:space="preserve">isk </w:t>
      </w:r>
      <w:r>
        <w:rPr>
          <w:rFonts w:hint="eastAsia" w:ascii="Times New Roman" w:hAnsi="Times New Roman" w:cs="Times New Roman"/>
          <w:b/>
          <w:sz w:val="30"/>
          <w:szCs w:val="30"/>
        </w:rPr>
        <w:t>f</w:t>
      </w:r>
      <w:r>
        <w:rPr>
          <w:rFonts w:ascii="Times New Roman" w:hAnsi="Times New Roman" w:cs="Times New Roman"/>
          <w:b/>
          <w:sz w:val="30"/>
          <w:szCs w:val="30"/>
        </w:rPr>
        <w:t xml:space="preserve">actors </w:t>
      </w:r>
      <w:r>
        <w:rPr>
          <w:rFonts w:hint="eastAsia" w:ascii="Times New Roman" w:hAnsi="Times New Roman" w:cs="Times New Roman"/>
          <w:b/>
          <w:sz w:val="30"/>
          <w:szCs w:val="30"/>
        </w:rPr>
        <w:t>t</w:t>
      </w:r>
      <w:r>
        <w:rPr>
          <w:rFonts w:ascii="Times New Roman" w:hAnsi="Times New Roman" w:cs="Times New Roman"/>
          <w:b/>
          <w:sz w:val="30"/>
          <w:szCs w:val="30"/>
        </w:rPr>
        <w:t xml:space="preserve">hrough a </w:t>
      </w:r>
      <w:r>
        <w:rPr>
          <w:rFonts w:hint="eastAsia" w:ascii="Times New Roman" w:hAnsi="Times New Roman" w:cs="Times New Roman"/>
          <w:b/>
          <w:sz w:val="30"/>
          <w:szCs w:val="30"/>
        </w:rPr>
        <w:t>p</w:t>
      </w:r>
      <w:r>
        <w:rPr>
          <w:rFonts w:ascii="Times New Roman" w:hAnsi="Times New Roman" w:cs="Times New Roman"/>
          <w:b/>
          <w:sz w:val="30"/>
          <w:szCs w:val="30"/>
        </w:rPr>
        <w:t xml:space="preserve">rospective </w:t>
      </w:r>
      <w:r>
        <w:rPr>
          <w:rFonts w:hint="eastAsia" w:ascii="Times New Roman" w:hAnsi="Times New Roman" w:cs="Times New Roman"/>
          <w:b/>
          <w:sz w:val="30"/>
          <w:szCs w:val="30"/>
        </w:rPr>
        <w:t>c</w:t>
      </w:r>
      <w:r>
        <w:rPr>
          <w:rFonts w:ascii="Times New Roman" w:hAnsi="Times New Roman" w:cs="Times New Roman"/>
          <w:b/>
          <w:sz w:val="30"/>
          <w:szCs w:val="30"/>
        </w:rPr>
        <w:t xml:space="preserve">ohort </w:t>
      </w:r>
      <w:r>
        <w:rPr>
          <w:rFonts w:hint="eastAsia" w:ascii="Times New Roman" w:hAnsi="Times New Roman" w:cs="Times New Roman"/>
          <w:b/>
          <w:sz w:val="30"/>
          <w:szCs w:val="30"/>
        </w:rPr>
        <w:t>s</w:t>
      </w:r>
      <w:r>
        <w:rPr>
          <w:rFonts w:ascii="Times New Roman" w:hAnsi="Times New Roman" w:cs="Times New Roman"/>
          <w:b/>
          <w:sz w:val="30"/>
          <w:szCs w:val="30"/>
        </w:rPr>
        <w:t>tudy</w:t>
      </w:r>
    </w:p>
    <w:p>
      <w:pPr>
        <w:rPr>
          <w:rFonts w:ascii="Times New Roman" w:hAnsi="Times New Roman"/>
          <w:szCs w:val="21"/>
          <w:vertAlign w:val="superscript"/>
        </w:rPr>
      </w:pPr>
      <w:bookmarkStart w:id="11" w:name="_GoBack"/>
      <w:bookmarkEnd w:id="11"/>
      <w:r>
        <w:rPr>
          <w:rFonts w:hint="eastAsia" w:ascii="Times New Roman" w:hAnsi="Times New Roman" w:eastAsia="DengXian"/>
          <w:szCs w:val="21"/>
        </w:rPr>
        <w:t>Lidan Xiong</w:t>
      </w:r>
      <w:r>
        <w:rPr>
          <w:rFonts w:hint="eastAsia" w:ascii="Times New Roman" w:hAnsi="Times New Roman"/>
          <w:szCs w:val="21"/>
          <w:vertAlign w:val="superscript"/>
        </w:rPr>
        <w:t>1,2</w:t>
      </w:r>
      <w:r>
        <w:rPr>
          <w:rFonts w:ascii="Times New Roman" w:hAnsi="Times New Roman"/>
          <w:szCs w:val="21"/>
          <w:vertAlign w:val="superscript"/>
        </w:rPr>
        <w:t>†</w:t>
      </w:r>
      <w:r>
        <w:rPr>
          <w:rFonts w:hint="eastAsia" w:ascii="Times New Roman" w:hAnsi="Times New Roman" w:eastAsia="DengXian"/>
          <w:szCs w:val="21"/>
        </w:rPr>
        <w:t>,</w:t>
      </w:r>
      <w:r>
        <w:rPr>
          <w:rFonts w:hint="eastAsia" w:ascii="Times New Roman" w:hAnsi="Times New Roman"/>
          <w:szCs w:val="21"/>
        </w:rPr>
        <w:t xml:space="preserve"> Hailun He</w:t>
      </w:r>
      <w:r>
        <w:rPr>
          <w:rFonts w:hint="eastAsia" w:ascii="Times New Roman" w:hAnsi="Times New Roman"/>
          <w:szCs w:val="21"/>
          <w:vertAlign w:val="superscript"/>
        </w:rPr>
        <w:t>3</w:t>
      </w:r>
      <w:r>
        <w:rPr>
          <w:rFonts w:ascii="Times New Roman" w:hAnsi="Times New Roman"/>
          <w:szCs w:val="21"/>
          <w:vertAlign w:val="superscript"/>
        </w:rPr>
        <w:t>†</w:t>
      </w:r>
      <w:r>
        <w:rPr>
          <w:rFonts w:hint="eastAsia" w:ascii="Times New Roman" w:hAnsi="Times New Roman" w:eastAsia="DengXian"/>
          <w:szCs w:val="21"/>
        </w:rPr>
        <w:t>,</w:t>
      </w:r>
      <w:r>
        <w:rPr>
          <w:rFonts w:hint="eastAsia" w:ascii="Times New Roman" w:hAnsi="Times New Roman"/>
          <w:szCs w:val="21"/>
        </w:rPr>
        <w:t xml:space="preserve"> Jianguo Chen</w:t>
      </w:r>
      <w:r>
        <w:rPr>
          <w:rFonts w:hint="eastAsia" w:ascii="Times New Roman" w:hAnsi="Times New Roman"/>
          <w:szCs w:val="21"/>
          <w:vertAlign w:val="superscript"/>
        </w:rPr>
        <w:t>4</w:t>
      </w:r>
      <w:r>
        <w:rPr>
          <w:rFonts w:hint="eastAsia" w:ascii="Times New Roman" w:hAnsi="Times New Roman"/>
          <w:szCs w:val="21"/>
        </w:rPr>
        <w:t>, Yinshu Wang</w:t>
      </w:r>
      <w:r>
        <w:rPr>
          <w:rFonts w:hint="eastAsia" w:ascii="Times New Roman" w:hAnsi="Times New Roman"/>
          <w:szCs w:val="21"/>
          <w:vertAlign w:val="superscript"/>
        </w:rPr>
        <w:t>1,2</w:t>
      </w:r>
      <w:r>
        <w:rPr>
          <w:rFonts w:hint="eastAsia" w:ascii="Times New Roman" w:hAnsi="Times New Roman"/>
          <w:szCs w:val="21"/>
        </w:rPr>
        <w:t>, Xiuju Dong</w:t>
      </w:r>
      <w:r>
        <w:rPr>
          <w:rFonts w:hint="eastAsia" w:ascii="Times New Roman" w:hAnsi="Times New Roman"/>
          <w:szCs w:val="21"/>
          <w:vertAlign w:val="superscript"/>
        </w:rPr>
        <w:t>1,2</w:t>
      </w:r>
      <w:r>
        <w:rPr>
          <w:rFonts w:hint="eastAsia" w:ascii="Times New Roman" w:hAnsi="Times New Roman"/>
          <w:szCs w:val="21"/>
        </w:rPr>
        <w:t xml:space="preserve">, </w:t>
      </w:r>
      <w:r>
        <w:rPr>
          <w:rFonts w:hint="eastAsia" w:ascii="Times New Roman" w:hAnsi="Times New Roman" w:eastAsia="DengXian"/>
          <w:szCs w:val="21"/>
        </w:rPr>
        <w:t>Li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hint="eastAsia" w:ascii="Times New Roman" w:hAnsi="Times New Roman" w:eastAsia="DengXian"/>
          <w:szCs w:val="21"/>
        </w:rPr>
        <w:t>Li</w:t>
      </w:r>
      <w:r>
        <w:rPr>
          <w:rFonts w:hint="eastAsia" w:ascii="Times New Roman" w:hAnsi="Times New Roman"/>
          <w:szCs w:val="21"/>
          <w:vertAlign w:val="superscript"/>
        </w:rPr>
        <w:t>1,2</w:t>
      </w:r>
      <w:r>
        <w:rPr>
          <w:rFonts w:ascii="Times New Roman" w:hAnsi="Times New Roman" w:eastAsia="DengXian" w:cs="Times New Roman"/>
          <w:szCs w:val="21"/>
          <w:vertAlign w:val="superscript"/>
        </w:rPr>
        <w:t>⁎</w:t>
      </w:r>
      <w:r>
        <w:rPr>
          <w:rFonts w:hint="eastAsia" w:ascii="Times New Roman" w:hAnsi="Times New Roman"/>
          <w:szCs w:val="21"/>
        </w:rPr>
        <w:t>, Yuanyan Han</w:t>
      </w:r>
      <w:r>
        <w:rPr>
          <w:rFonts w:hint="eastAsia" w:ascii="Times New Roman" w:hAnsi="Times New Roman"/>
          <w:szCs w:val="21"/>
          <w:vertAlign w:val="superscript"/>
        </w:rPr>
        <w:t>1,2</w:t>
      </w:r>
      <w:r>
        <w:rPr>
          <w:rFonts w:ascii="Times New Roman" w:hAnsi="Times New Roman" w:eastAsia="DengXian" w:cs="Times New Roman"/>
          <w:szCs w:val="21"/>
          <w:vertAlign w:val="superscript"/>
        </w:rPr>
        <w:t>⁎</w:t>
      </w:r>
    </w:p>
    <w:p>
      <w:pPr>
        <w:tabs>
          <w:tab w:val="left" w:pos="1356"/>
        </w:tabs>
        <w:spacing w:line="360" w:lineRule="auto"/>
        <w:rPr>
          <w:rFonts w:ascii="Times New Roman" w:hAnsi="Times New Roman"/>
          <w:sz w:val="22"/>
        </w:rPr>
      </w:pPr>
      <w:bookmarkStart w:id="0" w:name="OLE_LINK3"/>
      <w:bookmarkStart w:id="1" w:name="OLE_LINK4"/>
      <w:bookmarkStart w:id="2" w:name="OLE_LINK352"/>
      <w:bookmarkStart w:id="3" w:name="OLE_LINK351"/>
      <w:r>
        <w:rPr>
          <w:rFonts w:hint="eastAsia" w:ascii="Times New Roman" w:hAnsi="Times New Roman"/>
          <w:sz w:val="22"/>
          <w:vertAlign w:val="superscript"/>
        </w:rPr>
        <w:t>1</w:t>
      </w:r>
      <w:r>
        <w:rPr>
          <w:rFonts w:ascii="Times New Roman" w:hAnsi="Times New Roman"/>
          <w:sz w:val="22"/>
          <w:vertAlign w:val="superscript"/>
        </w:rPr>
        <w:t xml:space="preserve"> </w:t>
      </w:r>
      <w:bookmarkStart w:id="4" w:name="OLE_LINK339"/>
      <w:bookmarkStart w:id="5" w:name="OLE_LINK104"/>
      <w:r>
        <w:rPr>
          <w:rFonts w:ascii="Times New Roman" w:hAnsi="Times New Roman"/>
          <w:sz w:val="22"/>
        </w:rPr>
        <w:t>Evaluation Center</w:t>
      </w:r>
      <w:r>
        <w:rPr>
          <w:rFonts w:hint="eastAsia" w:ascii="Times New Roman" w:hAnsi="Times New Roman"/>
          <w:sz w:val="22"/>
        </w:rPr>
        <w:t xml:space="preserve"> for </w:t>
      </w:r>
      <w:r>
        <w:rPr>
          <w:rFonts w:ascii="Times New Roman" w:hAnsi="Times New Roman"/>
          <w:sz w:val="22"/>
        </w:rPr>
        <w:t xml:space="preserve">Cosmetics </w:t>
      </w:r>
      <w:bookmarkEnd w:id="0"/>
      <w:bookmarkEnd w:id="1"/>
      <w:r>
        <w:rPr>
          <w:rFonts w:ascii="Times New Roman" w:hAnsi="Times New Roman"/>
          <w:sz w:val="22"/>
        </w:rPr>
        <w:t>Safety and Efficacy</w:t>
      </w:r>
      <w:bookmarkEnd w:id="4"/>
      <w:r>
        <w:rPr>
          <w:rFonts w:ascii="Times New Roman" w:hAnsi="Times New Roman"/>
          <w:sz w:val="22"/>
        </w:rPr>
        <w:t xml:space="preserve">, </w:t>
      </w:r>
      <w:bookmarkStart w:id="6" w:name="OLE_LINK135"/>
      <w:bookmarkStart w:id="7" w:name="OLE_LINK123"/>
      <w:bookmarkStart w:id="8" w:name="OLE_LINK122"/>
      <w:r>
        <w:rPr>
          <w:rFonts w:ascii="Times New Roman" w:hAnsi="Times New Roman"/>
          <w:sz w:val="22"/>
        </w:rPr>
        <w:t xml:space="preserve">West China Hospital, </w:t>
      </w:r>
      <w:bookmarkEnd w:id="5"/>
      <w:r>
        <w:rPr>
          <w:rFonts w:ascii="Times New Roman" w:hAnsi="Times New Roman"/>
          <w:sz w:val="22"/>
        </w:rPr>
        <w:t>Sichuan University</w:t>
      </w:r>
      <w:bookmarkEnd w:id="6"/>
      <w:bookmarkStart w:id="9" w:name="OLE_LINK86"/>
      <w:bookmarkStart w:id="10" w:name="OLE_LINK85"/>
      <w:r>
        <w:rPr>
          <w:rFonts w:ascii="Times New Roman" w:hAnsi="Times New Roman"/>
          <w:sz w:val="22"/>
        </w:rPr>
        <w:t>,</w:t>
      </w:r>
      <w:bookmarkEnd w:id="7"/>
      <w:bookmarkEnd w:id="8"/>
      <w:r>
        <w:rPr>
          <w:rFonts w:ascii="Times New Roman" w:hAnsi="Times New Roman"/>
          <w:sz w:val="22"/>
        </w:rPr>
        <w:t xml:space="preserve"> No. 5, Gong Xing Road, </w:t>
      </w:r>
      <w:bookmarkEnd w:id="9"/>
      <w:bookmarkEnd w:id="10"/>
      <w:r>
        <w:rPr>
          <w:rFonts w:ascii="Times New Roman" w:hAnsi="Times New Roman"/>
          <w:sz w:val="22"/>
        </w:rPr>
        <w:t>Chengdu, Sichuan, China</w:t>
      </w:r>
    </w:p>
    <w:bookmarkEnd w:id="2"/>
    <w:bookmarkEnd w:id="3"/>
    <w:p>
      <w:pPr>
        <w:tabs>
          <w:tab w:val="left" w:pos="1356"/>
        </w:tabs>
        <w:spacing w:line="360" w:lineRule="auto"/>
        <w:rPr>
          <w:rFonts w:ascii="Times New Roman" w:hAnsi="Times New Roman"/>
          <w:sz w:val="22"/>
        </w:rPr>
      </w:pPr>
      <w:r>
        <w:rPr>
          <w:rFonts w:hint="eastAsia" w:ascii="Times New Roman" w:hAnsi="Times New Roman"/>
          <w:sz w:val="22"/>
          <w:vertAlign w:val="superscript"/>
        </w:rPr>
        <w:t>2</w:t>
      </w:r>
      <w:r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  <w:sz w:val="22"/>
        </w:rPr>
        <w:t>Sichuan Engineering Technology Research Center of Cosmetic, No. 5, Gong Xing Road, Chengdu, Sichuan, China</w:t>
      </w:r>
    </w:p>
    <w:p>
      <w:pPr>
        <w:tabs>
          <w:tab w:val="left" w:pos="1356"/>
        </w:tabs>
        <w:spacing w:line="360" w:lineRule="auto"/>
        <w:rPr>
          <w:rFonts w:ascii="Times New Roman" w:hAnsi="Times New Roman"/>
          <w:sz w:val="22"/>
        </w:rPr>
      </w:pPr>
      <w:r>
        <w:rPr>
          <w:rFonts w:hint="eastAsia" w:ascii="Times New Roman" w:hAnsi="Times New Roman"/>
          <w:sz w:val="22"/>
          <w:vertAlign w:val="superscript"/>
        </w:rPr>
        <w:t>3</w:t>
      </w:r>
      <w:r>
        <w:rPr>
          <w:rFonts w:hint="eastAsia" w:ascii="Times New Roman" w:hAnsi="Times New Roman"/>
          <w:sz w:val="22"/>
        </w:rPr>
        <w:t xml:space="preserve"> The Third People’s Hospital of Chengdu</w:t>
      </w:r>
      <w:r>
        <w:rPr>
          <w:rFonts w:ascii="Times New Roman" w:hAnsi="Times New Roman"/>
          <w:sz w:val="22"/>
        </w:rPr>
        <w:t>, Sichuan, China</w:t>
      </w:r>
    </w:p>
    <w:p>
      <w:pPr>
        <w:spacing w:line="360" w:lineRule="auto"/>
        <w:rPr>
          <w:rFonts w:ascii="Times New Roman" w:hAnsi="Times New Roman"/>
          <w:sz w:val="22"/>
        </w:rPr>
      </w:pPr>
      <w:r>
        <w:rPr>
          <w:rFonts w:hint="eastAsia" w:ascii="Times New Roman" w:hAnsi="Times New Roman"/>
          <w:sz w:val="22"/>
          <w:vertAlign w:val="superscript"/>
        </w:rPr>
        <w:t>4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Hangzhou Songyang Biotechnology Co., Ltd</w:t>
      </w:r>
      <w:r>
        <w:rPr>
          <w:rFonts w:hint="eastAsia"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Hangzhou</w:t>
      </w:r>
      <w:r>
        <w:rPr>
          <w:rFonts w:hint="eastAsia" w:ascii="Times New Roman" w:hAnsi="Times New Roman"/>
          <w:sz w:val="22"/>
        </w:rPr>
        <w:t>, China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*Correspondence: </w:t>
      </w:r>
      <w:r>
        <w:fldChar w:fldCharType="begin"/>
      </w:r>
      <w:r>
        <w:instrText xml:space="preserve"> HYPERLINK "mailto:lilihx_scu@scu.edu.cn"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4"/>
          <w:szCs w:val="24"/>
        </w:rPr>
        <w:t>lilihx_scu@scu.edu.cn</w:t>
      </w:r>
      <w:r>
        <w:rPr>
          <w:rStyle w:val="5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"mailto:hanyuanyuan@wchscu.cn"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4"/>
          <w:szCs w:val="24"/>
        </w:rPr>
        <w:t>hanyuanyuan@wchscu.cn</w:t>
      </w:r>
      <w:r>
        <w:rPr>
          <w:rStyle w:val="5"/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†</w:t>
      </w:r>
      <w:r>
        <w:rPr>
          <w:rFonts w:hint="eastAsia" w:ascii="Times New Roman" w:hAnsi="Times New Roman" w:eastAsia="DengXian"/>
          <w:szCs w:val="21"/>
        </w:rPr>
        <w:t xml:space="preserve"> Lidan Xiong and</w:t>
      </w:r>
      <w:r>
        <w:rPr>
          <w:rFonts w:hint="eastAsia" w:ascii="Times New Roman" w:hAnsi="Times New Roman"/>
          <w:szCs w:val="21"/>
        </w:rPr>
        <w:t xml:space="preserve"> Hailun He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contributed equally to this work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and share</w:t>
      </w:r>
      <w:r>
        <w:rPr>
          <w:rFonts w:hint="eastAsia"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first authorship.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*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Li Li</w:t>
      </w:r>
      <w:r>
        <w:rPr>
          <w:rFonts w:hint="eastAsia"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szCs w:val="21"/>
        </w:rPr>
        <w:t>Yuanyu</w:t>
      </w:r>
      <w:r>
        <w:rPr>
          <w:rFonts w:hint="eastAsia"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n Han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contributed equally to this work and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share</w:t>
      </w:r>
      <w:r>
        <w:rPr>
          <w:rFonts w:hint="eastAsia"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correspondence</w:t>
      </w:r>
      <w:r>
        <w:rPr>
          <w:rFonts w:ascii="Times New Roman" w:hAnsi="Times New Roman" w:cs="Times New Roman"/>
          <w:szCs w:val="21"/>
        </w:rPr>
        <w:t xml:space="preserve"> authorship.</w:t>
      </w:r>
    </w:p>
    <w:p/>
    <w:p>
      <w:pPr>
        <w:spacing w:line="360" w:lineRule="auto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Results</w:t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Comparison between primipara and multipara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e times of gestation and delivery are compared. Here are 329 women who are multipara. Table </w:t>
      </w:r>
      <w:r>
        <w:rPr>
          <w:rFonts w:hint="eastAsia" w:ascii="Times New Roman" w:hAnsi="Times New Roman" w:cs="Times New Roman"/>
          <w:sz w:val="24"/>
          <w:szCs w:val="24"/>
        </w:rPr>
        <w:t xml:space="preserve">S1 </w:t>
      </w:r>
      <w:r>
        <w:rPr>
          <w:rFonts w:ascii="Times New Roman" w:hAnsi="Times New Roman" w:cs="Times New Roman"/>
          <w:sz w:val="24"/>
          <w:szCs w:val="24"/>
        </w:rPr>
        <w:t xml:space="preserve">shows the comparison between primipara and multipara. Table </w:t>
      </w:r>
      <w:r>
        <w:rPr>
          <w:rFonts w:hint="eastAsia"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 manifests the comparison between first and second delivery. P＜0.001, the difference is statistically significant. Multipara women and second delivery are less vulnerable to </w:t>
      </w:r>
      <w:r>
        <w:rPr>
          <w:rFonts w:hint="eastAsia" w:ascii="Times New Roman" w:hAnsi="Times New Roman" w:cs="Times New Roman"/>
          <w:sz w:val="24"/>
          <w:szCs w:val="24"/>
        </w:rPr>
        <w:t>SG.</w:t>
      </w:r>
    </w:p>
    <w:p>
      <w:pPr>
        <w:spacing w:line="360" w:lineRule="auto"/>
        <w:rPr>
          <w:rFonts w:ascii="Times New Roman" w:hAnsi="Times New Roman" w:cs="Times New Roman"/>
        </w:rPr>
      </w:pP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</w:t>
      </w:r>
      <w:r>
        <w:rPr>
          <w:rFonts w:hint="eastAsia" w:ascii="Times New Roman" w:hAnsi="Times New Roman" w:cs="Times New Roman"/>
        </w:rPr>
        <w:t xml:space="preserve"> S1</w:t>
      </w:r>
      <w:r>
        <w:rPr>
          <w:rFonts w:ascii="Times New Roman" w:hAnsi="Times New Roman" w:cs="Times New Roman"/>
        </w:rPr>
        <w:t>. The incidence of SG between primipara and multipara</w:t>
      </w:r>
    </w:p>
    <w:tbl>
      <w:tblPr>
        <w:tblStyle w:val="3"/>
        <w:tblW w:w="5000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1729"/>
        <w:gridCol w:w="1453"/>
        <w:gridCol w:w="887"/>
        <w:gridCol w:w="1327"/>
        <w:gridCol w:w="1495"/>
      </w:tblGrid>
      <w:tr>
        <w:tc>
          <w:tcPr>
            <w:tcW w:w="1969" w:type="pct"/>
            <w:gridSpan w:val="2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Variates</w:t>
            </w:r>
          </w:p>
        </w:tc>
        <w:tc>
          <w:tcPr>
            <w:tcW w:w="853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Non-SG</w:t>
            </w:r>
          </w:p>
        </w:tc>
        <w:tc>
          <w:tcPr>
            <w:tcW w:w="521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SG</w:t>
            </w:r>
          </w:p>
        </w:tc>
        <w:tc>
          <w:tcPr>
            <w:tcW w:w="779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χ</w:t>
            </w: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78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P</w:t>
            </w:r>
          </w:p>
        </w:tc>
      </w:tr>
      <w:tr>
        <w:tc>
          <w:tcPr>
            <w:tcW w:w="954" w:type="pct"/>
            <w:vMerge w:val="restart"/>
          </w:tcPr>
          <w:p>
            <w:pPr>
              <w:spacing w:line="360" w:lineRule="auto"/>
              <w:rPr>
                <w:rFonts w:ascii="Times New Roman" w:hAnsi="Times New Roman" w:cs="Times New Roman"/>
                <w:b w:val="0"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 w:themeColor="text1" w:themeShade="BF"/>
                <w:sz w:val="18"/>
                <w:szCs w:val="18"/>
              </w:rPr>
              <w:t>Times of gestation</w:t>
            </w:r>
          </w:p>
        </w:tc>
        <w:tc>
          <w:tcPr>
            <w:tcW w:w="1015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primipara</w:t>
            </w:r>
          </w:p>
        </w:tc>
        <w:tc>
          <w:tcPr>
            <w:tcW w:w="853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297</w:t>
            </w:r>
          </w:p>
        </w:tc>
        <w:tc>
          <w:tcPr>
            <w:tcW w:w="521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391</w:t>
            </w:r>
          </w:p>
        </w:tc>
        <w:tc>
          <w:tcPr>
            <w:tcW w:w="779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43.803</w:t>
            </w:r>
          </w:p>
        </w:tc>
        <w:tc>
          <w:tcPr>
            <w:tcW w:w="878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＜0.001</w:t>
            </w:r>
          </w:p>
        </w:tc>
      </w:tr>
      <w:tr>
        <w:tc>
          <w:tcPr>
            <w:tcW w:w="954" w:type="pct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</w:p>
        </w:tc>
        <w:tc>
          <w:tcPr>
            <w:tcW w:w="1015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multipara</w:t>
            </w:r>
          </w:p>
        </w:tc>
        <w:tc>
          <w:tcPr>
            <w:tcW w:w="853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215</w:t>
            </w:r>
          </w:p>
        </w:tc>
        <w:tc>
          <w:tcPr>
            <w:tcW w:w="521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114</w:t>
            </w:r>
          </w:p>
        </w:tc>
        <w:tc>
          <w:tcPr>
            <w:tcW w:w="779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</w:p>
        </w:tc>
        <w:tc>
          <w:tcPr>
            <w:tcW w:w="878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</w:p>
        </w:tc>
      </w:tr>
    </w:tbl>
    <w:p>
      <w:pPr>
        <w:spacing w:line="360" w:lineRule="auto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Statistically significant, P &lt; 0.0</w:t>
      </w:r>
      <w:r>
        <w:rPr>
          <w:rFonts w:hint="eastAsia" w:ascii="Times New Roman" w:hAnsi="Times New Roman" w:cs="Times New Roman"/>
        </w:rPr>
        <w:t>01</w:t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. The incidence of SG between first and second delivery</w:t>
      </w:r>
    </w:p>
    <w:tbl>
      <w:tblPr>
        <w:tblStyle w:val="3"/>
        <w:tblW w:w="5000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1247"/>
        <w:gridCol w:w="1332"/>
        <w:gridCol w:w="814"/>
        <w:gridCol w:w="1218"/>
        <w:gridCol w:w="1373"/>
      </w:tblGrid>
      <w:tr>
        <w:tc>
          <w:tcPr>
            <w:tcW w:w="2219" w:type="pct"/>
            <w:gridSpan w:val="2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Variates</w:t>
            </w:r>
          </w:p>
        </w:tc>
        <w:tc>
          <w:tcPr>
            <w:tcW w:w="782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Non-SG</w:t>
            </w:r>
          </w:p>
        </w:tc>
        <w:tc>
          <w:tcPr>
            <w:tcW w:w="478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SG</w:t>
            </w:r>
          </w:p>
        </w:tc>
        <w:tc>
          <w:tcPr>
            <w:tcW w:w="715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χ</w:t>
            </w: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6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P</w:t>
            </w:r>
          </w:p>
        </w:tc>
      </w:tr>
      <w:tr>
        <w:tc>
          <w:tcPr>
            <w:tcW w:w="1487" w:type="pct"/>
            <w:vMerge w:val="restart"/>
          </w:tcPr>
          <w:p>
            <w:pPr>
              <w:spacing w:line="360" w:lineRule="auto"/>
              <w:rPr>
                <w:rFonts w:ascii="Times New Roman" w:hAnsi="Times New Roman" w:cs="Times New Roman"/>
                <w:b w:val="0"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 w:themeColor="text1" w:themeShade="BF"/>
                <w:sz w:val="18"/>
                <w:szCs w:val="18"/>
              </w:rPr>
              <w:t>Times of delivery</w:t>
            </w:r>
          </w:p>
        </w:tc>
        <w:tc>
          <w:tcPr>
            <w:tcW w:w="732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first</w:t>
            </w:r>
          </w:p>
        </w:tc>
        <w:tc>
          <w:tcPr>
            <w:tcW w:w="782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135</w:t>
            </w:r>
          </w:p>
        </w:tc>
        <w:tc>
          <w:tcPr>
            <w:tcW w:w="478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205</w:t>
            </w:r>
          </w:p>
        </w:tc>
        <w:tc>
          <w:tcPr>
            <w:tcW w:w="715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48.898</w:t>
            </w:r>
          </w:p>
        </w:tc>
        <w:tc>
          <w:tcPr>
            <w:tcW w:w="806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＜0.001</w:t>
            </w:r>
          </w:p>
        </w:tc>
      </w:tr>
      <w:tr>
        <w:tc>
          <w:tcPr>
            <w:tcW w:w="1487" w:type="pct"/>
            <w:vMerge w:val="continue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</w:p>
        </w:tc>
        <w:tc>
          <w:tcPr>
            <w:tcW w:w="732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second</w:t>
            </w:r>
          </w:p>
        </w:tc>
        <w:tc>
          <w:tcPr>
            <w:tcW w:w="782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226</w:t>
            </w:r>
          </w:p>
        </w:tc>
        <w:tc>
          <w:tcPr>
            <w:tcW w:w="478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114</w:t>
            </w:r>
          </w:p>
        </w:tc>
        <w:tc>
          <w:tcPr>
            <w:tcW w:w="715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</w:p>
        </w:tc>
        <w:tc>
          <w:tcPr>
            <w:tcW w:w="806" w:type="pct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</w:p>
        </w:tc>
      </w:tr>
    </w:tbl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Statistically significant, P &lt; 0.001</w:t>
      </w:r>
    </w:p>
    <w:p/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Association between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reported SNP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SG</w:t>
      </w:r>
    </w:p>
    <w:p>
      <w:pPr>
        <w:spacing w:line="360" w:lineRule="auto"/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</w:pPr>
      <w:r>
        <w:rPr>
          <w:rFonts w:hint="eastAsia" w:ascii="Times New Roman" w:hAnsi="Times New Roman" w:cs="Times New Roman"/>
          <w:bCs/>
          <w:color w:val="000000" w:themeColor="text1" w:themeShade="BF"/>
          <w:sz w:val="24"/>
          <w:szCs w:val="24"/>
        </w:rPr>
        <w:t>Two</w: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t xml:space="preserve"> SNPs have</w:t>
      </w:r>
      <w:r>
        <w:rPr>
          <w:rFonts w:hint="eastAsia" w:ascii="Times New Roman" w:hAnsi="Times New Roman" w:cs="Times New Roman"/>
          <w:bCs/>
          <w:color w:val="000000" w:themeColor="text1" w:themeShade="BF"/>
          <w:sz w:val="24"/>
          <w:szCs w:val="24"/>
        </w:rPr>
        <w:t xml:space="preserve"> been verified </w: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t>that have been reported in research</w:t>
      </w:r>
      <w:r>
        <w:rPr>
          <w:rFonts w:hint="eastAsia" w:ascii="Times New Roman" w:hAnsi="Times New Roman" w:cs="Times New Roman"/>
          <w:bCs/>
          <w:color w:val="000000" w:themeColor="text1" w:themeShade="BF"/>
          <w:sz w:val="24"/>
          <w:szCs w:val="24"/>
        </w:rPr>
        <w:t xml:space="preserve"> including </w: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t>rs7787362</w:t>
      </w:r>
      <w:r>
        <w:rPr>
          <w:rFonts w:hint="eastAsia" w:ascii="Times New Roman" w:hAnsi="Times New Roman" w:cs="Times New Roman"/>
          <w:bCs/>
          <w:color w:val="000000" w:themeColor="text1" w:themeShade="BF"/>
          <w:sz w:val="24"/>
          <w:szCs w:val="24"/>
        </w:rPr>
        <w:t xml:space="preserve"> (ELN, </w: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t>lies 40kb upstream of the ELN (elastin) gene</w:t>
      </w:r>
      <w:r>
        <w:rPr>
          <w:rFonts w:hint="eastAsia" w:ascii="Times New Roman" w:hAnsi="Times New Roman" w:cs="Times New Roman"/>
          <w:bCs/>
          <w:color w:val="000000" w:themeColor="text1" w:themeShade="BF"/>
          <w:sz w:val="24"/>
          <w:szCs w:val="24"/>
        </w:rPr>
        <w:t xml:space="preserve">) and </w: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t>rs10798036</w:t>
      </w:r>
      <w:r>
        <w:rPr>
          <w:rFonts w:hint="eastAsia" w:ascii="Times New Roman" w:hAnsi="Times New Roman" w:cs="Times New Roman"/>
          <w:bCs/>
          <w:color w:val="000000" w:themeColor="text1" w:themeShade="BF"/>
          <w:sz w:val="24"/>
          <w:szCs w:val="24"/>
        </w:rPr>
        <w:t xml:space="preserve"> (HMCN1, </w: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t>located in the HMCN1 (hemicentin-1) gene</w:t>
      </w:r>
      <w:r>
        <w:rPr>
          <w:rFonts w:hint="eastAsia" w:ascii="Times New Roman" w:hAnsi="Times New Roman" w:cs="Times New Roman"/>
          <w:bCs/>
          <w:color w:val="000000" w:themeColor="text1" w:themeShade="BF"/>
          <w:sz w:val="24"/>
          <w:szCs w:val="24"/>
        </w:rPr>
        <w:t xml:space="preserve">) (Table S3) </w: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fldChar w:fldCharType="begin">
          <w:fldData xml:space="preserve">PEVuZE5vdGU+PENpdGU+PEF1dGhvcj5UdW5nPC9BdXRob3I+PFllYXI+MjAxMzwvWWVhcj48UmVj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</w:fldData>
        </w:fldChar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fldChar w:fldCharType="begin">
          <w:fldData xml:space="preserve">PEVuZE5vdGU+PENpdGU+PEF1dGhvcj5UdW5nPC9BdXRob3I+PFllYXI+MjAxMzwvWWVhcj48UmVj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</w:fldData>
        </w:fldChar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t>[14]</w: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bCs/>
          <w:color w:val="000000" w:themeColor="text1" w:themeShade="BF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 w:themeColor="text1" w:themeShade="BF"/>
          <w:sz w:val="24"/>
          <w:szCs w:val="24"/>
        </w:rPr>
        <w:t xml:space="preserve"> </w:t>
      </w:r>
    </w:p>
    <w:p>
      <w:pPr>
        <w:spacing w:line="360" w:lineRule="auto"/>
        <w:rPr>
          <w:rFonts w:hint="eastAsia" w:ascii="Times New Roman" w:hAnsi="Times New Roman" w:cs="Times New Roman"/>
          <w:bCs/>
          <w:color w:val="000000" w:themeColor="text1" w:themeShade="BF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 w:themeShade="BF"/>
        </w:rPr>
      </w:pPr>
      <w:r>
        <w:rPr>
          <w:rFonts w:hint="eastAsia" w:ascii="Times New Roman" w:hAnsi="Times New Roman" w:cs="Times New Roman"/>
          <w:bCs/>
          <w:color w:val="000000" w:themeColor="text1" w:themeShade="BF"/>
        </w:rPr>
        <w:t xml:space="preserve">Table S3. </w:t>
      </w:r>
      <w:r>
        <w:rPr>
          <w:rFonts w:ascii="Times New Roman" w:hAnsi="Times New Roman" w:cs="Times New Roman"/>
          <w:bCs/>
          <w:color w:val="000000" w:themeColor="text1" w:themeShade="BF"/>
        </w:rPr>
        <w:t xml:space="preserve">Index SNPs for regions associated with </w:t>
      </w:r>
      <w:r>
        <w:rPr>
          <w:rFonts w:hint="eastAsia" w:ascii="Times New Roman" w:hAnsi="Times New Roman" w:cs="Times New Roman"/>
          <w:bCs/>
          <w:color w:val="000000" w:themeColor="text1" w:themeShade="BF"/>
        </w:rPr>
        <w:t xml:space="preserve">SG </w:t>
      </w:r>
      <w:r>
        <w:rPr>
          <w:rFonts w:ascii="Times New Roman" w:hAnsi="Times New Roman" w:cs="Times New Roman"/>
          <w:bCs/>
          <w:color w:val="000000" w:themeColor="text1" w:themeShade="BF"/>
        </w:rPr>
        <w:t>verified</w:t>
      </w:r>
      <w:r>
        <w:rPr>
          <w:rFonts w:hint="eastAsia" w:ascii="Times New Roman" w:hAnsi="Times New Roman" w:cs="Times New Roman"/>
          <w:bCs/>
          <w:color w:val="000000" w:themeColor="text1" w:themeShade="BF"/>
        </w:rPr>
        <w:t xml:space="preserve"> in other research</w:t>
      </w:r>
    </w:p>
    <w:tbl>
      <w:tblPr>
        <w:tblStyle w:val="3"/>
        <w:tblW w:w="5000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561"/>
        <w:gridCol w:w="917"/>
        <w:gridCol w:w="762"/>
        <w:gridCol w:w="407"/>
        <w:gridCol w:w="407"/>
        <w:gridCol w:w="645"/>
        <w:gridCol w:w="775"/>
        <w:gridCol w:w="723"/>
        <w:gridCol w:w="723"/>
        <w:gridCol w:w="844"/>
        <w:gridCol w:w="801"/>
      </w:tblGrid>
      <w:tr>
        <w:trPr>
          <w:trHeight w:val="310" w:hRule="atLeast"/>
        </w:trPr>
        <w:tc>
          <w:tcPr>
            <w:tcW w:w="343" w:type="pct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 w:val="0"/>
                <w:color w:val="000000" w:themeColor="text1" w:themeShade="BF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 w:themeColor="text1" w:themeShade="BF"/>
                <w:sz w:val="18"/>
                <w:szCs w:val="18"/>
              </w:rPr>
              <w:t>SNPs</w:t>
            </w:r>
          </w:p>
        </w:tc>
        <w:tc>
          <w:tcPr>
            <w:tcW w:w="343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CHR</w:t>
            </w:r>
          </w:p>
        </w:tc>
        <w:tc>
          <w:tcPr>
            <w:tcW w:w="584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BP</w:t>
            </w:r>
          </w:p>
        </w:tc>
        <w:tc>
          <w:tcPr>
            <w:tcW w:w="446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Gene</w:t>
            </w:r>
          </w:p>
        </w:tc>
        <w:tc>
          <w:tcPr>
            <w:tcW w:w="238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A1</w:t>
            </w:r>
          </w:p>
        </w:tc>
        <w:tc>
          <w:tcPr>
            <w:tcW w:w="238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A2</w:t>
            </w:r>
          </w:p>
        </w:tc>
        <w:tc>
          <w:tcPr>
            <w:tcW w:w="401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MAF</w:t>
            </w:r>
          </w:p>
        </w:tc>
        <w:tc>
          <w:tcPr>
            <w:tcW w:w="486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BETA</w:t>
            </w:r>
          </w:p>
        </w:tc>
        <w:tc>
          <w:tcPr>
            <w:tcW w:w="450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SE</w:t>
            </w:r>
          </w:p>
        </w:tc>
        <w:tc>
          <w:tcPr>
            <w:tcW w:w="434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L95</w:t>
            </w:r>
          </w:p>
        </w:tc>
        <w:tc>
          <w:tcPr>
            <w:tcW w:w="534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U95</w:t>
            </w:r>
          </w:p>
        </w:tc>
        <w:tc>
          <w:tcPr>
            <w:tcW w:w="505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8"/>
                <w:szCs w:val="18"/>
              </w:rPr>
              <w:t>P</w:t>
            </w:r>
          </w:p>
        </w:tc>
      </w:tr>
      <w:tr>
        <w:trPr>
          <w:trHeight w:val="310" w:hRule="atLeast"/>
        </w:trPr>
        <w:tc>
          <w:tcPr>
            <w:tcW w:w="343" w:type="pct"/>
            <w:tcBorders>
              <w:left w:val="nil"/>
              <w:right w:val="nil"/>
              <w:insideV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 w:val="0"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 w:themeColor="text1" w:themeShade="BF"/>
                <w:sz w:val="18"/>
                <w:szCs w:val="18"/>
              </w:rPr>
              <w:t>rs7787362</w:t>
            </w:r>
          </w:p>
        </w:tc>
        <w:tc>
          <w:tcPr>
            <w:tcW w:w="343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7</w:t>
            </w:r>
          </w:p>
        </w:tc>
        <w:tc>
          <w:tcPr>
            <w:tcW w:w="584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73392603</w:t>
            </w:r>
          </w:p>
        </w:tc>
        <w:tc>
          <w:tcPr>
            <w:tcW w:w="446" w:type="pct"/>
            <w:tcBorders>
              <w:right w:val="nil"/>
              <w:insideV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ELN</w:t>
            </w:r>
            <w:r>
              <w:rPr>
                <w:rFonts w:hint="eastAsia" w:ascii="Times New Roman" w:hAnsi="Times New Roman" w:cs="Times New Roman"/>
                <w:color w:val="000000" w:themeColor="text1" w:themeShade="BF"/>
                <w:sz w:val="18"/>
                <w:szCs w:val="18"/>
              </w:rPr>
              <w:t xml:space="preserve"> (u)</w:t>
            </w:r>
          </w:p>
        </w:tc>
        <w:tc>
          <w:tcPr>
            <w:tcW w:w="238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C</w:t>
            </w:r>
          </w:p>
        </w:tc>
        <w:tc>
          <w:tcPr>
            <w:tcW w:w="238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T</w:t>
            </w:r>
          </w:p>
        </w:tc>
        <w:tc>
          <w:tcPr>
            <w:tcW w:w="401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0.2171</w:t>
            </w:r>
          </w:p>
        </w:tc>
        <w:tc>
          <w:tcPr>
            <w:tcW w:w="486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0.108</w:t>
            </w:r>
          </w:p>
        </w:tc>
        <w:tc>
          <w:tcPr>
            <w:tcW w:w="450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0.04029</w:t>
            </w:r>
          </w:p>
        </w:tc>
        <w:tc>
          <w:tcPr>
            <w:tcW w:w="434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0.02908</w:t>
            </w:r>
          </w:p>
        </w:tc>
        <w:tc>
          <w:tcPr>
            <w:tcW w:w="534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0.187</w:t>
            </w:r>
          </w:p>
        </w:tc>
        <w:tc>
          <w:tcPr>
            <w:tcW w:w="505" w:type="pct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0.007418</w:t>
            </w:r>
          </w:p>
        </w:tc>
      </w:tr>
      <w:tr>
        <w:trPr>
          <w:trHeight w:val="310" w:hRule="atLeast"/>
        </w:trPr>
        <w:tc>
          <w:tcPr>
            <w:tcW w:w="343" w:type="pct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 w:val="0"/>
                <w:bCs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 w:themeColor="text1" w:themeShade="BF"/>
                <w:sz w:val="18"/>
                <w:szCs w:val="18"/>
              </w:rPr>
              <w:t>rs10798036</w:t>
            </w:r>
          </w:p>
        </w:tc>
        <w:tc>
          <w:tcPr>
            <w:tcW w:w="343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1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186052962</w:t>
            </w:r>
          </w:p>
        </w:tc>
        <w:tc>
          <w:tcPr>
            <w:tcW w:w="446" w:type="pct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HMCN1</w:t>
            </w:r>
          </w:p>
        </w:tc>
        <w:tc>
          <w:tcPr>
            <w:tcW w:w="238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C</w:t>
            </w:r>
          </w:p>
        </w:tc>
        <w:tc>
          <w:tcPr>
            <w:tcW w:w="238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G</w:t>
            </w:r>
          </w:p>
        </w:tc>
        <w:tc>
          <w:tcPr>
            <w:tcW w:w="401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0.3495</w:t>
            </w:r>
          </w:p>
        </w:tc>
        <w:tc>
          <w:tcPr>
            <w:tcW w:w="486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-0.06951</w:t>
            </w:r>
          </w:p>
        </w:tc>
        <w:tc>
          <w:tcPr>
            <w:tcW w:w="450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0.03542</w:t>
            </w:r>
          </w:p>
        </w:tc>
        <w:tc>
          <w:tcPr>
            <w:tcW w:w="434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-0.1389</w:t>
            </w:r>
          </w:p>
        </w:tc>
        <w:tc>
          <w:tcPr>
            <w:tcW w:w="534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-8.56E-05</w:t>
            </w:r>
          </w:p>
        </w:tc>
        <w:tc>
          <w:tcPr>
            <w:tcW w:w="505" w:type="pct"/>
            <w:shd w:val="clear" w:color="auto" w:fill="auto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 w:themeShade="BF"/>
                <w:sz w:val="18"/>
                <w:szCs w:val="18"/>
              </w:rPr>
              <w:t>0.04993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Cs/>
          <w:color w:val="000000" w:themeColor="text1" w:themeShade="BF"/>
        </w:rPr>
      </w:pPr>
      <w:r>
        <w:rPr>
          <w:rFonts w:hint="eastAsia" w:ascii="Times New Roman" w:hAnsi="Times New Roman" w:cs="Times New Roman"/>
          <w:bCs/>
          <w:color w:val="000000" w:themeColor="text1" w:themeShade="BF"/>
        </w:rPr>
        <w:t xml:space="preserve">CHR, </w:t>
      </w:r>
      <w:r>
        <w:rPr>
          <w:rFonts w:ascii="Times New Roman" w:hAnsi="Times New Roman" w:cs="Times New Roman"/>
          <w:bCs/>
          <w:color w:val="000000" w:themeColor="text1" w:themeShade="BF"/>
        </w:rPr>
        <w:t>Chromosome</w:t>
      </w:r>
      <w:r>
        <w:rPr>
          <w:rFonts w:hint="eastAsia" w:ascii="Times New Roman" w:hAnsi="Times New Roman" w:cs="Times New Roman"/>
          <w:bCs/>
          <w:color w:val="000000" w:themeColor="text1" w:themeShade="BF"/>
        </w:rPr>
        <w:t xml:space="preserve">; BP, </w:t>
      </w:r>
      <w:r>
        <w:rPr>
          <w:rFonts w:ascii="Times New Roman" w:hAnsi="Times New Roman" w:cs="Times New Roman"/>
          <w:bCs/>
          <w:color w:val="000000" w:themeColor="text1" w:themeShade="BF"/>
        </w:rPr>
        <w:t>position</w:t>
      </w:r>
      <w:r>
        <w:rPr>
          <w:rFonts w:hint="eastAsia" w:ascii="Times New Roman" w:hAnsi="Times New Roman" w:cs="Times New Roman"/>
          <w:bCs/>
          <w:color w:val="000000" w:themeColor="text1" w:themeShade="BF"/>
        </w:rPr>
        <w:t>;</w:t>
      </w:r>
      <w:r>
        <w:t xml:space="preserve"> </w:t>
      </w:r>
      <w:r>
        <w:rPr>
          <w:rFonts w:ascii="Times New Roman" w:hAnsi="Times New Roman" w:cs="Times New Roman"/>
          <w:bCs/>
          <w:color w:val="000000" w:themeColor="text1" w:themeShade="BF"/>
        </w:rPr>
        <w:t>Gene is gene that is the most likely candidate for the association or the association or the closest gene. Whether the single-nucleotide polymorphism (SNP) is upstream (u), downstream (d), or within (i) the gene is indicated in parentheses;</w:t>
      </w:r>
      <w:r>
        <w:rPr>
          <w:rFonts w:hint="eastAsia" w:ascii="Times New Roman" w:hAnsi="Times New Roman" w:cs="Times New Roman"/>
          <w:bCs/>
          <w:color w:val="000000" w:themeColor="text1" w:themeShade="BF"/>
        </w:rPr>
        <w:t xml:space="preserve"> </w:t>
      </w:r>
      <w:r>
        <w:rPr>
          <w:rFonts w:ascii="Times New Roman" w:hAnsi="Times New Roman" w:cs="Times New Roman"/>
          <w:bCs/>
          <w:color w:val="000000" w:themeColor="text1" w:themeShade="BF"/>
        </w:rPr>
        <w:t>Statistically significant, P &lt; 0.0</w:t>
      </w:r>
      <w:r>
        <w:rPr>
          <w:rFonts w:hint="eastAsia" w:ascii="Times New Roman" w:hAnsi="Times New Roman" w:cs="Times New Roman"/>
          <w:bCs/>
          <w:color w:val="000000" w:themeColor="text1" w:themeShade="BF"/>
        </w:rPr>
        <w:t>5</w:t>
      </w:r>
    </w:p>
    <w:p>
      <w:pPr>
        <w:spacing w:line="360" w:lineRule="auto"/>
        <w:rPr>
          <w:rFonts w:hint="eastAsia" w:ascii="Times New Roman" w:hAnsi="Times New Roman" w:cs="Times New Roman"/>
          <w:bCs/>
          <w:color w:val="000000" w:themeColor="text1" w:themeShade="BF"/>
        </w:rPr>
      </w:pPr>
    </w:p>
    <w:p>
      <w:pPr>
        <w:rPr>
          <w:rFonts w:hint="eastAsia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Apple SD Gothic Neo">
    <w:panose1 w:val="02000300000000000000"/>
    <w:charset w:val="81"/>
    <w:family w:val="auto"/>
    <w:pitch w:val="default"/>
    <w:sig w:usb0="00000203" w:usb1="21D12C10" w:usb2="00000010" w:usb3="00000000" w:csb0="00280005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15"/>
    <w:rsid w:val="00092A15"/>
    <w:rsid w:val="001507CF"/>
    <w:rsid w:val="00154C93"/>
    <w:rsid w:val="0015514D"/>
    <w:rsid w:val="002532C0"/>
    <w:rsid w:val="005104B4"/>
    <w:rsid w:val="00646A01"/>
    <w:rsid w:val="00733569"/>
    <w:rsid w:val="00787B92"/>
    <w:rsid w:val="0083190F"/>
    <w:rsid w:val="00EA02B9"/>
    <w:rsid w:val="00F6066D"/>
    <w:rsid w:val="BF7FC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Light Shading"/>
    <w:basedOn w:val="2"/>
    <w:uiPriority w:val="60"/>
    <w:rPr>
      <w:color w:val="000000" w:themeColor="text1" w:themeShade="BF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2250</Characters>
  <Lines>18</Lines>
  <Paragraphs>5</Paragraphs>
  <TotalTime>0</TotalTime>
  <ScaleCrop>false</ScaleCrop>
  <LinksUpToDate>false</LinksUpToDate>
  <CharactersWithSpaces>2639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2024-05-11T10:38:00Z</dcterms:created>
  <dc:creator>k12892</dc:creator>
  <cp:lastModifiedBy>熊丽丹</cp:lastModifiedBy>
  <dcterms:modified xsi:type="dcterms:W3CDTF">2024-05-15T21:39:35Z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54D5E403E41BC9FE17BB4466D7EE4027_42</vt:lpwstr>
  </property>
</Properties>
</file>