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ind w:left="3092" w:hanging="3092" w:hangingChars="1100"/>
        <w:jc w:val="center"/>
        <w:rPr>
          <w:rFonts w:hint="eastAsia" w:ascii="Times New Roman" w:hAnsi="Times New Roman" w:cs="Times New Roman"/>
          <w:b/>
          <w:bCs/>
          <w:sz w:val="28"/>
          <w:szCs w:val="28"/>
        </w:rPr>
      </w:pPr>
      <w:bookmarkStart w:id="6" w:name="_GoBack"/>
      <w:bookmarkEnd w:id="6"/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>A colorimetric smartphone-based sensor for on-site AA detection</w:t>
      </w:r>
    </w:p>
    <w:p>
      <w:pPr>
        <w:spacing w:line="360" w:lineRule="auto"/>
        <w:ind w:left="3092" w:hanging="3092" w:hangingChars="1100"/>
        <w:jc w:val="center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based on MCTs nanocomposite materials</w:t>
      </w:r>
    </w:p>
    <w:p>
      <w:pPr>
        <w:spacing w:line="360" w:lineRule="auto"/>
        <w:ind w:left="3092" w:hanging="3092" w:hangingChars="11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Food Analytical Methods</w:t>
      </w:r>
    </w:p>
    <w:p>
      <w:pPr>
        <w:spacing w:line="360" w:lineRule="auto"/>
        <w:ind w:left="2640" w:hanging="2650" w:hangingChars="1100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</w:rPr>
        <w:t>uanhuan She</w:t>
      </w:r>
      <w:r>
        <w:rPr>
          <w:rFonts w:hint="eastAsia" w:ascii="Times New Roman" w:hAnsi="Times New Roman" w:cs="Times New Roman"/>
          <w:b/>
          <w:bCs/>
          <w:vertAlign w:val="superscript"/>
          <w:lang w:val="en-US" w:eastAsia="zh-CN"/>
        </w:rPr>
        <w:t xml:space="preserve">1 a </w:t>
      </w:r>
      <w:r>
        <w:rPr>
          <w:rFonts w:hint="eastAsia" w:ascii="微软雅黑" w:hAnsi="微软雅黑" w:eastAsia="微软雅黑" w:cs="微软雅黑"/>
          <w:b/>
          <w:bCs/>
          <w:vertAlign w:val="baseline"/>
          <w:lang w:val="en-US" w:eastAsia="zh-CN"/>
        </w:rPr>
        <w:t xml:space="preserve">· </w:t>
      </w:r>
      <w:r>
        <w:rPr>
          <w:rFonts w:ascii="Times New Roman" w:hAnsi="Times New Roman" w:cs="Times New Roman"/>
          <w:b/>
          <w:bCs/>
        </w:rPr>
        <w:t>Chaoling Wu</w:t>
      </w:r>
      <w:r>
        <w:rPr>
          <w:rFonts w:hint="eastAsia" w:ascii="Times New Roman" w:hAnsi="Times New Roman" w:cs="Times New Roman"/>
          <w:b/>
          <w:bCs/>
          <w:vertAlign w:val="superscript"/>
          <w:lang w:val="en-US" w:eastAsia="zh-CN"/>
        </w:rPr>
        <w:t xml:space="preserve">1 a </w:t>
      </w:r>
      <w:r>
        <w:rPr>
          <w:rFonts w:hint="eastAsia" w:ascii="微软雅黑" w:hAnsi="微软雅黑" w:eastAsia="微软雅黑" w:cs="微软雅黑"/>
          <w:b/>
          <w:bCs/>
          <w:vertAlign w:val="baseline"/>
          <w:lang w:val="en-US" w:eastAsia="zh-CN"/>
        </w:rPr>
        <w:t xml:space="preserve">·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Ruotong He</w:t>
      </w:r>
      <w:r>
        <w:rPr>
          <w:rFonts w:hint="eastAsia" w:ascii="Times New Roman" w:hAnsi="Times New Roman" w:cs="Times New Roman"/>
          <w:b/>
          <w:bCs/>
          <w:vertAlign w:val="superscript"/>
          <w:lang w:val="en-US" w:eastAsia="zh-CN"/>
        </w:rPr>
        <w:t xml:space="preserve">1 </w:t>
      </w:r>
      <w:r>
        <w:rPr>
          <w:rFonts w:hint="eastAsia" w:ascii="微软雅黑" w:hAnsi="微软雅黑" w:eastAsia="微软雅黑" w:cs="微软雅黑"/>
          <w:b/>
          <w:bCs/>
          <w:vertAlign w:val="baseline"/>
          <w:lang w:val="en-US" w:eastAsia="zh-CN"/>
        </w:rPr>
        <w:t xml:space="preserve">· </w:t>
      </w:r>
      <w:r>
        <w:rPr>
          <w:rFonts w:ascii="Times New Roman" w:hAnsi="Times New Roman" w:cs="Times New Roman"/>
          <w:b/>
          <w:bCs/>
        </w:rPr>
        <w:t>Weihong Xie</w:t>
      </w:r>
      <w:r>
        <w:rPr>
          <w:rFonts w:hint="eastAsia" w:ascii="Times New Roman" w:hAnsi="Times New Roman" w:cs="Times New Roman"/>
          <w:b/>
          <w:bCs/>
          <w:vertAlign w:val="superscript"/>
          <w:lang w:val="en-US" w:eastAsia="zh-CN"/>
        </w:rPr>
        <w:t xml:space="preserve">1 </w:t>
      </w:r>
      <w:r>
        <w:rPr>
          <w:rFonts w:hint="eastAsia" w:ascii="微软雅黑" w:hAnsi="微软雅黑" w:eastAsia="微软雅黑" w:cs="微软雅黑"/>
          <w:b/>
          <w:bCs/>
          <w:vertAlign w:val="baseline"/>
          <w:lang w:val="en-US" w:eastAsia="zh-CN"/>
        </w:rPr>
        <w:t xml:space="preserve">· </w:t>
      </w:r>
      <w:r>
        <w:rPr>
          <w:rFonts w:ascii="Times New Roman" w:hAnsi="Times New Roman" w:cs="Times New Roman"/>
          <w:b/>
          <w:bCs/>
        </w:rPr>
        <w:t>Yi Zhang</w:t>
      </w:r>
      <w:r>
        <w:rPr>
          <w:rFonts w:hint="eastAsia" w:ascii="Times New Roman" w:hAnsi="Times New Roman" w:cs="Times New Roman"/>
          <w:b/>
          <w:bCs/>
          <w:vertAlign w:val="superscript"/>
          <w:lang w:val="en-US" w:eastAsia="zh-CN"/>
        </w:rPr>
        <w:t xml:space="preserve">1 </w:t>
      </w:r>
      <w:r>
        <w:rPr>
          <w:rFonts w:ascii="Times New Roman" w:hAnsi="Times New Roman" w:cs="Times New Roman"/>
          <w:b/>
          <w:bCs/>
        </w:rPr>
        <w:t>*</w:t>
      </w:r>
    </w:p>
    <w:p>
      <w:pPr>
        <w:spacing w:line="360" w:lineRule="auto"/>
        <w:ind w:left="2640" w:hanging="2640" w:hangingChars="1100"/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  <w:vertAlign w:val="superscript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  <w:vertAlign w:val="baseline"/>
          <w:lang w:val="en-US" w:eastAsia="zh-CN"/>
        </w:rPr>
        <w:t>School</w:t>
      </w:r>
      <w:r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  <w:t xml:space="preserve"> of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  <w:lang w:val="en-US" w:eastAsia="zh-CN"/>
        </w:rPr>
        <w:t xml:space="preserve">Life and Health Sciences, </w:t>
      </w:r>
      <w:r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  <w:t>Hubei University of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  <w:t>Technology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  <w:t xml:space="preserve"> Wuhan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430068,</w:t>
      </w:r>
      <w:r>
        <w:rPr>
          <w:rFonts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  <w:t xml:space="preserve"> China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vertAlign w:val="superscript"/>
        </w:rPr>
        <w:t>*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Corresponding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uthor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(Yi Zhang)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overflowPunct/>
        <w:topLinePunct w:val="0"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eastAsia" w:ascii="Times New Roman" w:hAnsi="Times New Roman" w:cs="Times New Roman"/>
          <w:i/>
          <w:iCs/>
          <w:color w:val="auto"/>
          <w:kern w:val="0"/>
          <w:sz w:val="24"/>
          <w:szCs w:val="24"/>
          <w:lang w:val="en-US" w:eastAsia="zh-CN" w:bidi="ar"/>
        </w:rPr>
        <w:t>E-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4"/>
          <w:szCs w:val="24"/>
          <w:lang w:val="en-US" w:eastAsia="zh-CN" w:bidi="ar"/>
        </w:rPr>
        <w:t>mail addresses:</w:t>
      </w:r>
      <w:r>
        <w:rPr>
          <w:rFonts w:ascii="Times New Roman" w:hAnsi="Times New Roman" w:eastAsia="宋体" w:cs="Times New Roman"/>
          <w:i/>
          <w:iCs/>
          <w:color w:val="0000FF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黑体" w:cs="Times New Roman"/>
          <w:color w:val="0000FF"/>
          <w:lang w:val="en-US" w:eastAsia="zh-CN"/>
        </w:rPr>
        <w:fldChar w:fldCharType="begin"/>
      </w:r>
      <w:r>
        <w:rPr>
          <w:rFonts w:hint="default" w:ascii="Times New Roman" w:hAnsi="Times New Roman" w:eastAsia="黑体" w:cs="Times New Roman"/>
          <w:color w:val="0000FF"/>
          <w:lang w:val="en-US" w:eastAsia="zh-CN"/>
        </w:rPr>
        <w:instrText xml:space="preserve"> HYPERLINK "mailto:zhangyi@hbut.edu.cn" </w:instrText>
      </w:r>
      <w:r>
        <w:rPr>
          <w:rFonts w:hint="default" w:ascii="Times New Roman" w:hAnsi="Times New Roman" w:eastAsia="黑体" w:cs="Times New Roman"/>
          <w:color w:val="0000FF"/>
          <w:lang w:val="en-US" w:eastAsia="zh-CN"/>
        </w:rPr>
        <w:fldChar w:fldCharType="separate"/>
      </w:r>
      <w:r>
        <w:rPr>
          <w:rStyle w:val="9"/>
          <w:rFonts w:hint="default" w:ascii="Times New Roman" w:hAnsi="Times New Roman" w:eastAsia="黑体" w:cs="Times New Roman"/>
          <w:color w:val="0000FF"/>
          <w:sz w:val="24"/>
          <w:szCs w:val="24"/>
        </w:rPr>
        <w:t>zhangyi@hbut.edu.cn</w:t>
      </w:r>
      <w:r>
        <w:rPr>
          <w:rFonts w:hint="default" w:ascii="Times New Roman" w:hAnsi="Times New Roman" w:cs="Times New Roman"/>
          <w:color w:val="0000FF"/>
          <w:sz w:val="24"/>
          <w:szCs w:val="24"/>
        </w:rPr>
        <w:fldChar w:fldCharType="end"/>
      </w:r>
    </w:p>
    <w:p>
      <w:pPr>
        <w:spacing w:line="360" w:lineRule="auto"/>
        <w:ind w:left="0" w:firstLine="0" w:firstLineChars="0"/>
        <w:jc w:val="both"/>
        <w:rPr>
          <w:rFonts w:hint="eastAsia" w:ascii="Times New Roman" w:hAnsi="Times New Roman" w:cs="Times New Roman"/>
          <w:b w:val="0"/>
          <w:bCs w:val="0"/>
          <w:i w:val="0"/>
          <w:iCs w:val="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These authors contributed equally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to this work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p>
      <w:pPr>
        <w:jc w:val="center"/>
        <w:rPr>
          <w:rFonts w:hint="eastAsia" w:ascii="Times New Roman" w:hAnsi="Times New Roman" w:eastAsia="宋体" w:cs="Times New Roman"/>
          <w:i/>
          <w:iCs/>
          <w:kern w:val="2"/>
          <w:sz w:val="21"/>
          <w:szCs w:val="21"/>
          <w:vertAlign w:val="superscript"/>
          <w:lang w:eastAsia="zh-CN"/>
        </w:rPr>
      </w:pPr>
      <w:r>
        <w:rPr>
          <w:rFonts w:hint="eastAsia" w:ascii="Times New Roman" w:hAnsi="Times New Roman" w:eastAsia="宋体" w:cs="Times New Roman"/>
          <w:i/>
          <w:iCs/>
          <w:kern w:val="2"/>
          <w:sz w:val="21"/>
          <w:szCs w:val="21"/>
          <w:vertAlign w:val="superscript"/>
          <w:lang w:eastAsia="zh-CN"/>
        </w:rPr>
        <w:drawing>
          <wp:inline distT="0" distB="0" distL="114300" distR="114300">
            <wp:extent cx="2558415" cy="2364105"/>
            <wp:effectExtent l="0" t="0" r="1905" b="13335"/>
            <wp:docPr id="5" name="图片 5" descr="师姐的两个粒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师姐的两个粒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baseli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color w:val="0070C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baseline"/>
        </w:rPr>
        <w:t>The particle size distribution diagram of Fe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subscript"/>
        </w:rPr>
        <w:t>3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baseline"/>
        </w:rPr>
        <w:t>O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subscript"/>
        </w:rPr>
        <w:t>4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baseline"/>
        </w:rPr>
        <w:t xml:space="preserve"> and </w:t>
      </w:r>
      <w:r>
        <w:rPr>
          <w:rFonts w:ascii="Times New Roman" w:hAnsi="Times New Roman" w:cs="Times New Roman"/>
        </w:rPr>
        <w:t>MC</w:t>
      </w:r>
      <w:r>
        <w:rPr>
          <w:rFonts w:hint="eastAsia" w:ascii="Times New Roman" w:hAnsi="Times New Roman" w:cs="Times New Roman"/>
          <w:lang w:val="en-US" w:eastAsia="zh-CN"/>
        </w:rPr>
        <w:t>Ts</w:t>
      </w:r>
      <w:r>
        <w:rPr>
          <w:rFonts w:hint="default" w:ascii="Times New Roman" w:hAnsi="Times New Roman" w:eastAsia="黑体" w:cs="Times New Roman"/>
          <w:i w:val="0"/>
          <w:iCs w:val="0"/>
          <w:kern w:val="0"/>
          <w:sz w:val="24"/>
          <w:szCs w:val="24"/>
          <w:vertAlign w:val="baseline"/>
        </w:rPr>
        <w:t>.</w:t>
      </w:r>
    </w:p>
    <w:p>
      <w:pPr>
        <w:rPr>
          <w:rFonts w:hint="eastAsia" w:ascii="Times New Roman" w:hAnsi="Times New Roman" w:cs="Times New Roman"/>
          <w:i/>
          <w:iCs/>
          <w:kern w:val="2"/>
          <w:sz w:val="21"/>
          <w:szCs w:val="21"/>
          <w:vertAlign w:val="superscript"/>
        </w:rPr>
      </w:pPr>
    </w:p>
    <w:p>
      <w:pPr>
        <w:rPr>
          <w:rFonts w:hint="eastAsia"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inline distT="0" distB="0" distL="0" distR="0">
            <wp:extent cx="5414645" cy="42170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421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2"/>
        <w:jc w:val="left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UV-vis absorbance values at 400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~</w:t>
      </w:r>
      <w:r>
        <w:rPr>
          <w:rFonts w:ascii="Times New Roman" w:hAnsi="Times New Roman" w:cs="Times New Roman"/>
          <w:sz w:val="24"/>
          <w:szCs w:val="24"/>
        </w:rPr>
        <w:t>800 nm for various systems.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Effect of pH on the peroxidase activity of MCTs.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Effect of temperature on the peroxidase activity of MCTs.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Effect of material dosage on the peroxidase activity of MCTs.</w:t>
      </w:r>
    </w:p>
    <w:p>
      <w:pPr>
        <w:rPr>
          <w:rFonts w:hint="eastAsia" w:ascii="Times New Roman" w:hAnsi="Times New Roman" w:cs="Times New Roman"/>
          <w:sz w:val="22"/>
          <w:szCs w:val="22"/>
        </w:rPr>
      </w:pPr>
    </w:p>
    <w:p>
      <w:pPr>
        <w:pStyle w:val="2"/>
        <w:rPr>
          <w:rFonts w:ascii="Times New Roman" w:hAnsi="Times New Roman" w:cs="Times New Roman"/>
          <w:color w:val="0070C0"/>
          <w:sz w:val="24"/>
          <w:szCs w:val="24"/>
        </w:rPr>
      </w:pPr>
    </w:p>
    <w:p>
      <w:pPr>
        <w:pStyle w:val="2"/>
        <w:rPr>
          <w:rFonts w:ascii="Times New Roman" w:hAnsi="Times New Roman" w:cs="Times New Roman"/>
          <w:color w:val="0070C0"/>
          <w:sz w:val="24"/>
          <w:szCs w:val="24"/>
        </w:rPr>
      </w:pPr>
    </w:p>
    <w:p>
      <w:pPr>
        <w:pStyle w:val="2"/>
        <w:jc w:val="center"/>
        <w:rPr>
          <w:rFonts w:hint="eastAsia" w:ascii="Times New Roman" w:hAnsi="Times New Roman" w:eastAsia="黑体" w:cs="Times New Roman"/>
          <w:color w:val="0070C0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color w:val="0070C0"/>
          <w:sz w:val="24"/>
          <w:szCs w:val="24"/>
          <w:lang w:val="en-US" w:eastAsia="zh-CN"/>
        </w:rPr>
        <w:drawing>
          <wp:inline distT="0" distB="0" distL="114300" distR="114300">
            <wp:extent cx="2816860" cy="2468245"/>
            <wp:effectExtent l="0" t="0" r="2540" b="635"/>
            <wp:docPr id="2" name="图片 2" descr="师姐的加大豆蛋白与不加大豆蛋白对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师姐的加大豆蛋白与不加大豆蛋白对比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firstLine="0" w:firstLineChars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9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Fig. </w:t>
      </w:r>
      <w:r>
        <w:rPr>
          <w:rStyle w:val="9"/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S3</w:t>
      </w:r>
      <w:r>
        <w:rPr>
          <w:rStyle w:val="9"/>
          <w:rFonts w:hint="eastAsia" w:ascii="Times New Roman" w:hAnsi="Times New Roman" w:cs="Times New Roman"/>
          <w:b/>
          <w:bCs/>
          <w:color w:val="0070C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The influence of </w:t>
      </w:r>
      <w:r>
        <w:rPr>
          <w:rFonts w:ascii="Times New Roman" w:hAnsi="Times New Roman" w:cs="Times New Roman"/>
          <w:color w:val="auto"/>
        </w:rPr>
        <w:t>MC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Ts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and MCTT on absorbance at different concentrations (50 </w:t>
      </w:r>
      <w:r>
        <w:rPr>
          <w:rFonts w:ascii="Times New Roman" w:hAnsi="Times New Roman" w:cs="Times New Roman"/>
          <w:color w:val="auto"/>
        </w:rPr>
        <w:sym w:font="Symbol" w:char="F06D"/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M/100 </w:t>
      </w:r>
      <w:r>
        <w:rPr>
          <w:rFonts w:ascii="Times New Roman" w:hAnsi="Times New Roman" w:cs="Times New Roman"/>
          <w:color w:val="auto"/>
        </w:rPr>
        <w:sym w:font="Symbol" w:char="F06D"/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M/150 </w:t>
      </w:r>
      <w:r>
        <w:rPr>
          <w:rFonts w:ascii="Times New Roman" w:hAnsi="Times New Roman" w:cs="Times New Roman"/>
          <w:color w:val="auto"/>
        </w:rPr>
        <w:sym w:font="Symbol" w:char="F06D"/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M)</w:t>
      </w:r>
      <w:bookmarkStart w:id="0" w:name="_Hlk131775161"/>
    </w:p>
    <w:p>
      <w:pPr>
        <w:pStyle w:val="2"/>
        <w:spacing w:line="360" w:lineRule="auto"/>
        <w:ind w:left="2400" w:leftChars="750" w:hanging="600" w:hangingChars="250"/>
        <w:rPr>
          <w:rFonts w:ascii="Times New Roman" w:hAnsi="Times New Roman" w:cs="Times New Roman"/>
          <w:color w:val="0070C0"/>
          <w:sz w:val="24"/>
          <w:szCs w:val="24"/>
        </w:rPr>
      </w:pPr>
    </w:p>
    <w:p>
      <w:pPr>
        <w:pStyle w:val="2"/>
        <w:spacing w:line="360" w:lineRule="auto"/>
        <w:ind w:left="0" w:firstLine="0" w:firstLineChars="0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pStyle w:val="2"/>
        <w:spacing w:line="360" w:lineRule="auto"/>
        <w:ind w:left="2400" w:hanging="2409" w:hangingChars="10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The kinetic paramet</w:t>
      </w:r>
      <w:r>
        <w:rPr>
          <w:rFonts w:ascii="Times New Roman" w:hAnsi="Times New Roman" w:cs="Times New Roman"/>
          <w:color w:val="000000"/>
          <w:sz w:val="24"/>
          <w:szCs w:val="24"/>
        </w:rPr>
        <w:t>ers of MCTs and some other peroxidase mimetics with TMB and H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 substrates.</w:t>
      </w:r>
    </w:p>
    <w:tbl>
      <w:tblPr>
        <w:tblStyle w:val="5"/>
        <w:tblW w:w="9073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070"/>
        <w:gridCol w:w="1266"/>
        <w:gridCol w:w="206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c</w:t>
            </w:r>
            <w:r>
              <w:rPr>
                <w:rFonts w:ascii="Times New Roman" w:hAnsi="Times New Roman" w:cs="Times New Roman" w:eastAsiaTheme="minorEastAsia"/>
                <w:bCs/>
              </w:rPr>
              <w:t>atalys</w:t>
            </w:r>
          </w:p>
        </w:tc>
        <w:tc>
          <w:tcPr>
            <w:tcW w:w="107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s</w:t>
            </w:r>
            <w:r>
              <w:rPr>
                <w:rFonts w:ascii="Times New Roman" w:hAnsi="Times New Roman" w:cs="Times New Roman" w:eastAsiaTheme="minorEastAsia"/>
                <w:bCs/>
              </w:rPr>
              <w:t>ubstrate</w:t>
            </w:r>
          </w:p>
        </w:tc>
        <w:tc>
          <w:tcPr>
            <w:tcW w:w="126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K</w:t>
            </w:r>
            <w:r>
              <w:rPr>
                <w:rFonts w:ascii="Times New Roman" w:hAnsi="Times New Roman" w:cs="Times New Roman" w:eastAsiaTheme="minorEastAsia"/>
                <w:bCs/>
              </w:rPr>
              <w:t>m (mM)</w:t>
            </w:r>
          </w:p>
        </w:tc>
        <w:tc>
          <w:tcPr>
            <w:tcW w:w="206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V</w:t>
            </w:r>
            <w:r>
              <w:rPr>
                <w:rFonts w:ascii="Times New Roman" w:hAnsi="Times New Roman" w:cs="Times New Roman" w:eastAsiaTheme="minorEastAsia"/>
                <w:bCs/>
              </w:rPr>
              <w:t>max (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position w:val="4"/>
                <w:sz w:val="18"/>
                <w:szCs w:val="18"/>
              </w:rPr>
              <w:t xml:space="preserve">-8 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18"/>
                <w:szCs w:val="18"/>
              </w:rPr>
              <w:t>M·s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position w:val="4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 w:eastAsiaTheme="minorEastAsia"/>
                <w:bCs/>
              </w:rPr>
              <w:t>)</w:t>
            </w:r>
          </w:p>
        </w:tc>
        <w:tc>
          <w:tcPr>
            <w:tcW w:w="297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R</w:t>
            </w:r>
            <w:r>
              <w:rPr>
                <w:rFonts w:ascii="Times New Roman" w:hAnsi="Times New Roman" w:cs="Times New Roman" w:eastAsiaTheme="minorEastAsia"/>
                <w:bCs/>
              </w:rPr>
              <w:t>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restart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</w:rPr>
              <w:t>RP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0</w:t>
            </w:r>
            <w:r>
              <w:rPr>
                <w:rFonts w:ascii="Times New Roman" w:hAnsi="Times New Roman" w:cs="Times New Roman" w:eastAsiaTheme="minorEastAsia"/>
                <w:bCs/>
              </w:rPr>
              <w:t>.43</w:t>
            </w:r>
          </w:p>
        </w:tc>
        <w:tc>
          <w:tcPr>
            <w:tcW w:w="2066" w:type="dxa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0.0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(Gao et al.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instrText xml:space="preserve"> HYPERLINK \l "bu1" </w:instrTex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t>2007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3</w:t>
            </w:r>
            <w:r>
              <w:rPr>
                <w:rFonts w:ascii="Times New Roman" w:hAnsi="Times New Roman" w:cs="Times New Roman" w:eastAsiaTheme="minorEastAsia"/>
                <w:bCs/>
              </w:rPr>
              <w:t>.70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8</w:t>
            </w:r>
            <w:r>
              <w:rPr>
                <w:rFonts w:ascii="Times New Roman" w:hAnsi="Times New Roman" w:cs="Times New Roman" w:eastAsiaTheme="minorEastAsia"/>
                <w:bCs/>
              </w:rPr>
              <w:t>.7</w:t>
            </w:r>
          </w:p>
        </w:tc>
        <w:tc>
          <w:tcPr>
            <w:tcW w:w="29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P</w:t>
            </w:r>
            <w:r>
              <w:rPr>
                <w:rFonts w:ascii="Times New Roman" w:hAnsi="Times New Roman" w:cs="Times New Roman" w:eastAsiaTheme="minorEastAsia"/>
                <w:bCs/>
              </w:rPr>
              <w:t>d-Ir cubes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0</w:t>
            </w:r>
            <w:r>
              <w:rPr>
                <w:rFonts w:ascii="Times New Roman" w:hAnsi="Times New Roman" w:cs="Times New Roman" w:eastAsiaTheme="minorEastAsia"/>
                <w:bCs/>
              </w:rPr>
              <w:t>.13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6</w:t>
            </w:r>
            <w:r>
              <w:rPr>
                <w:rFonts w:ascii="Times New Roman" w:hAnsi="Times New Roman" w:cs="Times New Roman" w:eastAsiaTheme="minorEastAsia"/>
                <w:bCs/>
              </w:rPr>
              <w:t>.50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(Xia et al.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instrText xml:space="preserve"> HYPERLINK \l "bu2" </w:instrTex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t>2015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3</w:t>
            </w:r>
            <w:r>
              <w:rPr>
                <w:rFonts w:ascii="Times New Roman" w:hAnsi="Times New Roman" w:cs="Times New Roman" w:eastAsiaTheme="minorEastAsia"/>
                <w:bCs/>
              </w:rPr>
              <w:t>40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5</w:t>
            </w:r>
            <w:r>
              <w:rPr>
                <w:rFonts w:ascii="Times New Roman" w:hAnsi="Times New Roman" w:cs="Times New Roman" w:eastAsiaTheme="minorEastAsia"/>
                <w:bCs/>
              </w:rPr>
              <w:t>.10</w:t>
            </w:r>
          </w:p>
        </w:tc>
        <w:tc>
          <w:tcPr>
            <w:tcW w:w="29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P</w:t>
            </w:r>
            <w:r>
              <w:rPr>
                <w:rFonts w:ascii="Times New Roman" w:hAnsi="Times New Roman" w:cs="Times New Roman" w:eastAsiaTheme="minorEastAsia"/>
                <w:bCs/>
              </w:rPr>
              <w:t>BMNPs3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0</w:t>
            </w:r>
            <w:r>
              <w:rPr>
                <w:rFonts w:ascii="Times New Roman" w:hAnsi="Times New Roman" w:cs="Times New Roman" w:eastAsiaTheme="minorEastAsia"/>
                <w:bCs/>
              </w:rPr>
              <w:t>.307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.06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Zhang et al.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instrText xml:space="preserve"> HYPERLINK \l "bu3" </w:instrTex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t xml:space="preserve"> 2010</w:t>
            </w:r>
            <w:r>
              <w:rPr>
                <w:rFonts w:hint="default" w:ascii="Times New Roman" w:hAnsi="Times New Roman" w:eastAsia="宋体" w:cs="Times New Roman"/>
                <w:color w:val="0000FF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3</w:t>
            </w:r>
            <w:r>
              <w:rPr>
                <w:rFonts w:ascii="Times New Roman" w:hAnsi="Times New Roman" w:cs="Times New Roman" w:eastAsiaTheme="minorEastAsia"/>
                <w:bCs/>
              </w:rPr>
              <w:t>23.6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.17</w:t>
            </w:r>
          </w:p>
        </w:tc>
        <w:tc>
          <w:tcPr>
            <w:tcW w:w="29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C</w:t>
            </w:r>
            <w:r>
              <w:rPr>
                <w:rFonts w:ascii="Times New Roman" w:hAnsi="Times New Roman" w:cs="Times New Roman" w:eastAsiaTheme="minorEastAsia"/>
                <w:bCs/>
              </w:rPr>
              <w:t>NPs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6.06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4</w:t>
            </w:r>
            <w:r>
              <w:rPr>
                <w:rFonts w:ascii="Times New Roman" w:hAnsi="Times New Roman" w:cs="Times New Roman" w:eastAsiaTheme="minorEastAsia"/>
                <w:bCs/>
              </w:rPr>
              <w:t>.27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(</w:t>
            </w:r>
            <w:r>
              <w:rPr>
                <w:rFonts w:ascii="Times New Roman" w:hAnsi="Times New Roman" w:cs="Times New Roman"/>
                <w:lang w:bidi="ar"/>
              </w:rPr>
              <w:t>Yadav</w:t>
            </w:r>
            <w:r>
              <w:rPr>
                <w:rFonts w:hint="default" w:ascii="Times New Roman" w:hAnsi="Times New Roman" w:cs="Times New Roman"/>
                <w:lang w:val="en-US" w:eastAsia="zh-CN" w:bidi="ar"/>
              </w:rPr>
              <w:t xml:space="preserve"> et al.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instrText xml:space="preserve"> HYPERLINK \l "bu4" </w:instrTex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t>2019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0</w:t>
            </w:r>
            <w:r>
              <w:rPr>
                <w:rFonts w:ascii="Times New Roman" w:hAnsi="Times New Roman" w:cs="Times New Roman" w:eastAsiaTheme="minorEastAsia"/>
                <w:bCs/>
              </w:rPr>
              <w:t>.05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6</w:t>
            </w:r>
            <w:r>
              <w:rPr>
                <w:rFonts w:ascii="Times New Roman" w:hAnsi="Times New Roman" w:cs="Times New Roman" w:eastAsiaTheme="minorEastAsia"/>
                <w:bCs/>
              </w:rPr>
              <w:t>.06</w:t>
            </w:r>
          </w:p>
        </w:tc>
        <w:tc>
          <w:tcPr>
            <w:tcW w:w="29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C</w:t>
            </w:r>
            <w:r>
              <w:rPr>
                <w:rFonts w:ascii="Times New Roman" w:hAnsi="Times New Roman" w:cs="Times New Roman" w:eastAsiaTheme="minorEastAsia"/>
                <w:bCs/>
              </w:rPr>
              <w:t>itrate-CuNPs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.63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4</w:t>
            </w:r>
            <w:r>
              <w:rPr>
                <w:rFonts w:ascii="Times New Roman" w:hAnsi="Times New Roman" w:cs="Times New Roman" w:eastAsiaTheme="minorEastAsia"/>
                <w:bCs/>
              </w:rPr>
              <w:t>.90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 w:val="0"/>
                <w:color w:val="0000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 w:bidi="ar"/>
              </w:rPr>
              <w:t>(</w:t>
            </w:r>
            <w:r>
              <w:rPr>
                <w:rFonts w:ascii="Times New Roman" w:hAnsi="Times New Roman" w:cs="Times New Roman"/>
                <w:lang w:bidi="ar"/>
              </w:rPr>
              <w:t>Chen</w:t>
            </w:r>
            <w:r>
              <w:rPr>
                <w:rFonts w:hint="default" w:ascii="Times New Roman" w:hAnsi="Times New Roman" w:cs="Times New Roman"/>
                <w:lang w:val="en-US" w:eastAsia="zh-CN" w:bidi="ar"/>
              </w:rPr>
              <w:t xml:space="preserve"> et al.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instrText xml:space="preserve"> HYPERLINK \l "bu5" </w:instrTex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cs="Times New Roman"/>
                <w:color w:val="0000FF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8</w:t>
            </w:r>
            <w:r>
              <w:rPr>
                <w:rFonts w:ascii="Times New Roman" w:hAnsi="Times New Roman" w:cs="Times New Roman" w:eastAsiaTheme="minorEastAsia"/>
                <w:bCs/>
              </w:rPr>
              <w:t>3.69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ascii="Times New Roman" w:hAnsi="Times New Roman" w:cs="Times New Roman" w:eastAsiaTheme="minorEastAsia"/>
                <w:bCs/>
              </w:rPr>
              <w:t>2</w:t>
            </w:r>
            <w:r>
              <w:rPr>
                <w:rFonts w:hint="eastAsia" w:ascii="Times New Roman" w:hAnsi="Times New Roman" w:cs="Times New Roman" w:eastAsiaTheme="minorEastAsia"/>
                <w:bCs/>
              </w:rPr>
              <w:t>.</w:t>
            </w:r>
            <w:r>
              <w:rPr>
                <w:rFonts w:ascii="Times New Roman" w:hAnsi="Times New Roman" w:cs="Times New Roman" w:eastAsiaTheme="minorEastAsia"/>
                <w:bCs/>
              </w:rPr>
              <w:t>50</w:t>
            </w:r>
          </w:p>
        </w:tc>
        <w:tc>
          <w:tcPr>
            <w:tcW w:w="2977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MCTs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MB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H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 w:eastAsiaTheme="minorEastAsia"/>
                <w:bCs/>
              </w:rPr>
              <w:t>O</w:t>
            </w:r>
            <w:r>
              <w:rPr>
                <w:rFonts w:ascii="Times New Roman" w:hAnsi="Times New Roman" w:cs="Times New Roman" w:eastAsiaTheme="minorEastAsia"/>
                <w:bCs/>
                <w:vertAlign w:val="subscript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0</w:t>
            </w:r>
            <w:r>
              <w:rPr>
                <w:rFonts w:ascii="Times New Roman" w:hAnsi="Times New Roman" w:cs="Times New Roman" w:eastAsiaTheme="minorEastAsia"/>
                <w:bCs/>
              </w:rPr>
              <w:t>.87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85</w:t>
            </w:r>
          </w:p>
        </w:tc>
        <w:tc>
          <w:tcPr>
            <w:tcW w:w="2066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.65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1</w:t>
            </w:r>
            <w:r>
              <w:rPr>
                <w:rFonts w:ascii="Times New Roman" w:hAnsi="Times New Roman" w:cs="Times New Roman" w:eastAsiaTheme="minorEastAsia"/>
                <w:bCs/>
              </w:rPr>
              <w:t>.27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Cs/>
              </w:rPr>
              <w:t>T</w:t>
            </w:r>
            <w:r>
              <w:rPr>
                <w:rFonts w:ascii="Times New Roman" w:hAnsi="Times New Roman" w:cs="Times New Roman" w:eastAsiaTheme="minorEastAsia"/>
                <w:bCs/>
              </w:rPr>
              <w:t>his work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bCs/>
              </w:rPr>
            </w:pP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</w:p>
    <w:p>
      <w:pPr>
        <w:jc w:val="center"/>
      </w:pPr>
      <w:r>
        <w:drawing>
          <wp:inline distT="0" distB="0" distL="114300" distR="114300">
            <wp:extent cx="2969260" cy="2489200"/>
            <wp:effectExtent l="0" t="0" r="2540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</w:pPr>
      <w:r>
        <w:rPr>
          <w:rStyle w:val="9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Fig. </w:t>
      </w:r>
      <w:r>
        <w:rPr>
          <w:rStyle w:val="9"/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S4</w:t>
      </w:r>
      <w:r>
        <w:rPr>
          <w:rStyle w:val="9"/>
          <w:rFonts w:hint="eastAsia" w:ascii="Times New Roman" w:hAnsi="Times New Roman" w:cs="Times New Roman"/>
          <w:b/>
          <w:bCs/>
          <w:color w:val="0070C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 xml:space="preserve">Ascorbic acid content in 6 commercial beverages, </w:t>
      </w:r>
      <w:r>
        <w:rPr>
          <w:rFonts w:ascii="Times New Roman" w:hAnsi="Times New Roman" w:cs="Times New Roman"/>
          <w:b/>
          <w:bCs/>
        </w:rPr>
        <w:t xml:space="preserve">a </w:t>
      </w:r>
      <w:r>
        <w:rPr>
          <w:rFonts w:ascii="Times New Roman" w:hAnsi="Times New Roman" w:cs="Times New Roman"/>
        </w:rPr>
        <w:t xml:space="preserve">for Master Kong Daily C Sunshine Sweet Orange, </w:t>
      </w:r>
      <w:r>
        <w:rPr>
          <w:rFonts w:ascii="Times New Roman" w:hAnsi="Times New Roman" w:cs="Times New Roman"/>
          <w:b/>
          <w:bCs/>
        </w:rPr>
        <w:t xml:space="preserve">b </w:t>
      </w:r>
      <w:r>
        <w:rPr>
          <w:rFonts w:ascii="Times New Roman" w:hAnsi="Times New Roman" w:cs="Times New Roman"/>
        </w:rPr>
        <w:t xml:space="preserve">for Master Kong Daily C Sunshine Grape Juice, </w:t>
      </w:r>
      <w:r>
        <w:rPr>
          <w:rFonts w:ascii="Times New Roman" w:hAnsi="Times New Roman" w:cs="Times New Roman"/>
          <w:b/>
          <w:bCs/>
        </w:rPr>
        <w:t xml:space="preserve">c </w:t>
      </w:r>
      <w:r>
        <w:rPr>
          <w:rFonts w:ascii="Times New Roman" w:hAnsi="Times New Roman" w:cs="Times New Roman"/>
        </w:rPr>
        <w:t xml:space="preserve">for Farmer's Orchard (50% mixed fruit and vegetables),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 for Farmer's Orchard (30% mixed fruit and vegetables),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for Water Soluble C100 (grapefruit flavour) and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 xml:space="preserve"> for Water Soluble C100 (lemon flavour).</w:t>
      </w:r>
    </w:p>
    <w:p>
      <w:pPr>
        <w:pStyle w:val="17"/>
        <w:ind w:left="720" w:hanging="720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Reference</w:t>
      </w:r>
    </w:p>
    <w:p>
      <w:pPr>
        <w:pStyle w:val="17"/>
        <w:numPr>
          <w:ilvl w:val="-1"/>
          <w:numId w:val="0"/>
        </w:numPr>
        <w:ind w:left="480" w:hanging="480" w:hangingChars="200"/>
        <w:rPr>
          <w:rFonts w:ascii="Times New Roman" w:hAnsi="Times New Roman" w:cs="Times New Roman"/>
        </w:rPr>
      </w:pPr>
      <w:bookmarkStart w:id="1" w:name="bu1"/>
      <w:bookmarkEnd w:id="1"/>
      <w:r>
        <w:rPr>
          <w:rFonts w:ascii="Times New Roman" w:hAnsi="Times New Roman" w:cs="Times New Roman"/>
        </w:rPr>
        <w:t>Gao</w:t>
      </w:r>
      <w:r>
        <w:rPr>
          <w:rFonts w:hint="eastAsia" w:ascii="Times New Roman" w:hAnsi="Times New Roman" w:cs="Times New Roman"/>
          <w:lang w:val="en-US" w:eastAsia="zh-CN"/>
        </w:rPr>
        <w:t xml:space="preserve"> LZ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Zhuang</w:t>
      </w:r>
      <w:r>
        <w:rPr>
          <w:rFonts w:hint="eastAsia" w:ascii="Times New Roman" w:hAnsi="Times New Roman" w:cs="Times New Roman"/>
          <w:lang w:val="en-US" w:eastAsia="zh-CN"/>
        </w:rPr>
        <w:t xml:space="preserve"> J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Nie</w:t>
      </w:r>
      <w:r>
        <w:rPr>
          <w:rFonts w:hint="eastAsia" w:ascii="Times New Roman" w:hAnsi="Times New Roman" w:cs="Times New Roman"/>
          <w:lang w:val="en-US" w:eastAsia="zh-CN"/>
        </w:rPr>
        <w:t xml:space="preserve"> L et al (2007) </w:t>
      </w:r>
      <w:r>
        <w:rPr>
          <w:rFonts w:ascii="Times New Roman" w:hAnsi="Times New Roman" w:cs="Times New Roman"/>
        </w:rPr>
        <w:t xml:space="preserve">Intrinsic peroxidase-like activity of ferromagnetic nanoparticles. </w:t>
      </w:r>
      <w:r>
        <w:rPr>
          <w:rFonts w:ascii="Times New Roman" w:hAnsi="Times New Roman" w:cs="Times New Roman"/>
          <w:i w:val="0"/>
        </w:rPr>
        <w:t>Nat</w:t>
      </w:r>
      <w:r>
        <w:rPr>
          <w:rFonts w:hint="eastAsia" w:ascii="Times New Roman" w:hAnsi="Times New Roman" w:cs="Times New Roman"/>
          <w:i w:val="0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</w:rPr>
        <w:t>Nanotechnol 2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ascii="Times New Roman" w:hAnsi="Times New Roman" w:cs="Times New Roman"/>
        </w:rPr>
        <w:t xml:space="preserve">577-583. </w:t>
      </w:r>
    </w:p>
    <w:p>
      <w:pPr>
        <w:pStyle w:val="17"/>
        <w:numPr>
          <w:ilvl w:val="-1"/>
          <w:numId w:val="0"/>
        </w:numPr>
        <w:ind w:left="0" w:leftChars="0" w:firstLine="480" w:firstLineChars="200"/>
        <w:rPr>
          <w:rFonts w:ascii="Times New Roman" w:hAnsi="Times New Roman" w:cs="Times New Roman"/>
          <w:color w:val="0000FF"/>
          <w:lang w:bidi="ar"/>
        </w:rPr>
      </w:pPr>
      <w:r>
        <w:rPr>
          <w:rFonts w:ascii="Times New Roman" w:hAnsi="Times New Roman" w:cs="Times New Roman"/>
          <w:color w:val="0000FF"/>
          <w:lang w:bidi="ar"/>
        </w:rPr>
        <w:fldChar w:fldCharType="begin"/>
      </w:r>
      <w:r>
        <w:rPr>
          <w:rFonts w:ascii="Times New Roman" w:hAnsi="Times New Roman" w:cs="Times New Roman"/>
          <w:color w:val="0000FF"/>
          <w:lang w:bidi="ar"/>
        </w:rPr>
        <w:instrText xml:space="preserve"> HYPERLINK "https://doi.org/10.1038/nnano.2007.260" </w:instrText>
      </w:r>
      <w:r>
        <w:rPr>
          <w:rFonts w:ascii="Times New Roman" w:hAnsi="Times New Roman" w:cs="Times New Roman"/>
          <w:color w:val="0000FF"/>
          <w:lang w:bidi="ar"/>
        </w:rPr>
        <w:fldChar w:fldCharType="separate"/>
      </w:r>
      <w:r>
        <w:rPr>
          <w:rStyle w:val="6"/>
          <w:rFonts w:ascii="Times New Roman" w:hAnsi="Times New Roman" w:eastAsia="宋体" w:cs="Times New Roman"/>
          <w:color w:val="0000FF"/>
          <w:lang w:bidi="ar"/>
        </w:rPr>
        <w:t>https://doi.org/10.1038/nnano.2007.260</w:t>
      </w:r>
      <w:r>
        <w:rPr>
          <w:rStyle w:val="6"/>
          <w:rFonts w:ascii="Times New Roman" w:hAnsi="Times New Roman" w:eastAsia="宋体" w:cs="Times New Roman"/>
          <w:color w:val="0000FF"/>
          <w:lang w:bidi="ar"/>
        </w:rPr>
        <w:fldChar w:fldCharType="end"/>
      </w:r>
    </w:p>
    <w:p>
      <w:pPr>
        <w:pStyle w:val="17"/>
        <w:ind w:left="480" w:hanging="480" w:hangingChars="200"/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</w:pPr>
      <w:bookmarkStart w:id="2" w:name="bu2"/>
      <w:bookmarkEnd w:id="2"/>
      <w:r>
        <w:rPr>
          <w:rFonts w:hint="eastAsia" w:ascii="Times New Roman" w:hAnsi="Times New Roman" w:eastAsia="宋体" w:cs="Times New Roman"/>
          <w:i w:val="0"/>
          <w:i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Xia XH, Zhang JT, Lu N et al (2015) Pd-Ir Core-Shell Nanocubes: A Type of Highly Efficient and Versatile Peroxidase Mimic. ACS Nano 9(10):</w:t>
      </w:r>
      <w:r>
        <w:rPr>
          <w:rFonts w:ascii="Times New Roman" w:hAnsi="Times New Roman" w:eastAsia="宋体" w:cs="Times New Roman"/>
          <w:i w:val="0"/>
          <w:i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9994-10004. </w:t>
      </w:r>
      <w:r>
        <w:rPr>
          <w:rFonts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instrText xml:space="preserve"> HYPERLINK "https://doi.org/10.1021/acsnano.5b03525" </w:instrText>
      </w:r>
      <w:r>
        <w:rPr>
          <w:rFonts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t>https://doi.org/10.1021/acsnano.5b03525</w:t>
      </w:r>
      <w:r>
        <w:rPr>
          <w:rFonts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17"/>
        <w:ind w:left="480" w:hanging="480" w:hangingChars="200"/>
      </w:pPr>
      <w:bookmarkStart w:id="3" w:name="bu3"/>
      <w:bookmarkEnd w:id="3"/>
      <w:r>
        <w:rPr>
          <w:rFonts w:hint="eastAsia" w:ascii="Times New Roman" w:hAnsi="Times New Roman" w:cs="Times New Roman"/>
        </w:rPr>
        <w:t>Zhang</w:t>
      </w:r>
      <w:r>
        <w:rPr>
          <w:rFonts w:hint="eastAsia" w:ascii="Times New Roman" w:hAnsi="Times New Roman" w:cs="Times New Roman"/>
          <w:lang w:val="en-US" w:eastAsia="zh-CN"/>
        </w:rPr>
        <w:t xml:space="preserve"> XQ</w:t>
      </w:r>
      <w:r>
        <w:rPr>
          <w:rFonts w:hint="eastAsia" w:ascii="Times New Roman" w:hAnsi="Times New Roman" w:cs="Times New Roman"/>
        </w:rPr>
        <w:t>, Gong</w:t>
      </w:r>
      <w:r>
        <w:rPr>
          <w:rFonts w:hint="eastAsia" w:ascii="Times New Roman" w:hAnsi="Times New Roman" w:cs="Times New Roman"/>
          <w:lang w:val="en-US" w:eastAsia="zh-CN"/>
        </w:rPr>
        <w:t xml:space="preserve"> SWY</w:t>
      </w:r>
      <w:r>
        <w:rPr>
          <w:rFonts w:hint="eastAsia" w:ascii="Times New Roman" w:hAnsi="Times New Roman" w:cs="Times New Roman"/>
        </w:rPr>
        <w:t>, Zhang</w:t>
      </w:r>
      <w:r>
        <w:rPr>
          <w:rFonts w:hint="eastAsia" w:ascii="Times New Roman" w:hAnsi="Times New Roman" w:cs="Times New Roman"/>
          <w:lang w:val="en-US" w:eastAsia="zh-CN"/>
        </w:rPr>
        <w:t xml:space="preserve"> Y et al (2010)</w:t>
      </w:r>
      <w:r>
        <w:rPr>
          <w:rFonts w:hint="eastAsia" w:ascii="Times New Roman" w:hAnsi="Times New Roman" w:cs="Times New Roman"/>
        </w:rPr>
        <w:t xml:space="preserve"> Prussian blue modified iron oxide magnetic nanoparticles and their high peroxidase-like activity. J Mater Chem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</w:rPr>
        <w:t>20</w:t>
      </w:r>
      <w:r>
        <w:rPr>
          <w:rFonts w:hint="eastAsia" w:ascii="Times New Roman" w:hAnsi="Times New Roman" w:cs="Times New Roman"/>
        </w:rPr>
        <w:t>(2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  <w:lang w:val="en-US" w:eastAsia="zh-CN"/>
        </w:rPr>
        <w:t xml:space="preserve">:5110-5116. </w:t>
      </w:r>
      <w:r>
        <w:rPr>
          <w:rStyle w:val="6"/>
          <w:rFonts w:eastAsia="宋体" w:cs="Times New Roman"/>
          <w:color w:val="0000FF"/>
          <w:lang w:bidi="ar"/>
        </w:rPr>
        <w:fldChar w:fldCharType="begin"/>
      </w:r>
      <w:r>
        <w:rPr>
          <w:rStyle w:val="6"/>
          <w:rFonts w:eastAsia="宋体" w:cs="Times New Roman"/>
          <w:color w:val="0000FF"/>
          <w:lang w:bidi="ar"/>
        </w:rPr>
        <w:instrText xml:space="preserve"> HYPERLINK "https://doi.org/10.1039/c0jm00174k" </w:instrText>
      </w:r>
      <w:r>
        <w:rPr>
          <w:rStyle w:val="6"/>
          <w:rFonts w:eastAsia="宋体" w:cs="Times New Roman"/>
          <w:color w:val="0000FF"/>
          <w:lang w:bidi="ar"/>
        </w:rPr>
        <w:fldChar w:fldCharType="separate"/>
      </w:r>
      <w:r>
        <w:rPr>
          <w:rStyle w:val="6"/>
          <w:rFonts w:ascii="Times New Roman" w:hAnsi="Times New Roman" w:eastAsia="宋体" w:cs="Times New Roman"/>
          <w:color w:val="0000FF"/>
          <w:lang w:bidi="ar"/>
        </w:rPr>
        <w:t>https://doi.org/10.1039/c0jm00174k</w:t>
      </w:r>
      <w:r>
        <w:rPr>
          <w:rStyle w:val="6"/>
          <w:rFonts w:eastAsia="宋体" w:cs="Times New Roman"/>
          <w:color w:val="0000FF"/>
          <w:lang w:bidi="ar"/>
        </w:rPr>
        <w:fldChar w:fldCharType="end"/>
      </w:r>
    </w:p>
    <w:p>
      <w:pPr>
        <w:pStyle w:val="17"/>
        <w:ind w:left="480" w:hanging="480" w:hangingChars="200"/>
        <w:rPr>
          <w:rFonts w:hint="eastAsia" w:ascii="Times New Roman" w:hAnsi="Times New Roman" w:cs="Times New Roman"/>
          <w:lang w:val="en-US" w:eastAsia="zh-CN"/>
        </w:rPr>
      </w:pPr>
      <w:bookmarkStart w:id="4" w:name="bu4"/>
      <w:bookmarkEnd w:id="4"/>
      <w:r>
        <w:rPr>
          <w:rFonts w:ascii="Times New Roman" w:hAnsi="Times New Roman" w:cs="Times New Roman"/>
        </w:rPr>
        <w:t>Yadav</w:t>
      </w:r>
      <w:r>
        <w:rPr>
          <w:rFonts w:hint="eastAsia" w:ascii="Times New Roman" w:hAnsi="Times New Roman" w:cs="Times New Roman"/>
          <w:lang w:val="en-US" w:eastAsia="zh-CN"/>
        </w:rPr>
        <w:t xml:space="preserve"> PK</w:t>
      </w:r>
      <w:r>
        <w:rPr>
          <w:rFonts w:ascii="Times New Roman" w:hAnsi="Times New Roman" w:cs="Times New Roman"/>
        </w:rPr>
        <w:t>, Singh</w:t>
      </w:r>
      <w:r>
        <w:rPr>
          <w:rFonts w:hint="eastAsia" w:ascii="Times New Roman" w:hAnsi="Times New Roman" w:cs="Times New Roman"/>
          <w:lang w:val="en-US" w:eastAsia="zh-CN"/>
        </w:rPr>
        <w:t xml:space="preserve"> VK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Chandra</w:t>
      </w:r>
      <w:r>
        <w:rPr>
          <w:rFonts w:hint="eastAsia" w:ascii="Times New Roman" w:hAnsi="Times New Roman" w:cs="Times New Roman"/>
          <w:lang w:val="en-US" w:eastAsia="zh-CN"/>
        </w:rPr>
        <w:t xml:space="preserve"> S et al (2019)</w:t>
      </w:r>
      <w:r>
        <w:rPr>
          <w:rFonts w:ascii="Times New Roman" w:hAnsi="Times New Roman" w:cs="Times New Roman"/>
        </w:rPr>
        <w:t xml:space="preserve"> Green Synthesis of Fluorescent Carbon Quantum Dots from Azadirachta indica Leaves and Their Peroxidase-Mimetic Activity for the Detection of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Ascorbic Acid in Common Fresh Fruits. </w:t>
      </w:r>
      <w:r>
        <w:rPr>
          <w:rFonts w:ascii="Times New Roman" w:hAnsi="Times New Roman" w:cs="Times New Roman"/>
          <w:i w:val="0"/>
        </w:rPr>
        <w:t>ACS</w:t>
      </w:r>
      <w:r>
        <w:rPr>
          <w:rFonts w:hint="default" w:ascii="Times New Roman" w:hAnsi="Times New Roman" w:cs="Times New Roman"/>
          <w:i w:val="0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</w:rPr>
        <w:t>Biomater Sci Eng 5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ascii="Times New Roman" w:hAnsi="Times New Roman" w:cs="Times New Roman"/>
        </w:rPr>
        <w:t xml:space="preserve">623-632. </w:t>
      </w:r>
      <w:r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instrText xml:space="preserve"> HYPERLINK "https://doi.org/10.1021/acsbiomaterials.8b01528" </w:instrText>
      </w:r>
      <w:r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t>https://doi.org/10.1021/acsbiomaterials.8b01528</w:t>
      </w:r>
      <w:r>
        <w:rPr>
          <w:rFonts w:hint="eastAsia" w:ascii="Times New Roman" w:hAnsi="Times New Roman" w:eastAsia="宋体" w:cs="Times New Roman"/>
          <w:i w:val="0"/>
          <w:iCs w:val="0"/>
          <w:color w:val="0000FF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17"/>
        <w:ind w:left="480" w:hanging="480" w:hangingChars="200"/>
        <w:rPr>
          <w:rFonts w:hint="default" w:ascii="Times New Roman" w:hAnsi="Times New Roman" w:cs="Times New Roman"/>
          <w:i w:val="0"/>
          <w:lang w:val="en-US" w:eastAsia="zh-CN"/>
        </w:rPr>
      </w:pPr>
      <w:bookmarkStart w:id="5" w:name="bu5"/>
      <w:bookmarkEnd w:id="5"/>
      <w:r>
        <w:fldChar w:fldCharType="begin"/>
      </w:r>
      <w:r>
        <w:instrText xml:space="preserve"> ADDIN EN.REFLIST </w:instrText>
      </w:r>
      <w:r>
        <w:fldChar w:fldCharType="separate"/>
      </w:r>
      <w:r>
        <w:rPr>
          <w:rFonts w:ascii="Times New Roman" w:hAnsi="Times New Roman" w:cs="Times New Roman"/>
        </w:rPr>
        <w:t>Chen</w:t>
      </w:r>
      <w:r>
        <w:rPr>
          <w:rFonts w:hint="eastAsia" w:ascii="Times New Roman" w:hAnsi="Times New Roman" w:cs="Times New Roman"/>
          <w:lang w:val="en-US" w:eastAsia="zh-CN"/>
        </w:rPr>
        <w:t xml:space="preserve"> SH</w:t>
      </w:r>
      <w:r>
        <w:rPr>
          <w:rFonts w:ascii="Times New Roman" w:hAnsi="Times New Roman" w:cs="Times New Roman"/>
        </w:rPr>
        <w:t>, Li</w:t>
      </w:r>
      <w:r>
        <w:rPr>
          <w:rFonts w:hint="eastAsia" w:ascii="Times New Roman" w:hAnsi="Times New Roman" w:cs="Times New Roman"/>
          <w:lang w:val="en-US" w:eastAsia="zh-CN"/>
        </w:rPr>
        <w:t xml:space="preserve"> Z</w:t>
      </w:r>
      <w:r>
        <w:rPr>
          <w:rFonts w:ascii="Times New Roman" w:hAnsi="Times New Roman" w:cs="Times New Roman"/>
        </w:rPr>
        <w:t>, Huang</w:t>
      </w:r>
      <w:r>
        <w:rPr>
          <w:rFonts w:hint="eastAsia" w:ascii="Times New Roman" w:hAnsi="Times New Roman" w:cs="Times New Roman"/>
          <w:lang w:val="en-US" w:eastAsia="zh-CN"/>
        </w:rPr>
        <w:t xml:space="preserve"> ZZ et al (2021</w:t>
      </w:r>
      <w:r>
        <w:rPr>
          <w:rFonts w:hint="default" w:ascii="Times New Roman" w:hAnsi="Times New Roman" w:cs="Times New Roman"/>
          <w:i w:val="0"/>
          <w:lang w:val="en-US" w:eastAsia="zh-CN"/>
        </w:rPr>
        <w:t>)</w:t>
      </w:r>
      <w:r>
        <w:rPr>
          <w:rFonts w:ascii="Times New Roman" w:hAnsi="Times New Roman" w:cs="Times New Roman"/>
        </w:rPr>
        <w:t xml:space="preserve"> Investigation of efficient synergistic and protective effects of chitosan on copper nanoclusters: Construction of highly active and stable nanozyme for colorimetric and fluorometric dual-signal biosensing. </w:t>
      </w:r>
      <w:r>
        <w:rPr>
          <w:rFonts w:hint="eastAsia" w:ascii="Times New Roman" w:hAnsi="Times New Roman" w:cs="Times New Roman"/>
        </w:rPr>
        <w:t>Sens Actuators B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</w:rPr>
        <w:t>332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i w:val="0"/>
          <w:lang w:val="en-US" w:eastAsia="zh-CN"/>
        </w:rPr>
        <w:t>129522</w:t>
      </w:r>
      <w:r>
        <w:rPr>
          <w:rFonts w:hint="eastAsia" w:ascii="Times New Roman" w:hAnsi="Times New Roman" w:cs="Times New Roman"/>
          <w:i w:val="0"/>
          <w:lang w:val="en-US" w:eastAsia="zh-CN"/>
        </w:rPr>
        <w:t>.</w:t>
      </w:r>
    </w:p>
    <w:p>
      <w:pPr>
        <w:pStyle w:val="17"/>
        <w:ind w:left="494" w:leftChars="206" w:firstLine="0" w:firstLineChars="0"/>
        <w:rPr>
          <w:rFonts w:hint="eastAsia" w:ascii="Times New Roman" w:hAnsi="Times New Roman" w:cs="Times New Roman"/>
          <w:color w:val="0000FF"/>
          <w:lang w:bidi="ar"/>
        </w:rPr>
      </w:pPr>
      <w:r>
        <w:rPr>
          <w:rStyle w:val="6"/>
          <w:rFonts w:hint="eastAsia" w:ascii="Times New Roman" w:hAnsi="Times New Roman" w:eastAsia="宋体" w:cs="Times New Roman"/>
          <w:color w:val="0000FF"/>
          <w:lang w:bidi="ar"/>
        </w:rPr>
        <w:fldChar w:fldCharType="begin"/>
      </w:r>
      <w:r>
        <w:rPr>
          <w:rStyle w:val="6"/>
          <w:rFonts w:hint="eastAsia" w:ascii="Times New Roman" w:hAnsi="Times New Roman" w:eastAsia="宋体" w:cs="Times New Roman"/>
          <w:color w:val="0000FF"/>
          <w:lang w:bidi="ar"/>
        </w:rPr>
        <w:instrText xml:space="preserve"> HYPERLINK "https://doi.org/10.1016/j.snb.2021.129522" </w:instrText>
      </w:r>
      <w:r>
        <w:rPr>
          <w:rStyle w:val="6"/>
          <w:rFonts w:hint="eastAsia" w:ascii="Times New Roman" w:hAnsi="Times New Roman" w:eastAsia="宋体" w:cs="Times New Roman"/>
          <w:color w:val="0000FF"/>
          <w:lang w:bidi="ar"/>
        </w:rPr>
        <w:fldChar w:fldCharType="separate"/>
      </w:r>
      <w:r>
        <w:rPr>
          <w:rStyle w:val="6"/>
          <w:rFonts w:hint="eastAsia" w:ascii="Times New Roman" w:hAnsi="Times New Roman" w:eastAsia="宋体" w:cs="Times New Roman"/>
          <w:color w:val="0000FF"/>
          <w:lang w:bidi="ar"/>
        </w:rPr>
        <w:t>https://doi.org/10.1016/j.snb.2021.129522</w:t>
      </w:r>
      <w:r>
        <w:rPr>
          <w:rStyle w:val="6"/>
          <w:rFonts w:hint="eastAsia" w:ascii="Times New Roman" w:hAnsi="Times New Roman" w:eastAsia="宋体" w:cs="Times New Roman"/>
          <w:color w:val="0000FF"/>
          <w:lang w:bidi="ar"/>
        </w:rPr>
        <w:fldChar w:fldCharType="end"/>
      </w:r>
    </w:p>
    <w:p>
      <w:pPr>
        <w:pStyle w:val="1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pStyle w:val="17"/>
        <w:ind w:left="0" w:firstLine="0"/>
      </w:pP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  <w:docVar w:name="EN.Layout" w:val="&lt;ENLayout&gt;&lt;Style&gt;Food Chemistry 副本1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344&lt;/item&gt;&lt;item&gt;2349&lt;/item&gt;&lt;item&gt;2357&lt;/item&gt;&lt;item&gt;2358&lt;/item&gt;&lt;item&gt;2359&lt;/item&gt;&lt;/record-ids&gt;&lt;/item&gt;&lt;/Libraries&gt;"/>
  </w:docVars>
  <w:rsids>
    <w:rsidRoot w:val="006C57AF"/>
    <w:rsid w:val="000B6F4D"/>
    <w:rsid w:val="001422BB"/>
    <w:rsid w:val="00144A68"/>
    <w:rsid w:val="0015587B"/>
    <w:rsid w:val="002A2C7B"/>
    <w:rsid w:val="002A5725"/>
    <w:rsid w:val="003300AB"/>
    <w:rsid w:val="003602FB"/>
    <w:rsid w:val="005136EB"/>
    <w:rsid w:val="00551DA1"/>
    <w:rsid w:val="005974E1"/>
    <w:rsid w:val="005B6AAF"/>
    <w:rsid w:val="005E666B"/>
    <w:rsid w:val="006C57AF"/>
    <w:rsid w:val="007A3765"/>
    <w:rsid w:val="007E73AC"/>
    <w:rsid w:val="00881742"/>
    <w:rsid w:val="00883932"/>
    <w:rsid w:val="00943165"/>
    <w:rsid w:val="00974B10"/>
    <w:rsid w:val="00985795"/>
    <w:rsid w:val="009B4022"/>
    <w:rsid w:val="00AD7999"/>
    <w:rsid w:val="00AE457E"/>
    <w:rsid w:val="00B312FA"/>
    <w:rsid w:val="00BE4BEA"/>
    <w:rsid w:val="00D10661"/>
    <w:rsid w:val="00EA19F4"/>
    <w:rsid w:val="00EA75BE"/>
    <w:rsid w:val="00F240FC"/>
    <w:rsid w:val="00F32C46"/>
    <w:rsid w:val="00F5148C"/>
    <w:rsid w:val="00F81B1A"/>
    <w:rsid w:val="00FA3A5F"/>
    <w:rsid w:val="037C1C4A"/>
    <w:rsid w:val="03DE6745"/>
    <w:rsid w:val="0BD26077"/>
    <w:rsid w:val="0EFF7581"/>
    <w:rsid w:val="1C61699F"/>
    <w:rsid w:val="20766D6E"/>
    <w:rsid w:val="22D77914"/>
    <w:rsid w:val="250C3278"/>
    <w:rsid w:val="25671674"/>
    <w:rsid w:val="2B453C03"/>
    <w:rsid w:val="2DC8590D"/>
    <w:rsid w:val="2FE934CC"/>
    <w:rsid w:val="31CC2BEF"/>
    <w:rsid w:val="334A431E"/>
    <w:rsid w:val="36066530"/>
    <w:rsid w:val="38E505E8"/>
    <w:rsid w:val="3924498F"/>
    <w:rsid w:val="3C386D08"/>
    <w:rsid w:val="3D8879D0"/>
    <w:rsid w:val="42E5654F"/>
    <w:rsid w:val="46471EEC"/>
    <w:rsid w:val="496171BD"/>
    <w:rsid w:val="49E6704C"/>
    <w:rsid w:val="641B38E6"/>
    <w:rsid w:val="6E1F7E7E"/>
    <w:rsid w:val="71522E82"/>
    <w:rsid w:val="753C63A6"/>
    <w:rsid w:val="75B135FA"/>
    <w:rsid w:val="7D91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color w:val="auto"/>
      <w:sz w:val="24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Plain Text"/>
    <w:basedOn w:val="1"/>
    <w:link w:val="11"/>
    <w:autoRedefine/>
    <w:semiHidden/>
    <w:unhideWhenUsed/>
    <w:qFormat/>
    <w:uiPriority w:val="99"/>
    <w:pPr>
      <w:widowControl w:val="0"/>
      <w:jc w:val="both"/>
    </w:pPr>
    <w:rPr>
      <w:rFonts w:hAnsi="Courier New" w:cs="Courier New" w:asciiTheme="minorEastAsia" w:eastAsiaTheme="minorEastAsia"/>
      <w:bCs/>
      <w:color w:val="000000"/>
      <w:sz w:val="40"/>
      <w:szCs w:val="40"/>
    </w:rPr>
  </w:style>
  <w:style w:type="table" w:styleId="5">
    <w:name w:val="Table Grid"/>
    <w:basedOn w:val="4"/>
    <w:autoRedefine/>
    <w:qFormat/>
    <w:uiPriority w:val="39"/>
    <w:rPr>
      <w:rFonts w:asciiTheme="minorHAnsi" w:hAnsiTheme="minorHAnsi" w:eastAsiaTheme="minorEastAsia" w:cstheme="minorBidi"/>
      <w:color w:val="auto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FollowedHyperlink"/>
    <w:basedOn w:val="6"/>
    <w:autoRedefine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rFonts w:ascii="Times New Roman" w:hAnsi="Times New Roman" w:eastAsia="Times New Roman"/>
      <w:color w:val="0563C1" w:themeColor="hyperlink"/>
      <w:sz w:val="24"/>
      <w:u w:val="none"/>
      <w14:textFill>
        <w14:solidFill>
          <w14:schemeClr w14:val="hlink"/>
        </w14:solidFill>
      </w14:textFill>
    </w:rPr>
  </w:style>
  <w:style w:type="paragraph" w:customStyle="1" w:styleId="10">
    <w:name w:val="样式 黑体小二号"/>
    <w:basedOn w:val="3"/>
    <w:autoRedefine/>
    <w:qFormat/>
    <w:uiPriority w:val="0"/>
    <w:pPr>
      <w:spacing w:before="460" w:after="460" w:line="312" w:lineRule="auto"/>
      <w:jc w:val="center"/>
    </w:pPr>
    <w:rPr>
      <w:rFonts w:ascii="黑体" w:hAnsi="黑体" w:eastAsia="黑体" w:cs="宋体"/>
      <w:bCs w:val="0"/>
      <w:color w:val="auto"/>
      <w:kern w:val="2"/>
      <w:sz w:val="36"/>
      <w:szCs w:val="20"/>
    </w:rPr>
  </w:style>
  <w:style w:type="character" w:customStyle="1" w:styleId="11">
    <w:name w:val="纯文本 字符"/>
    <w:basedOn w:val="6"/>
    <w:link w:val="3"/>
    <w:autoRedefine/>
    <w:semiHidden/>
    <w:qFormat/>
    <w:uiPriority w:val="99"/>
    <w:rPr>
      <w:rFonts w:hAnsi="Courier New" w:cs="Courier New" w:asciiTheme="minorEastAsia" w:eastAsiaTheme="minorEastAsia"/>
    </w:rPr>
  </w:style>
  <w:style w:type="paragraph" w:customStyle="1" w:styleId="12">
    <w:name w:val="样式 1"/>
    <w:basedOn w:val="3"/>
    <w:autoRedefine/>
    <w:qFormat/>
    <w:uiPriority w:val="0"/>
    <w:pPr>
      <w:spacing w:before="460" w:after="460" w:line="312" w:lineRule="auto"/>
      <w:jc w:val="center"/>
    </w:pPr>
    <w:rPr>
      <w:rFonts w:ascii="黑体" w:eastAsia="黑体" w:cs="宋体"/>
      <w:bCs w:val="0"/>
      <w:color w:val="auto"/>
      <w:kern w:val="2"/>
      <w:sz w:val="36"/>
      <w:szCs w:val="20"/>
    </w:rPr>
  </w:style>
  <w:style w:type="paragraph" w:customStyle="1" w:styleId="13">
    <w:name w:val="样式 2"/>
    <w:basedOn w:val="3"/>
    <w:autoRedefine/>
    <w:qFormat/>
    <w:uiPriority w:val="0"/>
    <w:pPr>
      <w:spacing w:before="240" w:after="240" w:line="312" w:lineRule="auto"/>
      <w:jc w:val="left"/>
    </w:pPr>
    <w:rPr>
      <w:rFonts w:ascii="黑体" w:eastAsia="黑体" w:cs="宋体"/>
      <w:bCs w:val="0"/>
      <w:color w:val="auto"/>
      <w:kern w:val="2"/>
      <w:sz w:val="32"/>
      <w:szCs w:val="20"/>
    </w:rPr>
  </w:style>
  <w:style w:type="paragraph" w:customStyle="1" w:styleId="14">
    <w:name w:val="样式 3"/>
    <w:basedOn w:val="3"/>
    <w:autoRedefine/>
    <w:qFormat/>
    <w:uiPriority w:val="0"/>
    <w:pPr>
      <w:spacing w:before="180" w:after="180" w:line="312" w:lineRule="auto"/>
    </w:pPr>
    <w:rPr>
      <w:rFonts w:ascii="黑体" w:eastAsia="黑体" w:cs="宋体"/>
      <w:bCs w:val="0"/>
      <w:color w:val="auto"/>
      <w:kern w:val="2"/>
      <w:sz w:val="28"/>
      <w:szCs w:val="20"/>
    </w:rPr>
  </w:style>
  <w:style w:type="paragraph" w:customStyle="1" w:styleId="15">
    <w:name w:val="EndNote Bibliography Title"/>
    <w:basedOn w:val="1"/>
    <w:link w:val="16"/>
    <w:autoRedefine/>
    <w:qFormat/>
    <w:uiPriority w:val="0"/>
    <w:pPr>
      <w:jc w:val="center"/>
    </w:pPr>
  </w:style>
  <w:style w:type="character" w:customStyle="1" w:styleId="16">
    <w:name w:val="EndNote Bibliography Title 字符"/>
    <w:basedOn w:val="6"/>
    <w:link w:val="15"/>
    <w:autoRedefine/>
    <w:qFormat/>
    <w:uiPriority w:val="0"/>
    <w:rPr>
      <w:rFonts w:ascii="宋体" w:hAnsi="宋体"/>
      <w:color w:val="auto"/>
      <w:sz w:val="24"/>
      <w:szCs w:val="24"/>
    </w:rPr>
  </w:style>
  <w:style w:type="paragraph" w:customStyle="1" w:styleId="17">
    <w:name w:val="EndNote Bibliography"/>
    <w:basedOn w:val="1"/>
    <w:link w:val="18"/>
    <w:autoRedefine/>
    <w:qFormat/>
    <w:uiPriority w:val="0"/>
  </w:style>
  <w:style w:type="character" w:customStyle="1" w:styleId="18">
    <w:name w:val="EndNote Bibliography 字符"/>
    <w:basedOn w:val="6"/>
    <w:link w:val="17"/>
    <w:autoRedefine/>
    <w:qFormat/>
    <w:uiPriority w:val="0"/>
    <w:rPr>
      <w:rFonts w:ascii="宋体" w:hAnsi="宋体"/>
      <w:color w:val="auto"/>
      <w:sz w:val="24"/>
      <w:szCs w:val="24"/>
    </w:rPr>
  </w:style>
  <w:style w:type="character" w:customStyle="1" w:styleId="19">
    <w:name w:val="Unresolved Mention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6132C-FE9F-4BF1-B40B-41885F54D4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1409</Words>
  <Characters>8033</Characters>
  <Lines>66</Lines>
  <Paragraphs>18</Paragraphs>
  <TotalTime>0</TotalTime>
  <ScaleCrop>false</ScaleCrop>
  <LinksUpToDate>false</LinksUpToDate>
  <CharactersWithSpaces>9424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2023-04-19T09:17:00Z</dcterms:created>
  <dc:creator>dell-pc</dc:creator>
  <cp:lastModifiedBy>红叶</cp:lastModifiedBy>
  <dcterms:modified xsi:type="dcterms:W3CDTF">2024-05-17T07:30:10Z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17F85EB0F07943428DC3CB0FB6AD7CA4_13</vt:lpwstr>
  </property>
</Properties>
</file>