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bookmarkStart w:id="2" w:name="_GoBack"/>
      <w:bookmarkEnd w:id="2"/>
      <w:r>
        <w:rPr>
          <w:rFonts w:hint="default" w:ascii="Times New Roman" w:hAnsi="Times New Roman" w:cs="Times New Roman"/>
          <w:b/>
          <w:bCs/>
          <w:sz w:val="24"/>
          <w:szCs w:val="24"/>
          <w:lang w:val="en-US" w:eastAsia="zh-CN"/>
        </w:rPr>
        <w:t>Definition of Osteosarcoma in the analysis</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44"/>
        <w:gridCol w:w="4238"/>
        <w:gridCol w:w="1530"/>
        <w:gridCol w:w="82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p>
        </w:tc>
        <w:tc>
          <w:tcPr>
            <w:tcW w:w="0" w:type="auto"/>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Histology group</w:t>
            </w:r>
          </w:p>
        </w:tc>
        <w:tc>
          <w:tcPr>
            <w:tcW w:w="0" w:type="auto"/>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ICD-O-3 code</w:t>
            </w:r>
          </w:p>
        </w:tc>
        <w:tc>
          <w:tcPr>
            <w:tcW w:w="0" w:type="auto"/>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5-digit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restart"/>
            <w:tcBorders>
              <w:top w:val="single" w:color="auto" w:sz="4" w:space="0"/>
            </w:tcBorders>
            <w:vAlign w:val="center"/>
          </w:tcPr>
          <w:p>
            <w:pPr>
              <w:numPr>
                <w:ilvl w:val="0"/>
                <w:numId w:val="0"/>
              </w:numPr>
              <w:jc w:val="cente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Osteosarcoma</w:t>
            </w:r>
          </w:p>
        </w:tc>
        <w:tc>
          <w:tcPr>
            <w:tcW w:w="0" w:type="auto"/>
            <w:tcBorders>
              <w:top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Osteosarcoma, NOS</w:t>
            </w:r>
          </w:p>
        </w:tc>
        <w:tc>
          <w:tcPr>
            <w:tcW w:w="0" w:type="auto"/>
            <w:tcBorders>
              <w:top w:val="single" w:color="auto" w:sz="4" w:space="0"/>
            </w:tcBorders>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9180</w:t>
            </w:r>
          </w:p>
        </w:tc>
        <w:tc>
          <w:tcPr>
            <w:tcW w:w="0" w:type="auto"/>
            <w:tcBorders>
              <w:top w:val="single" w:color="auto" w:sz="4" w:space="0"/>
            </w:tcBorders>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Chondroblastic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9181</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Fibroblastic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9182</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Telangiectatic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9183</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Osteosarcoma in Paget disease of bone</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9184</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Small cell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9185</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sz w:val="22"/>
                <w:szCs w:val="22"/>
                <w:lang w:val="en-US" w:eastAsia="zh-CN"/>
              </w:rPr>
              <w:t>Central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9186</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Intraosseous well differentiated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9187</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Parosteal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9192</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Periosteal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9193</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Merge w:val="continue"/>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lang w:val="en-US" w:eastAsia="zh-CN"/>
              </w:rPr>
            </w:pPr>
            <w:r>
              <w:rPr>
                <w:rFonts w:hint="default" w:ascii="Times New Roman" w:hAnsi="Times New Roman" w:cs="Times New Roman"/>
                <w:sz w:val="22"/>
                <w:szCs w:val="22"/>
                <w:lang w:val="en-US" w:eastAsia="zh-CN"/>
              </w:rPr>
              <w:t>High grade surface osteosarcoma</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9194</w:t>
            </w:r>
          </w:p>
        </w:tc>
        <w:tc>
          <w:tcPr>
            <w:tcW w:w="0" w:type="auto"/>
          </w:tcPr>
          <w:p>
            <w:pPr>
              <w:numPr>
                <w:ilvl w:val="0"/>
                <w:numId w:val="0"/>
              </w:numPr>
              <w:rPr>
                <w:rFonts w:hint="default" w:ascii="Times New Roman" w:hAnsi="Times New Roman" w:cs="Times New Roman"/>
                <w:b w:val="0"/>
                <w:bCs w:val="0"/>
                <w:sz w:val="22"/>
                <w:szCs w:val="22"/>
                <w:vertAlign w:val="baseline"/>
                <w:lang w:val="en-US" w:eastAsia="zh-CN"/>
              </w:rPr>
            </w:pPr>
            <w:r>
              <w:rPr>
                <w:rFonts w:hint="default" w:ascii="Times New Roman" w:hAnsi="Times New Roman" w:cs="Times New Roman"/>
                <w:b w:val="0"/>
                <w:bCs w:val="0"/>
                <w:sz w:val="22"/>
                <w:szCs w:val="22"/>
                <w:vertAlign w:val="baseline"/>
                <w:lang w:val="en-US" w:eastAsia="zh-CN"/>
              </w:rPr>
              <w:t>3</w:t>
            </w:r>
          </w:p>
        </w:tc>
      </w:tr>
    </w:tbl>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bookmarkStart w:id="0" w:name="OLE_LINK1"/>
      <w:bookmarkStart w:id="1" w:name="OLE_LINK3"/>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 xml:space="preserve">Inclusion </w:t>
      </w:r>
      <w:r>
        <w:rPr>
          <w:rFonts w:hint="eastAsia" w:ascii="Times New Roman" w:hAnsi="Times New Roman" w:cs="Times New Roman"/>
          <w:b/>
          <w:bCs/>
          <w:sz w:val="24"/>
          <w:szCs w:val="24"/>
          <w:lang w:val="en-US" w:eastAsia="zh-CN"/>
        </w:rPr>
        <w:t xml:space="preserve">and exclusion </w:t>
      </w:r>
      <w:r>
        <w:rPr>
          <w:rFonts w:hint="default" w:ascii="Times New Roman" w:hAnsi="Times New Roman" w:cs="Times New Roman"/>
          <w:b/>
          <w:bCs/>
          <w:sz w:val="24"/>
          <w:szCs w:val="24"/>
          <w:lang w:val="en-US" w:eastAsia="zh-CN"/>
        </w:rPr>
        <w:t>criteria</w:t>
      </w: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w:t>
      </w:r>
      <w:bookmarkEnd w:id="0"/>
      <w:r>
        <w:rPr>
          <w:rFonts w:hint="default" w:ascii="Times New Roman" w:hAnsi="Times New Roman" w:cs="Times New Roman"/>
          <w:b w:val="0"/>
          <w:bCs w:val="0"/>
          <w:sz w:val="24"/>
          <w:szCs w:val="24"/>
          <w:lang w:val="en-US" w:eastAsia="zh-CN"/>
        </w:rPr>
        <w:t>clusion criteria</w:t>
      </w:r>
      <w:r>
        <w:rPr>
          <w:rFonts w:hint="eastAsia" w:ascii="Times New Roman" w:hAnsi="Times New Roman" w:cs="Times New Roman"/>
          <w:b w:val="0"/>
          <w:bCs w:val="0"/>
          <w:sz w:val="24"/>
          <w:szCs w:val="24"/>
          <w:lang w:val="en-US" w:eastAsia="zh-CN"/>
        </w:rPr>
        <w:t>:</w:t>
      </w:r>
    </w:p>
    <w:bookmarkEnd w:id="1"/>
    <w:p>
      <w:pPr>
        <w:numPr>
          <w:ilvl w:val="0"/>
          <w:numId w:val="1"/>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 xml:space="preserve">3 </w:t>
      </w:r>
      <w:r>
        <w:rPr>
          <w:rFonts w:hint="eastAsia" w:ascii="Times New Roman" w:hAnsi="Times New Roman" w:cs="Times New Roman"/>
          <w:b w:val="0"/>
          <w:bCs w:val="0"/>
          <w:sz w:val="24"/>
          <w:szCs w:val="24"/>
          <w:lang w:val="en-US" w:eastAsia="zh-CN"/>
        </w:rPr>
        <w:t>&lt;</w:t>
      </w:r>
      <w:r>
        <w:rPr>
          <w:rFonts w:hint="default" w:ascii="Times New Roman" w:hAnsi="Times New Roman" w:cs="Times New Roman"/>
          <w:b w:val="0"/>
          <w:bCs w:val="0"/>
          <w:sz w:val="24"/>
          <w:szCs w:val="24"/>
          <w:lang w:val="en-US" w:eastAsia="zh-CN"/>
        </w:rPr>
        <w:t xml:space="preserve"> Age ≤ 85 years;</w:t>
      </w:r>
    </w:p>
    <w:p>
      <w:pPr>
        <w:numPr>
          <w:ilvl w:val="0"/>
          <w:numId w:val="1"/>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Primary tumor;</w:t>
      </w:r>
    </w:p>
    <w:p>
      <w:pPr>
        <w:numPr>
          <w:ilvl w:val="0"/>
          <w:numId w:val="1"/>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Surgery primary site;</w:t>
      </w:r>
    </w:p>
    <w:p>
      <w:pPr>
        <w:numPr>
          <w:ilvl w:val="0"/>
          <w:numId w:val="1"/>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sz w:val="24"/>
          <w:szCs w:val="24"/>
          <w:lang w:val="en-US" w:eastAsia="zh-CN"/>
        </w:rPr>
        <w:t>Beam radiation after surgery：remove cases of “Combination of beam with implants or isotopes”, “Radiation, NOS  method or source not specified”, “Radioactive implants (includes brachytherapy) (1988+)”, “Radioisotopes (1988+)”, “Intraoperative rad with other rad before/after surgery”, “Intraoperative radiation, Radiation before and after surgery”, “Radiation prior to surgery”, “Sequence unknown, but both were given”, “Surgery both before and after radiation”.</w:t>
      </w: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Exclusion criteria</w:t>
      </w:r>
      <w:r>
        <w:rPr>
          <w:rFonts w:hint="eastAsia" w:ascii="Times New Roman" w:hAnsi="Times New Roman" w:cs="Times New Roman"/>
          <w:b w:val="0"/>
          <w:bCs w:val="0"/>
          <w:sz w:val="24"/>
          <w:szCs w:val="24"/>
          <w:lang w:val="en-US" w:eastAsia="zh-CN"/>
        </w:rPr>
        <w:t>:</w:t>
      </w:r>
    </w:p>
    <w:p>
      <w:pPr>
        <w:numPr>
          <w:ilvl w:val="0"/>
          <w:numId w:val="2"/>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Autopsy only in the “</w:t>
      </w:r>
      <w:r>
        <w:rPr>
          <w:rFonts w:hint="default" w:ascii="Times New Roman" w:hAnsi="Times New Roman" w:cs="Times New Roman"/>
          <w:sz w:val="24"/>
          <w:szCs w:val="24"/>
          <w:lang w:val="en-US" w:eastAsia="zh-CN"/>
        </w:rPr>
        <w:t>Type of Reporting Source”</w:t>
      </w:r>
      <w:r>
        <w:rPr>
          <w:rFonts w:hint="default" w:ascii="Times New Roman" w:hAnsi="Times New Roman" w:cs="Times New Roman"/>
          <w:b w:val="0"/>
          <w:bCs w:val="0"/>
          <w:sz w:val="24"/>
          <w:szCs w:val="24"/>
          <w:lang w:val="en-US" w:eastAsia="zh-CN"/>
        </w:rPr>
        <w:t>;</w:t>
      </w:r>
    </w:p>
    <w:p>
      <w:pPr>
        <w:numPr>
          <w:ilvl w:val="0"/>
          <w:numId w:val="2"/>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None Positive histology in the “</w:t>
      </w:r>
      <w:r>
        <w:rPr>
          <w:rFonts w:hint="default" w:ascii="Times New Roman" w:hAnsi="Times New Roman" w:cs="Times New Roman"/>
          <w:sz w:val="24"/>
          <w:szCs w:val="24"/>
          <w:lang w:val="en-US" w:eastAsia="zh-CN"/>
        </w:rPr>
        <w:t>Diagnostic Confirmation”;</w:t>
      </w:r>
    </w:p>
    <w:p>
      <w:pPr>
        <w:numPr>
          <w:ilvl w:val="0"/>
          <w:numId w:val="2"/>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Incomplete survival months flag and Survival time=0;</w:t>
      </w:r>
    </w:p>
    <w:p>
      <w:pPr>
        <w:numPr>
          <w:ilvl w:val="0"/>
          <w:numId w:val="2"/>
        </w:numPr>
        <w:ind w:left="425" w:leftChars="0" w:hanging="425" w:firstLineChars="0"/>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 xml:space="preserve">Missing/unknown </w:t>
      </w:r>
      <w:r>
        <w:rPr>
          <w:rFonts w:hint="default" w:ascii="Times New Roman" w:hAnsi="Times New Roman" w:cs="Times New Roman"/>
          <w:b w:val="0"/>
          <w:bCs w:val="0"/>
          <w:sz w:val="24"/>
          <w:szCs w:val="24"/>
          <w:lang w:val="en-US" w:eastAsia="zh-CN"/>
        </w:rPr>
        <w:t>Cause of Death (</w:t>
      </w:r>
      <w:r>
        <w:rPr>
          <w:rFonts w:hint="default" w:ascii="Times New Roman" w:hAnsi="Times New Roman" w:cs="Times New Roman"/>
          <w:b w:val="0"/>
          <w:bCs w:val="0"/>
          <w:sz w:val="24"/>
          <w:szCs w:val="24"/>
          <w:lang w:val="en-US" w:eastAsia="zh-CN"/>
        </w:rPr>
        <w:t>COD</w:t>
      </w:r>
      <w:r>
        <w:rPr>
          <w:rFonts w:hint="default"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w:t>
      </w:r>
    </w:p>
    <w:p>
      <w:pPr>
        <w:numPr>
          <w:numId w:val="0"/>
        </w:numPr>
        <w:ind w:leftChars="0"/>
        <w:rPr>
          <w:rFonts w:hint="default" w:ascii="Times New Roman" w:hAnsi="Times New Roman" w:cs="Times New Roman"/>
          <w:b w:val="0"/>
          <w:bCs w:val="0"/>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 xml:space="preserve">Definition of </w:t>
      </w:r>
      <w:r>
        <w:rPr>
          <w:rFonts w:hint="default" w:ascii="Times New Roman" w:hAnsi="Times New Roman" w:cs="Times New Roman"/>
          <w:b/>
          <w:bCs/>
          <w:sz w:val="24"/>
          <w:szCs w:val="24"/>
          <w:lang w:val="en-US" w:eastAsia="zh-CN"/>
        </w:rPr>
        <w:t>Primary Site</w:t>
      </w:r>
      <w:r>
        <w:rPr>
          <w:rFonts w:hint="default" w:ascii="Times New Roman" w:hAnsi="Times New Roman" w:cs="Times New Roman"/>
          <w:b/>
          <w:bCs/>
          <w:sz w:val="24"/>
          <w:szCs w:val="24"/>
          <w:lang w:val="en-US" w:eastAsia="zh-CN"/>
        </w:rPr>
        <w:t xml:space="preserve"> in the analysis</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65"/>
        <w:gridCol w:w="5532"/>
        <w:gridCol w:w="153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numPr>
                <w:ilvl w:val="0"/>
                <w:numId w:val="0"/>
              </w:numPr>
              <w:rPr>
                <w:rFonts w:hint="default" w:ascii="Times New Roman" w:hAnsi="Times New Roman" w:cs="Times New Roman"/>
                <w:sz w:val="22"/>
                <w:szCs w:val="22"/>
                <w:vertAlign w:val="baseline"/>
                <w:lang w:val="en-US" w:eastAsia="zh-CN"/>
              </w:rPr>
            </w:pPr>
          </w:p>
        </w:tc>
        <w:tc>
          <w:tcPr>
            <w:tcW w:w="0" w:type="auto"/>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Primary site</w:t>
            </w:r>
          </w:p>
        </w:tc>
        <w:tc>
          <w:tcPr>
            <w:tcW w:w="0" w:type="auto"/>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ICD-O-3 code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Extremity</w:t>
            </w:r>
          </w:p>
        </w:tc>
        <w:tc>
          <w:tcPr>
            <w:tcW w:w="0" w:type="auto"/>
            <w:tcBorders>
              <w:top w:val="single" w:color="auto" w:sz="4" w:space="0"/>
            </w:tcBorders>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Long bones: upper limb, scapula, and associated joints</w:t>
            </w:r>
          </w:p>
        </w:tc>
        <w:tc>
          <w:tcPr>
            <w:tcW w:w="0" w:type="auto"/>
            <w:tcBorders>
              <w:top w:val="single" w:color="auto" w:sz="4" w:space="0"/>
            </w:tcBorders>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Short bones of upper limb and associated joints, Lower limb</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Long bones of lower limb and associated joints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Short bones of lower limb and associated joints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Overlap of bones, joints, and art. cartilage of limbs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b/>
                <w:bCs/>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Bone of limb, NOS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Axial</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Bones of skull and face and associated joints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Mandible, Trun</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Vertebral column</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Rib, sternum, clavicle and associated joints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numPr>
                <w:ilvl w:val="0"/>
                <w:numId w:val="0"/>
              </w:numPr>
              <w:rPr>
                <w:rFonts w:hint="default" w:ascii="Times New Roman" w:hAnsi="Times New Roman" w:cs="Times New Roman"/>
                <w:sz w:val="22"/>
                <w:szCs w:val="22"/>
                <w:vertAlign w:val="baseline"/>
                <w:lang w:val="en-US" w:eastAsia="zh-CN"/>
              </w:rPr>
            </w:pP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color w:val="auto"/>
                <w:sz w:val="22"/>
                <w:szCs w:val="22"/>
                <w:lang w:val="en-US" w:eastAsia="zh-CN"/>
              </w:rPr>
              <w:t>Pelvic bones, sacrum, coccyx and associated joints</w:t>
            </w:r>
          </w:p>
        </w:tc>
        <w:tc>
          <w:tcPr>
            <w:tcW w:w="0" w:type="auto"/>
          </w:tcPr>
          <w:p>
            <w:pPr>
              <w:numPr>
                <w:ilvl w:val="0"/>
                <w:numId w:val="0"/>
              </w:numPr>
              <w:rPr>
                <w:rFonts w:hint="default" w:ascii="Times New Roman" w:hAnsi="Times New Roman" w:cs="Times New Roman"/>
                <w:sz w:val="22"/>
                <w:szCs w:val="22"/>
                <w:vertAlign w:val="baseline"/>
                <w:lang w:val="en-US" w:eastAsia="zh-CN"/>
              </w:rPr>
            </w:pPr>
            <w:r>
              <w:rPr>
                <w:rFonts w:hint="default" w:ascii="Times New Roman" w:hAnsi="Times New Roman" w:cs="Times New Roman"/>
                <w:sz w:val="22"/>
                <w:szCs w:val="22"/>
                <w:vertAlign w:val="baseline"/>
                <w:lang w:val="en-US" w:eastAsia="zh-CN"/>
              </w:rPr>
              <w:t>C41.4</w:t>
            </w:r>
          </w:p>
        </w:tc>
      </w:tr>
    </w:tbl>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 xml:space="preserve">Definition of </w:t>
      </w:r>
      <w:r>
        <w:rPr>
          <w:rFonts w:hint="default" w:ascii="Times New Roman" w:hAnsi="Times New Roman" w:cs="Times New Roman"/>
          <w:b/>
          <w:bCs/>
          <w:sz w:val="24"/>
          <w:szCs w:val="24"/>
          <w:lang w:val="en-US" w:eastAsia="zh-CN"/>
        </w:rPr>
        <w:t>Stage</w:t>
      </w:r>
      <w:r>
        <w:rPr>
          <w:rFonts w:hint="default" w:ascii="Times New Roman" w:hAnsi="Times New Roman" w:cs="Times New Roman"/>
          <w:b/>
          <w:bCs/>
          <w:sz w:val="24"/>
          <w:szCs w:val="24"/>
          <w:lang w:val="en-US" w:eastAsia="zh-CN"/>
        </w:rPr>
        <w:t xml:space="preserve"> in the analysis</w:t>
      </w:r>
    </w:p>
    <w:tbl>
      <w:tblPr>
        <w:tblStyle w:val="4"/>
        <w:tblW w:w="8520"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5"/>
        <w:gridCol w:w="739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5" w:type="dxa"/>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Stage</w:t>
            </w:r>
          </w:p>
        </w:tc>
        <w:tc>
          <w:tcPr>
            <w:tcW w:w="7395" w:type="dxa"/>
            <w:tcBorders>
              <w:bottom w:val="single" w:color="auto" w:sz="4" w:space="0"/>
            </w:tcBorders>
          </w:tcPr>
          <w:p>
            <w:pPr>
              <w:numPr>
                <w:ilvl w:val="0"/>
                <w:numId w:val="0"/>
              </w:numPr>
              <w:rPr>
                <w:rFonts w:hint="default" w:ascii="Times New Roman" w:hAnsi="Times New Roman" w:cs="Times New Roman"/>
                <w:b/>
                <w:bCs/>
                <w:sz w:val="22"/>
                <w:szCs w:val="22"/>
                <w:vertAlign w:val="baseline"/>
                <w:lang w:val="en-US" w:eastAsia="zh-CN"/>
              </w:rPr>
            </w:pPr>
            <w:r>
              <w:rPr>
                <w:rFonts w:hint="default" w:ascii="Times New Roman" w:hAnsi="Times New Roman" w:cs="Times New Roman"/>
                <w:b/>
                <w:bCs/>
                <w:sz w:val="22"/>
                <w:szCs w:val="22"/>
              </w:rPr>
              <w:t>SEER Combined Summary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5" w:type="dxa"/>
            <w:tcBorders>
              <w:top w:val="single" w:color="auto" w:sz="4" w:space="0"/>
            </w:tcBorders>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In situ</w:t>
            </w:r>
          </w:p>
        </w:tc>
        <w:tc>
          <w:tcPr>
            <w:tcW w:w="7395" w:type="dxa"/>
            <w:tcBorders>
              <w:top w:val="single" w:color="auto" w:sz="4" w:space="0"/>
            </w:tcBorders>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A noninvasive neoplasm; a tumor which has not penetrated the basement membrane nor extended beyond the epithelial tissue. Some synonyms are intraepithelial (confined to epithelial tissue), noninvasive and noninfiltrating.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5" w:type="dxa"/>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Localized</w:t>
            </w:r>
          </w:p>
        </w:tc>
        <w:tc>
          <w:tcPr>
            <w:tcW w:w="7395" w:type="dxa"/>
          </w:tcPr>
          <w:p>
            <w:pPr>
              <w:keepNext w:val="0"/>
              <w:keepLines w:val="0"/>
              <w:widowControl/>
              <w:suppressLineNumbers w:val="0"/>
              <w:jc w:val="left"/>
              <w:rPr>
                <w:rFonts w:hint="default" w:ascii="Times New Roman" w:hAnsi="Times New Roman" w:cs="Times New Roman"/>
                <w:sz w:val="22"/>
                <w:szCs w:val="22"/>
              </w:rPr>
            </w:pPr>
            <w:r>
              <w:rPr>
                <w:rFonts w:hint="default" w:ascii="Times New Roman" w:hAnsi="Times New Roman" w:eastAsia="宋体" w:cs="Times New Roman"/>
                <w:color w:val="000000"/>
                <w:kern w:val="0"/>
                <w:sz w:val="22"/>
                <w:szCs w:val="22"/>
                <w:lang w:val="en-US" w:eastAsia="zh-CN" w:bidi="ar"/>
              </w:rPr>
              <w:t xml:space="preserve">An invasive neoplasm confined entirely to the organ of origin. It may include intraluminal extension where specified. For example, for colon, intraluminal </w:t>
            </w:r>
          </w:p>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extension limited to immediately contiguous segments of the large bowel is localized, if no lymph nodes are involved. Localized may exclude invasion of the serosa because of the poor survival of the patient once the serosa is invaded.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5" w:type="dxa"/>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 xml:space="preserve">  Regional</w:t>
            </w:r>
          </w:p>
        </w:tc>
        <w:tc>
          <w:tcPr>
            <w:tcW w:w="7395" w:type="dxa"/>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A neoplasm that has extended (1) beyond the limits of the organ of origin directly into surrounding organs or tissues; (2) into regional lymph nodes by way of the lymphatic system; (3) by a combination of extension and regional lymph nodes.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5" w:type="dxa"/>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Distant</w:t>
            </w:r>
          </w:p>
        </w:tc>
        <w:tc>
          <w:tcPr>
            <w:tcW w:w="7395" w:type="dxa"/>
          </w:tcPr>
          <w:p>
            <w:pPr>
              <w:keepNext w:val="0"/>
              <w:keepLines w:val="0"/>
              <w:widowControl/>
              <w:suppressLineNumbers w:val="0"/>
              <w:jc w:val="left"/>
              <w:rPr>
                <w:rFonts w:hint="default" w:ascii="Times New Roman" w:hAnsi="Times New Roman" w:cs="Times New Roman"/>
                <w:sz w:val="22"/>
                <w:szCs w:val="22"/>
                <w:vertAlign w:val="baseline"/>
                <w:lang w:val="en-US" w:eastAsia="zh-CN"/>
              </w:rPr>
            </w:pPr>
            <w:r>
              <w:rPr>
                <w:rFonts w:hint="default" w:ascii="Times New Roman" w:hAnsi="Times New Roman" w:eastAsia="宋体" w:cs="Times New Roman"/>
                <w:color w:val="000000"/>
                <w:kern w:val="0"/>
                <w:sz w:val="22"/>
                <w:szCs w:val="22"/>
                <w:lang w:val="en-US" w:eastAsia="zh-CN" w:bidi="ar"/>
              </w:rPr>
              <w:t>A neoplasm that has spread to parts of the body remote from the primary tumor either by direct extension or by discontinuous metastasis (implantation or seeding) to distant organs, issues, or via the lymphatic system to distant lymph nodes.</w:t>
            </w:r>
          </w:p>
        </w:tc>
      </w:tr>
    </w:tbl>
    <w:p>
      <w:pPr>
        <w:rPr>
          <w:rFonts w:hint="default" w:ascii="Times New Roman" w:hAnsi="Times New Roman" w:cs="Times New Roman"/>
          <w:sz w:val="24"/>
          <w:szCs w:val="24"/>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 xml:space="preserve">Definition of </w:t>
      </w:r>
      <w:r>
        <w:rPr>
          <w:rFonts w:hint="default" w:ascii="Times New Roman" w:hAnsi="Times New Roman" w:cs="Times New Roman"/>
          <w:b/>
          <w:bCs/>
          <w:sz w:val="24"/>
          <w:szCs w:val="24"/>
          <w:lang w:val="en-US" w:eastAsia="zh-CN"/>
        </w:rPr>
        <w:t>Resection</w:t>
      </w:r>
      <w:r>
        <w:rPr>
          <w:rFonts w:hint="default" w:ascii="Times New Roman" w:hAnsi="Times New Roman" w:cs="Times New Roman"/>
          <w:b/>
          <w:bCs/>
          <w:sz w:val="24"/>
          <w:szCs w:val="24"/>
          <w:lang w:val="en-US" w:eastAsia="zh-CN"/>
        </w:rPr>
        <w:t xml:space="preserve"> in the analysis</w:t>
      </w:r>
    </w:p>
    <w:tbl>
      <w:tblPr>
        <w:tblStyle w:val="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67"/>
        <w:gridCol w:w="3743"/>
        <w:gridCol w:w="351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rPr>
                <w:rFonts w:hint="default" w:ascii="Times New Roman" w:hAnsi="Times New Roman" w:cs="Times New Roman" w:eastAsiaTheme="minorEastAsia"/>
                <w:b/>
                <w:bCs/>
                <w:sz w:val="22"/>
                <w:szCs w:val="22"/>
                <w:vertAlign w:val="baseline"/>
                <w:lang w:val="en-US" w:eastAsia="zh-CN"/>
              </w:rPr>
            </w:pPr>
          </w:p>
        </w:tc>
        <w:tc>
          <w:tcPr>
            <w:tcW w:w="0" w:type="auto"/>
            <w:gridSpan w:val="2"/>
            <w:tcBorders>
              <w:bottom w:val="single" w:color="auto" w:sz="4" w:space="0"/>
            </w:tcBorders>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b/>
                <w:bCs/>
                <w:sz w:val="22"/>
                <w:szCs w:val="22"/>
                <w:vertAlign w:val="baseline"/>
                <w:lang w:val="en-US" w:eastAsia="zh-CN"/>
              </w:rPr>
              <w:t>Description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auto" w:sz="4" w:space="0"/>
            </w:tcBorders>
          </w:tcPr>
          <w:p>
            <w:pPr>
              <w:rPr>
                <w:rFonts w:hint="default" w:ascii="Times New Roman" w:hAnsi="Times New Roman" w:cs="Times New Roman" w:eastAsiaTheme="minorEastAsia"/>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Incomplete</w:t>
            </w:r>
          </w:p>
        </w:tc>
        <w:tc>
          <w:tcPr>
            <w:tcW w:w="3770" w:type="dxa"/>
            <w:tcBorders>
              <w:top w:val="single" w:color="auto" w:sz="4" w:space="0"/>
            </w:tcBorders>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Local tumor destruction</w:t>
            </w:r>
          </w:p>
        </w:tc>
        <w:tc>
          <w:tcPr>
            <w:tcW w:w="3532" w:type="dxa"/>
            <w:tcBorders>
              <w:top w:val="single" w:color="auto" w:sz="4" w:space="0"/>
            </w:tcBorders>
          </w:tcPr>
          <w:p>
            <w:pPr>
              <w:rPr>
                <w:rFonts w:hint="default" w:ascii="Times New Roman" w:hAnsi="Times New Roman" w:cs="Times New Roman" w:eastAsiaTheme="minorEastAsia"/>
                <w:sz w:val="22"/>
                <w:szCs w:val="22"/>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b/>
                <w:bCs/>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Local excision</w:t>
            </w:r>
          </w:p>
        </w:tc>
        <w:tc>
          <w:tcPr>
            <w:tcW w:w="3532" w:type="dxa"/>
          </w:tcPr>
          <w:p>
            <w:pPr>
              <w:rPr>
                <w:rFonts w:hint="default" w:ascii="Times New Roman" w:hAnsi="Times New Roman" w:cs="Times New Roman" w:eastAsiaTheme="minorEastAsia"/>
                <w:sz w:val="22"/>
                <w:szCs w:val="22"/>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b/>
                <w:bCs/>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Partial resection</w:t>
            </w:r>
          </w:p>
        </w:tc>
        <w:tc>
          <w:tcPr>
            <w:tcW w:w="3532" w:type="dxa"/>
          </w:tcPr>
          <w:p>
            <w:pPr>
              <w:rPr>
                <w:rFonts w:hint="default" w:ascii="Times New Roman" w:hAnsi="Times New Roman" w:cs="Times New Roman" w:eastAsiaTheme="minorEastAsia"/>
                <w:sz w:val="22"/>
                <w:szCs w:val="22"/>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b/>
                <w:bCs/>
                <w:sz w:val="22"/>
                <w:szCs w:val="22"/>
                <w:vertAlign w:val="baseline"/>
                <w:lang w:val="en-US" w:eastAsia="zh-CN"/>
              </w:rPr>
            </w:pPr>
            <w:r>
              <w:rPr>
                <w:rFonts w:hint="default" w:ascii="Times New Roman" w:hAnsi="Times New Roman" w:cs="Times New Roman"/>
                <w:b/>
                <w:bCs/>
                <w:sz w:val="22"/>
                <w:szCs w:val="22"/>
                <w:vertAlign w:val="baseline"/>
                <w:lang w:val="en-US" w:eastAsia="zh-CN"/>
              </w:rPr>
              <w:t>Complete</w:t>
            </w:r>
          </w:p>
        </w:tc>
        <w:tc>
          <w:tcPr>
            <w:tcW w:w="3770"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Radical excision or resection of lesion with limb salvage</w:t>
            </w:r>
          </w:p>
        </w:tc>
        <w:tc>
          <w:tcPr>
            <w:tcW w:w="3532" w:type="dxa"/>
          </w:tcPr>
          <w:p>
            <w:pPr>
              <w:rPr>
                <w:rFonts w:hint="default" w:ascii="Times New Roman" w:hAnsi="Times New Roman" w:cs="Times New Roman" w:eastAsiaTheme="minorEastAsia"/>
                <w:sz w:val="22"/>
                <w:szCs w:val="22"/>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Amputation of limb</w:t>
            </w:r>
          </w:p>
        </w:tc>
        <w:tc>
          <w:tcPr>
            <w:tcW w:w="3532" w:type="dxa"/>
          </w:tcPr>
          <w:p>
            <w:pPr>
              <w:rPr>
                <w:rFonts w:hint="default" w:ascii="Times New Roman" w:hAnsi="Times New Roman" w:cs="Times New Roman" w:eastAsiaTheme="minorEastAsia"/>
                <w:sz w:val="22"/>
                <w:szCs w:val="22"/>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p>
        </w:tc>
        <w:tc>
          <w:tcPr>
            <w:tcW w:w="3532"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Partial amputation of limb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p>
        </w:tc>
        <w:tc>
          <w:tcPr>
            <w:tcW w:w="3532"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Total amputation of limb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Major amputation</w:t>
            </w:r>
          </w:p>
        </w:tc>
        <w:tc>
          <w:tcPr>
            <w:tcW w:w="3532" w:type="dxa"/>
          </w:tcPr>
          <w:p>
            <w:pPr>
              <w:rPr>
                <w:rFonts w:hint="default" w:ascii="Times New Roman" w:hAnsi="Times New Roman" w:cs="Times New Roman" w:eastAsiaTheme="minorEastAsia"/>
                <w:sz w:val="22"/>
                <w:szCs w:val="22"/>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p>
        </w:tc>
        <w:tc>
          <w:tcPr>
            <w:tcW w:w="3532"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Forequarter, including scapula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p>
        </w:tc>
        <w:tc>
          <w:tcPr>
            <w:tcW w:w="3532"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Hindquarter, including ilium/hip bone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p>
        </w:tc>
        <w:tc>
          <w:tcPr>
            <w:tcW w:w="3532"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Hemipelvectomy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rPr>
                <w:rFonts w:hint="default" w:ascii="Times New Roman" w:hAnsi="Times New Roman" w:cs="Times New Roman" w:eastAsiaTheme="minorEastAsia"/>
                <w:sz w:val="22"/>
                <w:szCs w:val="22"/>
                <w:vertAlign w:val="baseline"/>
                <w:lang w:val="en-US" w:eastAsia="zh-CN"/>
              </w:rPr>
            </w:pPr>
          </w:p>
        </w:tc>
        <w:tc>
          <w:tcPr>
            <w:tcW w:w="3770" w:type="dxa"/>
          </w:tcPr>
          <w:p>
            <w:pPr>
              <w:rPr>
                <w:rFonts w:hint="default" w:ascii="Times New Roman" w:hAnsi="Times New Roman" w:cs="Times New Roman" w:eastAsiaTheme="minorEastAsia"/>
                <w:sz w:val="22"/>
                <w:szCs w:val="22"/>
                <w:vertAlign w:val="baseline"/>
                <w:lang w:val="en-US" w:eastAsia="zh-CN"/>
              </w:rPr>
            </w:pPr>
          </w:p>
        </w:tc>
        <w:tc>
          <w:tcPr>
            <w:tcW w:w="3532" w:type="dxa"/>
          </w:tcPr>
          <w:p>
            <w:pPr>
              <w:rPr>
                <w:rFonts w:hint="default" w:ascii="Times New Roman" w:hAnsi="Times New Roman" w:cs="Times New Roman" w:eastAsiaTheme="minorEastAsia"/>
                <w:sz w:val="22"/>
                <w:szCs w:val="22"/>
                <w:vertAlign w:val="baseline"/>
                <w:lang w:val="en-US" w:eastAsia="zh-CN"/>
              </w:rPr>
            </w:pPr>
            <w:r>
              <w:rPr>
                <w:rFonts w:hint="default" w:ascii="Times New Roman" w:hAnsi="Times New Roman" w:cs="Times New Roman"/>
                <w:sz w:val="22"/>
                <w:szCs w:val="22"/>
                <w:vertAlign w:val="baseline"/>
                <w:lang w:val="en-US" w:eastAsia="zh-CN"/>
              </w:rPr>
              <w:t>Internal hemipelvectomy</w:t>
            </w:r>
          </w:p>
        </w:tc>
      </w:tr>
    </w:tbl>
    <w:p>
      <w:pPr>
        <w:rPr>
          <w:rFonts w:hint="default" w:ascii="Times New Roman" w:hAnsi="Times New Roman" w:cs="Times New Roman" w:eastAsiaTheme="minorEastAsia"/>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lang w:val="en-US" w:eastAsia="zh-CN"/>
        </w:rPr>
        <w:t>Definition of endpoint</w:t>
      </w:r>
    </w:p>
    <w:p>
      <w:pPr>
        <w:numPr>
          <w:ilvl w:val="0"/>
          <w:numId w:val="0"/>
        </w:numPr>
        <w:ind w:left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P</w:t>
      </w:r>
      <w:r>
        <w:rPr>
          <w:rFonts w:hint="default" w:ascii="Times New Roman" w:hAnsi="Times New Roman" w:cs="Times New Roman"/>
          <w:sz w:val="24"/>
          <w:szCs w:val="24"/>
        </w:rPr>
        <w:t>rimary endpoint</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O</w:t>
      </w:r>
      <w:r>
        <w:rPr>
          <w:rFonts w:hint="default" w:ascii="Times New Roman" w:hAnsi="Times New Roman" w:cs="Times New Roman"/>
          <w:sz w:val="24"/>
          <w:szCs w:val="24"/>
        </w:rPr>
        <w:t xml:space="preserve">verall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urvival</w:t>
      </w:r>
      <w:r>
        <w:rPr>
          <w:rFonts w:hint="default" w:ascii="Times New Roman" w:hAnsi="Times New Roman" w:cs="Times New Roman"/>
          <w:sz w:val="24"/>
          <w:szCs w:val="24"/>
          <w:lang w:val="en-US" w:eastAsia="zh-CN"/>
        </w:rPr>
        <w:t xml:space="preserve"> (OS)</w:t>
      </w:r>
      <w:r>
        <w:rPr>
          <w:rFonts w:hint="default" w:ascii="Times New Roman" w:hAnsi="Times New Roman" w:cs="Times New Roman"/>
          <w:sz w:val="24"/>
          <w:szCs w:val="24"/>
        </w:rPr>
        <w:t>, defined as the duration from diagnosis to the patient’s death or follow-up</w:t>
      </w:r>
      <w:r>
        <w:rPr>
          <w:rFonts w:hint="default" w:ascii="Times New Roman" w:hAnsi="Times New Roman" w:cs="Times New Roman"/>
          <w:sz w:val="24"/>
          <w:szCs w:val="24"/>
          <w:lang w:val="en-US" w:eastAsia="zh-CN"/>
        </w:rPr>
        <w:t xml:space="preserve"> conclusion</w:t>
      </w:r>
      <w:r>
        <w:rPr>
          <w:rFonts w:hint="default" w:ascii="Times New Roman" w:hAnsi="Times New Roman" w:cs="Times New Roman"/>
          <w:sz w:val="24"/>
          <w:szCs w:val="24"/>
        </w:rPr>
        <w:t xml:space="preserve">; </w:t>
      </w:r>
    </w:p>
    <w:p>
      <w:pPr>
        <w:numPr>
          <w:ilvl w:val="0"/>
          <w:numId w:val="0"/>
        </w:numPr>
        <w:ind w:left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econdary endpoint</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C</w:t>
      </w:r>
      <w:r>
        <w:rPr>
          <w:rFonts w:hint="default" w:ascii="Times New Roman" w:hAnsi="Times New Roman" w:cs="Times New Roman"/>
          <w:sz w:val="24"/>
          <w:szCs w:val="24"/>
        </w:rPr>
        <w:t>ancer-</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 xml:space="preserve">pecific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urvival</w:t>
      </w:r>
      <w:r>
        <w:rPr>
          <w:rFonts w:hint="default" w:ascii="Times New Roman" w:hAnsi="Times New Roman" w:cs="Times New Roman"/>
          <w:sz w:val="24"/>
          <w:szCs w:val="24"/>
          <w:lang w:val="en-US" w:eastAsia="zh-CN"/>
        </w:rPr>
        <w:t xml:space="preserve"> (CSS)</w:t>
      </w:r>
      <w:r>
        <w:rPr>
          <w:rFonts w:hint="default" w:ascii="Times New Roman" w:hAnsi="Times New Roman" w:cs="Times New Roman"/>
          <w:sz w:val="24"/>
          <w:szCs w:val="24"/>
        </w:rPr>
        <w:t>, defined as the duration from diagnosis to the patient’s death from cancer or follow-up</w:t>
      </w:r>
      <w:r>
        <w:rPr>
          <w:rFonts w:hint="default" w:ascii="Times New Roman" w:hAnsi="Times New Roman" w:cs="Times New Roman"/>
          <w:sz w:val="24"/>
          <w:szCs w:val="24"/>
          <w:lang w:val="en-US" w:eastAsia="zh-CN"/>
        </w:rPr>
        <w:t xml:space="preserve"> conclusion</w:t>
      </w:r>
      <w:r>
        <w:rPr>
          <w:rFonts w:hint="default" w:ascii="Times New Roman" w:hAnsi="Times New Roman" w:cs="Times New Roman"/>
          <w:sz w:val="24"/>
          <w:szCs w:val="24"/>
        </w:rPr>
        <w:t>.</w:t>
      </w: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outlineLvl w:val="0"/>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Sample size estimation</w:t>
      </w:r>
    </w:p>
    <w:p>
      <w:pPr>
        <w:rPr>
          <w:rFonts w:hint="default" w:ascii="Times New Roman" w:hAnsi="Times New Roman" w:cs="Times New Roman"/>
          <w:sz w:val="24"/>
          <w:szCs w:val="24"/>
          <w:lang w:val="en-US" w:eastAsia="zh-CN"/>
        </w:rPr>
      </w:pPr>
      <w:r>
        <w:rPr>
          <w:rFonts w:hint="default" w:ascii="Times New Roman" w:hAnsi="Times New Roman" w:cs="Times New Roman"/>
          <w:sz w:val="24"/>
          <w:szCs w:val="24"/>
        </w:rPr>
        <w:t>According to the sample size calculation formula</w:t>
      </w:r>
      <w:r>
        <w:rPr>
          <w:rFonts w:hint="default" w:ascii="Times New Roman" w:hAnsi="Times New Roman" w:cs="Times New Roman"/>
          <w:sz w:val="24"/>
          <w:szCs w:val="24"/>
          <w:lang w:val="en-US" w:eastAsia="zh-CN"/>
        </w:rPr>
        <w:t xml:space="preserve">: </w:t>
      </w:r>
      <m:oMath>
        <m:sSub>
          <m:sSubPr>
            <m:ctrlPr>
              <w:rPr>
                <w:rFonts w:hint="default" w:ascii="Cambria Math" w:hAnsi="Cambria Math" w:cs="Times New Roman"/>
                <w:sz w:val="24"/>
                <w:szCs w:val="24"/>
              </w:rPr>
            </m:ctrlPr>
          </m:sSubPr>
          <m:e>
            <m:r>
              <m:rPr/>
              <w:rPr>
                <w:rFonts w:hint="default" w:ascii="Cambria Math" w:hAnsi="Cambria Math" w:cs="Times New Roman"/>
                <w:sz w:val="24"/>
                <w:szCs w:val="24"/>
              </w:rPr>
              <m:t>n</m:t>
            </m:r>
            <m:ctrlPr>
              <w:rPr>
                <w:rFonts w:hint="default" w:ascii="Cambria Math" w:hAnsi="Cambria Math" w:cs="Times New Roman"/>
                <w:sz w:val="24"/>
                <w:szCs w:val="24"/>
              </w:rPr>
            </m:ctrlPr>
          </m:e>
          <m:sub>
            <m:r>
              <m:rPr/>
              <w:rPr>
                <w:rFonts w:hint="default" w:ascii="Cambria Math" w:hAnsi="Cambria Math" w:cs="Times New Roman"/>
                <w:sz w:val="24"/>
                <w:szCs w:val="24"/>
              </w:rPr>
              <m:t>outome</m:t>
            </m:r>
            <m:ctrlPr>
              <w:rPr>
                <w:rFonts w:hint="default" w:ascii="Cambria Math" w:hAnsi="Cambria Math" w:cs="Times New Roman"/>
                <w:sz w:val="24"/>
                <w:szCs w:val="24"/>
              </w:rPr>
            </m:ctrlPr>
          </m:sub>
        </m:sSub>
        <m:r>
          <m:rPr>
            <m:sty m:val="p"/>
          </m:rPr>
          <w:rPr>
            <w:rFonts w:hint="default" w:ascii="Cambria Math" w:hAnsi="Cambria Math" w:cs="Times New Roman"/>
            <w:sz w:val="24"/>
            <w:szCs w:val="24"/>
          </w:rPr>
          <m:t>=</m:t>
        </m:r>
        <m:f>
          <m:fPr>
            <m:ctrlPr>
              <w:rPr>
                <w:rFonts w:hint="default" w:ascii="Cambria Math" w:hAnsi="Cambria Math" w:cs="Times New Roman"/>
                <w:sz w:val="24"/>
                <w:szCs w:val="24"/>
              </w:rPr>
            </m:ctrlPr>
          </m:fPr>
          <m:num>
            <m:r>
              <m:rPr>
                <m:sty m:val="p"/>
              </m:rPr>
              <w:rPr>
                <w:rFonts w:hint="default" w:ascii="Cambria Math" w:hAnsi="Cambria Math" w:cs="Times New Roman"/>
                <w:sz w:val="24"/>
                <w:szCs w:val="24"/>
              </w:rPr>
              <m:t>(</m:t>
            </m:r>
            <m:sSub>
              <m:sSubPr>
                <m:ctrlPr>
                  <w:rPr>
                    <w:rFonts w:hint="default" w:ascii="Cambria Math" w:hAnsi="Cambria Math" w:cs="Times New Roman"/>
                    <w:sz w:val="24"/>
                    <w:szCs w:val="24"/>
                  </w:rPr>
                </m:ctrlPr>
              </m:sSubPr>
              <m:e>
                <m:r>
                  <m:rPr/>
                  <w:rPr>
                    <w:rFonts w:hint="default" w:ascii="Cambria Math" w:hAnsi="Cambria Math" w:cs="Times New Roman"/>
                    <w:sz w:val="24"/>
                    <w:szCs w:val="24"/>
                  </w:rPr>
                  <m:t>z</m:t>
                </m:r>
                <m:ctrlPr>
                  <w:rPr>
                    <w:rFonts w:hint="default" w:ascii="Cambria Math" w:hAnsi="Cambria Math" w:cs="Times New Roman"/>
                    <w:sz w:val="24"/>
                    <w:szCs w:val="24"/>
                  </w:rPr>
                </m:ctrlPr>
              </m:e>
              <m:sub>
                <m:r>
                  <m:rPr>
                    <m:sty m:val="p"/>
                  </m:rPr>
                  <w:rPr>
                    <w:rFonts w:hint="default" w:ascii="Cambria Math" w:hAnsi="Cambria Math" w:cs="Times New Roman"/>
                    <w:sz w:val="24"/>
                    <w:szCs w:val="24"/>
                  </w:rPr>
                  <m:t>1−</m:t>
                </m:r>
                <m:r>
                  <m:rPr/>
                  <w:rPr>
                    <w:rFonts w:hint="default" w:ascii="Cambria Math" w:hAnsi="Cambria Math" w:cs="Times New Roman"/>
                    <w:sz w:val="24"/>
                    <w:szCs w:val="24"/>
                  </w:rPr>
                  <m:t>α</m:t>
                </m:r>
                <m:r>
                  <m:rPr>
                    <m:sty m:val="p"/>
                  </m:rPr>
                  <w:rPr>
                    <w:rFonts w:hint="default" w:ascii="Cambria Math" w:hAnsi="Cambria Math" w:cs="Times New Roman"/>
                    <w:sz w:val="24"/>
                    <w:szCs w:val="24"/>
                  </w:rPr>
                  <m:t>/2</m:t>
                </m:r>
                <m:ctrlPr>
                  <w:rPr>
                    <w:rFonts w:hint="default" w:ascii="Cambria Math" w:hAnsi="Cambria Math" w:cs="Times New Roman"/>
                    <w:sz w:val="24"/>
                    <w:szCs w:val="24"/>
                  </w:rPr>
                </m:ctrlPr>
              </m:sub>
            </m:sSub>
            <m:r>
              <m:rPr>
                <m:sty m:val="p"/>
              </m:rPr>
              <w:rPr>
                <w:rFonts w:hint="default" w:ascii="Cambria Math" w:hAnsi="Cambria Math" w:cs="Times New Roman"/>
                <w:sz w:val="24"/>
                <w:szCs w:val="24"/>
              </w:rPr>
              <m:t>+</m:t>
            </m:r>
            <m:sSub>
              <m:sSubPr>
                <m:ctrlPr>
                  <w:rPr>
                    <w:rFonts w:hint="default" w:ascii="Cambria Math" w:hAnsi="Cambria Math" w:cs="Times New Roman"/>
                    <w:sz w:val="24"/>
                    <w:szCs w:val="24"/>
                  </w:rPr>
                </m:ctrlPr>
              </m:sSubPr>
              <m:e>
                <m:r>
                  <m:rPr/>
                  <w:rPr>
                    <w:rFonts w:hint="default" w:ascii="Cambria Math" w:hAnsi="Cambria Math" w:cs="Times New Roman"/>
                    <w:sz w:val="24"/>
                    <w:szCs w:val="24"/>
                  </w:rPr>
                  <m:t>z</m:t>
                </m:r>
                <m:ctrlPr>
                  <w:rPr>
                    <w:rFonts w:hint="default" w:ascii="Cambria Math" w:hAnsi="Cambria Math" w:cs="Times New Roman"/>
                    <w:sz w:val="24"/>
                    <w:szCs w:val="24"/>
                  </w:rPr>
                </m:ctrlPr>
              </m:e>
              <m:sub>
                <m:r>
                  <m:rPr>
                    <m:sty m:val="p"/>
                  </m:rPr>
                  <w:rPr>
                    <w:rFonts w:hint="default" w:ascii="Cambria Math" w:hAnsi="Cambria Math" w:cs="Times New Roman"/>
                    <w:sz w:val="24"/>
                    <w:szCs w:val="24"/>
                  </w:rPr>
                  <m:t>1−</m:t>
                </m:r>
                <m:r>
                  <m:rPr/>
                  <w:rPr>
                    <w:rFonts w:hint="default" w:ascii="Cambria Math" w:hAnsi="Cambria Math" w:cs="Times New Roman"/>
                    <w:sz w:val="24"/>
                    <w:szCs w:val="24"/>
                  </w:rPr>
                  <m:t>β</m:t>
                </m:r>
                <m:ctrlPr>
                  <w:rPr>
                    <w:rFonts w:hint="default" w:ascii="Cambria Math" w:hAnsi="Cambria Math" w:cs="Times New Roman"/>
                    <w:sz w:val="24"/>
                    <w:szCs w:val="24"/>
                  </w:rPr>
                </m:ctrlPr>
              </m:sub>
            </m:sSub>
            <m:sSup>
              <m:sSupPr>
                <m:ctrlPr>
                  <w:rPr>
                    <w:rFonts w:hint="default" w:ascii="Cambria Math" w:hAnsi="Cambria Math" w:cs="Times New Roman"/>
                    <w:sz w:val="24"/>
                    <w:szCs w:val="24"/>
                  </w:rPr>
                </m:ctrlPr>
              </m:sSupPr>
              <m:e>
                <m:r>
                  <m:rPr>
                    <m:sty m:val="p"/>
                  </m:rPr>
                  <w:rPr>
                    <w:rFonts w:hint="default" w:ascii="Cambria Math" w:hAnsi="Cambria Math" w:cs="Times New Roman"/>
                    <w:sz w:val="24"/>
                    <w:szCs w:val="24"/>
                  </w:rPr>
                  <m:t>)</m:t>
                </m:r>
                <m:ctrlPr>
                  <w:rPr>
                    <w:rFonts w:hint="default" w:ascii="Cambria Math" w:hAnsi="Cambria Math" w:cs="Times New Roman"/>
                    <w:sz w:val="24"/>
                    <w:szCs w:val="24"/>
                  </w:rPr>
                </m:ctrlPr>
              </m:e>
              <m:sup>
                <m:r>
                  <m:rPr>
                    <m:sty m:val="p"/>
                  </m:rPr>
                  <w:rPr>
                    <w:rFonts w:hint="default" w:ascii="Cambria Math" w:hAnsi="Cambria Math" w:cs="Times New Roman"/>
                    <w:sz w:val="24"/>
                    <w:szCs w:val="24"/>
                  </w:rPr>
                  <m:t>2</m:t>
                </m:r>
                <m:ctrlPr>
                  <w:rPr>
                    <w:rFonts w:hint="default" w:ascii="Cambria Math" w:hAnsi="Cambria Math" w:cs="Times New Roman"/>
                    <w:sz w:val="24"/>
                    <w:szCs w:val="24"/>
                  </w:rPr>
                </m:ctrlPr>
              </m:sup>
            </m:sSup>
            <m:ctrlPr>
              <w:rPr>
                <w:rFonts w:hint="default" w:ascii="Cambria Math" w:hAnsi="Cambria Math" w:cs="Times New Roman"/>
                <w:sz w:val="24"/>
                <w:szCs w:val="24"/>
              </w:rPr>
            </m:ctrlPr>
          </m:num>
          <m:den>
            <m:r>
              <m:rPr/>
              <w:rPr>
                <w:rFonts w:hint="default" w:ascii="Cambria Math" w:hAnsi="Cambria Math" w:cs="Times New Roman"/>
                <w:sz w:val="24"/>
                <w:szCs w:val="24"/>
              </w:rPr>
              <m:t>p</m:t>
            </m:r>
            <m:r>
              <m:rPr>
                <m:sty m:val="p"/>
              </m:rPr>
              <w:rPr>
                <w:rFonts w:hint="default" w:ascii="Cambria Math" w:hAnsi="Cambria Math" w:cs="Times New Roman"/>
                <w:sz w:val="24"/>
                <w:szCs w:val="24"/>
              </w:rPr>
              <m:t>0(1−</m:t>
            </m:r>
            <m:r>
              <m:rPr/>
              <w:rPr>
                <w:rFonts w:hint="default" w:ascii="Cambria Math" w:hAnsi="Cambria Math" w:cs="Times New Roman"/>
                <w:sz w:val="24"/>
                <w:szCs w:val="24"/>
              </w:rPr>
              <m:t>p</m:t>
            </m:r>
            <m:r>
              <m:rPr>
                <m:sty m:val="p"/>
              </m:rPr>
              <w:rPr>
                <w:rFonts w:hint="default" w:ascii="Cambria Math" w:hAnsi="Cambria Math" w:cs="Times New Roman"/>
                <w:sz w:val="24"/>
                <w:szCs w:val="24"/>
              </w:rPr>
              <m:t>0)(</m:t>
            </m:r>
            <m:r>
              <m:rPr/>
              <w:rPr>
                <w:rFonts w:hint="default" w:ascii="Cambria Math" w:hAnsi="Cambria Math" w:cs="Times New Roman"/>
                <w:sz w:val="24"/>
                <w:szCs w:val="24"/>
              </w:rPr>
              <m:t>log</m:t>
            </m:r>
            <m:r>
              <m:rPr>
                <m:sty m:val="p"/>
              </m:rPr>
              <w:rPr>
                <w:rFonts w:hint="default" w:ascii="Cambria Math" w:hAnsi="Cambria Math" w:cs="Times New Roman"/>
                <w:sz w:val="24"/>
                <w:szCs w:val="24"/>
              </w:rPr>
              <m:t>(</m:t>
            </m:r>
            <m:r>
              <m:rPr/>
              <w:rPr>
                <w:rFonts w:hint="default" w:ascii="Cambria Math" w:hAnsi="Cambria Math" w:cs="Times New Roman"/>
                <w:sz w:val="24"/>
                <w:szCs w:val="24"/>
              </w:rPr>
              <m:t>t</m:t>
            </m:r>
            <m:r>
              <m:rPr>
                <m:sty m:val="p"/>
              </m:rPr>
              <w:rPr>
                <w:rFonts w:hint="default" w:ascii="Cambria Math" w:hAnsi="Cambria Math" w:cs="Times New Roman"/>
                <w:sz w:val="24"/>
                <w:szCs w:val="24"/>
              </w:rPr>
              <m:t>0/</m:t>
            </m:r>
            <m:r>
              <m:rPr/>
              <w:rPr>
                <w:rFonts w:hint="default" w:ascii="Cambria Math" w:hAnsi="Cambria Math" w:cs="Times New Roman"/>
                <w:sz w:val="24"/>
                <w:szCs w:val="24"/>
              </w:rPr>
              <m:t>t</m:t>
            </m:r>
            <m:r>
              <m:rPr>
                <m:sty m:val="p"/>
              </m:rPr>
              <w:rPr>
                <w:rFonts w:hint="default" w:ascii="Cambria Math" w:hAnsi="Cambria Math" w:cs="Times New Roman"/>
                <w:sz w:val="24"/>
                <w:szCs w:val="24"/>
              </w:rPr>
              <m:t>1)</m:t>
            </m:r>
            <m:sSup>
              <m:sSupPr>
                <m:ctrlPr>
                  <w:rPr>
                    <w:rFonts w:hint="default" w:ascii="Cambria Math" w:hAnsi="Cambria Math" w:cs="Times New Roman"/>
                    <w:sz w:val="24"/>
                    <w:szCs w:val="24"/>
                  </w:rPr>
                </m:ctrlPr>
              </m:sSupPr>
              <m:e>
                <m:r>
                  <m:rPr>
                    <m:sty m:val="p"/>
                  </m:rPr>
                  <w:rPr>
                    <w:rFonts w:hint="default" w:ascii="Cambria Math" w:hAnsi="Cambria Math" w:cs="Times New Roman"/>
                    <w:sz w:val="24"/>
                    <w:szCs w:val="24"/>
                  </w:rPr>
                  <m:t>)</m:t>
                </m:r>
                <m:ctrlPr>
                  <w:rPr>
                    <w:rFonts w:hint="default" w:ascii="Cambria Math" w:hAnsi="Cambria Math" w:cs="Times New Roman"/>
                    <w:sz w:val="24"/>
                    <w:szCs w:val="24"/>
                  </w:rPr>
                </m:ctrlPr>
              </m:e>
              <m:sup>
                <m:r>
                  <m:rPr>
                    <m:sty m:val="p"/>
                  </m:rPr>
                  <w:rPr>
                    <w:rFonts w:hint="default" w:ascii="Cambria Math" w:hAnsi="Cambria Math" w:cs="Times New Roman"/>
                    <w:sz w:val="24"/>
                    <w:szCs w:val="24"/>
                  </w:rPr>
                  <m:t>2</m:t>
                </m:r>
                <m:ctrlPr>
                  <w:rPr>
                    <w:rFonts w:hint="default" w:ascii="Cambria Math" w:hAnsi="Cambria Math" w:cs="Times New Roman"/>
                    <w:sz w:val="24"/>
                    <w:szCs w:val="24"/>
                  </w:rPr>
                </m:ctrlPr>
              </m:sup>
            </m:sSup>
            <m:ctrlPr>
              <w:rPr>
                <w:rFonts w:hint="default" w:ascii="Cambria Math" w:hAnsi="Cambria Math" w:cs="Times New Roman"/>
                <w:sz w:val="24"/>
                <w:szCs w:val="24"/>
              </w:rPr>
            </m:ctrlPr>
          </m:den>
        </m:f>
      </m:oMath>
      <w:r>
        <w:rPr>
          <w:rFonts w:hint="default" w:ascii="Times New Roman" w:hAnsi="Times New Roman" w:cs="Times New Roman"/>
          <w:sz w:val="24"/>
          <w:szCs w:val="24"/>
          <w:lang w:val="en-US" w:eastAsia="zh-CN"/>
        </w:rPr>
        <w:t>. I</w:t>
      </w:r>
      <w:r>
        <w:rPr>
          <w:rFonts w:hint="default" w:ascii="Times New Roman" w:hAnsi="Times New Roman" w:cs="Times New Roman"/>
          <w:sz w:val="24"/>
          <w:szCs w:val="24"/>
        </w:rPr>
        <w:t>t was determined that group sample sizes of 4</w:t>
      </w:r>
      <w:r>
        <w:rPr>
          <w:rFonts w:hint="default" w:ascii="Times New Roman" w:hAnsi="Times New Roman" w:cs="Times New Roman"/>
          <w:sz w:val="24"/>
          <w:szCs w:val="24"/>
          <w:lang w:val="en-US" w:eastAsia="zh-CN"/>
        </w:rPr>
        <w:t>76</w:t>
      </w:r>
      <w:r>
        <w:rPr>
          <w:rFonts w:hint="default" w:ascii="Times New Roman" w:hAnsi="Times New Roman" w:cs="Times New Roman"/>
          <w:sz w:val="24"/>
          <w:szCs w:val="24"/>
        </w:rPr>
        <w:t xml:space="preserve"> patients would afford 80% power to reject the null hypothesis of equal survival time, given the median survival times of 45.39 months for the Non-Radiation group and 60 months for the Radiation group, with an enrollment time of </w:t>
      </w:r>
      <w:r>
        <w:rPr>
          <w:rFonts w:hint="default" w:ascii="Times New Roman" w:hAnsi="Times New Roman" w:cs="Times New Roman"/>
          <w:sz w:val="24"/>
          <w:szCs w:val="24"/>
          <w:lang w:val="en-US" w:eastAsia="zh-CN"/>
        </w:rPr>
        <w:t>216</w:t>
      </w:r>
      <w:r>
        <w:rPr>
          <w:rFonts w:hint="default" w:ascii="Times New Roman" w:hAnsi="Times New Roman" w:cs="Times New Roman"/>
          <w:sz w:val="24"/>
          <w:szCs w:val="24"/>
        </w:rPr>
        <w:t xml:space="preserve"> months and a follow-up time of 60 months at a two-sided alpha of 0.05. Consequently, both the Radiation and Non-Radiation groups require a minimum sample size of 2</w:t>
      </w:r>
      <w:r>
        <w:rPr>
          <w:rFonts w:hint="default" w:ascii="Times New Roman" w:hAnsi="Times New Roman" w:cs="Times New Roman"/>
          <w:sz w:val="24"/>
          <w:szCs w:val="24"/>
          <w:lang w:val="en-US" w:eastAsia="zh-CN"/>
        </w:rPr>
        <w:t>38</w:t>
      </w:r>
      <w:r>
        <w:rPr>
          <w:rFonts w:hint="default" w:ascii="Times New Roman" w:hAnsi="Times New Roman" w:cs="Times New Roman"/>
          <w:sz w:val="24"/>
          <w:szCs w:val="24"/>
        </w:rPr>
        <w:t xml:space="preserve"> individuals.</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Based on the actual situation, the loss to follow-up rate can be adjusted within the range of 5% to 20%.</w:t>
      </w:r>
    </w:p>
    <w:p>
      <w:pPr>
        <w:numPr>
          <w:numId w:val="0"/>
        </w:numPr>
        <w:ind w:leftChars="0"/>
        <w:rPr>
          <w:rFonts w:hint="default" w:ascii="Times New Roman" w:hAnsi="Times New Roman" w:cs="Times New Roman"/>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D443A0"/>
    <w:multiLevelType w:val="singleLevel"/>
    <w:tmpl w:val="C2D443A0"/>
    <w:lvl w:ilvl="0" w:tentative="0">
      <w:start w:val="1"/>
      <w:numFmt w:val="decimal"/>
      <w:lvlText w:val="%1)"/>
      <w:lvlJc w:val="left"/>
      <w:pPr>
        <w:ind w:left="425" w:hanging="425"/>
      </w:pPr>
      <w:rPr>
        <w:rFonts w:hint="default"/>
      </w:rPr>
    </w:lvl>
  </w:abstractNum>
  <w:abstractNum w:abstractNumId="1">
    <w:nsid w:val="70EA6457"/>
    <w:multiLevelType w:val="singleLevel"/>
    <w:tmpl w:val="70EA6457"/>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1ZDM2M2JlNGFiYjA5ZTdmODRmZmVkZGNjZWFhM2EifQ=="/>
  </w:docVars>
  <w:rsids>
    <w:rsidRoot w:val="00000000"/>
    <w:rsid w:val="03912F41"/>
    <w:rsid w:val="039B791C"/>
    <w:rsid w:val="066A0B88"/>
    <w:rsid w:val="0AF85654"/>
    <w:rsid w:val="0CBD2B44"/>
    <w:rsid w:val="0F707EAE"/>
    <w:rsid w:val="10C2298C"/>
    <w:rsid w:val="11BE2DE2"/>
    <w:rsid w:val="157A2AC8"/>
    <w:rsid w:val="18FE1560"/>
    <w:rsid w:val="1C746B04"/>
    <w:rsid w:val="1D5C7CC4"/>
    <w:rsid w:val="218F07B0"/>
    <w:rsid w:val="220B3A67"/>
    <w:rsid w:val="2C5A0CD3"/>
    <w:rsid w:val="31BE782D"/>
    <w:rsid w:val="328D4B00"/>
    <w:rsid w:val="35523A2F"/>
    <w:rsid w:val="37AE1437"/>
    <w:rsid w:val="3AC56A51"/>
    <w:rsid w:val="3E5D2790"/>
    <w:rsid w:val="3E8912B2"/>
    <w:rsid w:val="3F115584"/>
    <w:rsid w:val="409F41D0"/>
    <w:rsid w:val="412E1653"/>
    <w:rsid w:val="438C0D60"/>
    <w:rsid w:val="47490A0A"/>
    <w:rsid w:val="484216E1"/>
    <w:rsid w:val="489839F7"/>
    <w:rsid w:val="49CC649E"/>
    <w:rsid w:val="4BE77ACC"/>
    <w:rsid w:val="4E4869FD"/>
    <w:rsid w:val="4ECC6563"/>
    <w:rsid w:val="4F161B19"/>
    <w:rsid w:val="4F9D6DAE"/>
    <w:rsid w:val="4FD02C81"/>
    <w:rsid w:val="4FDC795D"/>
    <w:rsid w:val="50811B32"/>
    <w:rsid w:val="52100AA2"/>
    <w:rsid w:val="5394125E"/>
    <w:rsid w:val="54AB3A7E"/>
    <w:rsid w:val="561623FF"/>
    <w:rsid w:val="57DE7A26"/>
    <w:rsid w:val="591C41D0"/>
    <w:rsid w:val="59722042"/>
    <w:rsid w:val="599566DA"/>
    <w:rsid w:val="5D700B73"/>
    <w:rsid w:val="5FF6198A"/>
    <w:rsid w:val="600B309E"/>
    <w:rsid w:val="623054B0"/>
    <w:rsid w:val="62E53885"/>
    <w:rsid w:val="656E047F"/>
    <w:rsid w:val="673E3563"/>
    <w:rsid w:val="696D3831"/>
    <w:rsid w:val="6B416662"/>
    <w:rsid w:val="6D7D64CF"/>
    <w:rsid w:val="70E67CDC"/>
    <w:rsid w:val="72442376"/>
    <w:rsid w:val="756248C1"/>
    <w:rsid w:val="76862A50"/>
    <w:rsid w:val="775D7A36"/>
    <w:rsid w:val="77664FF2"/>
    <w:rsid w:val="7C6E1023"/>
    <w:rsid w:val="7C9C2FD3"/>
    <w:rsid w:val="7E681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toc 1"/>
    <w:basedOn w:val="1"/>
    <w:next w:val="1"/>
    <w:uiPriority w:val="0"/>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2024-03-05T00:56:00Z</dcterms:created>
  <dc:creator>de</dc:creator>
  <cp:lastModifiedBy>沙漠红狐</cp:lastModifiedBy>
  <dcterms:modified xsi:type="dcterms:W3CDTF">2024-03-05T07:43:13Z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91666B7A2C8F4C81BDD640BA6E5E3515_12</vt:lpwstr>
  </property>
</Properties>
</file>