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eastAsia="黑体" w:cs="Times New Roman"/>
          <w:b/>
          <w:bCs/>
          <w:color w:val="auto"/>
          <w:sz w:val="24"/>
          <w:szCs w:val="24"/>
          <w:lang w:val="en-US" w:eastAsia="zh-CN"/>
        </w:rPr>
      </w:pPr>
      <w:bookmarkStart w:id="0" w:name="OLE_LINK2"/>
      <w:r>
        <w:rPr>
          <w:rFonts w:hint="default" w:ascii="Times New Roman" w:hAnsi="Times New Roman" w:eastAsia="黑体" w:cs="Times New Roman"/>
          <w:b/>
          <w:bCs/>
          <w:color w:val="auto"/>
          <w:sz w:val="24"/>
          <w:szCs w:val="24"/>
          <w:lang w:val="en-US" w:eastAsia="zh-CN"/>
        </w:rPr>
        <w:t>eTable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eTable 1. 5-year survival and comparison of the survival rates between the variables of the osteosarcoma patients after PSM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eTable 2. Competitive risk analysis for cancer-specific survival of the osteosarcoma patients after PSM</w:t>
      </w:r>
      <w:bookmarkStart w:id="3" w:name="_GoBack"/>
      <w:bookmarkEnd w:id="3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eTable 3. Comparisons of baseline characteristics of patients in Radioterapy and Non-Radiotherapy groups before and after PSM in complete dataset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eTable 4. Univariate and Multivariate Cox regression analyses for overall survival of the osteosarcoma patients after PSM in complete dataset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eTable 5. Univariate and Multivariate Cox regression analyses for cancer-specific survival of the osteosarcoma patients after PSM in complete dataset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eastAsia="黑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4"/>
          <w:szCs w:val="24"/>
          <w:lang w:val="en-US" w:eastAsia="zh-CN"/>
        </w:rPr>
        <w:t>eFigure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. The love plot before and after PSM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. The love plot before and after PSM in complete dataset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. The graph of the changing HR coefficient relative to the time-dependent variable Radiation over time in overall survival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. Forest plot of Hazard Radio for overall survival in subgroups of Radiotherapy and Non-radiotherapy groups after PSM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. Forest plot of Hazard Radio for cancer-specific survival in subgroups of Radiotherapy and Non-radiotherapy groups after PSM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. Kaplan-Meier method to compare the survival rates between the Radiation and Non-Radiation groups in complete dataset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eTable 1. 5-year survival and comparison of the survival rates between the variables of the osteosarcoma patients after PSM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6"/>
        <w:gridCol w:w="1890"/>
        <w:gridCol w:w="766"/>
        <w:gridCol w:w="666"/>
        <w:gridCol w:w="1890"/>
        <w:gridCol w:w="766"/>
        <w:gridCol w:w="6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Factor</w:t>
            </w:r>
          </w:p>
        </w:tc>
        <w:tc>
          <w:tcPr>
            <w:tcW w:w="0" w:type="auto"/>
            <w:gridSpan w:val="3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en-US" w:eastAsia="zh-CN"/>
              </w:rPr>
              <w:t>Overall survival</w:t>
            </w:r>
          </w:p>
        </w:tc>
        <w:tc>
          <w:tcPr>
            <w:tcW w:w="0" w:type="auto"/>
            <w:gridSpan w:val="3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en-US" w:eastAsia="zh-CN"/>
              </w:rPr>
              <w:t>Cancer-specific survival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en-US" w:eastAsia="zh-CN"/>
              </w:rPr>
              <w:t>5-year survival rate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χ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0"/>
                <w:szCs w:val="20"/>
                <w:lang w:val="en-US" w:eastAsia="zh-CN"/>
              </w:rPr>
              <w:t>5-year survival rate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</w:rPr>
              <w:t>χ</w:t>
            </w:r>
            <w:r>
              <w:rPr>
                <w:rFonts w:hint="default" w:ascii="Times New Roman" w:hAnsi="Times New Roman" w:cs="Times New Roman"/>
                <w:color w:val="auto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45.926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22.878</w:t>
            </w:r>
          </w:p>
        </w:tc>
        <w:tc>
          <w:tcPr>
            <w:tcW w:w="0" w:type="auto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≤50y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54.9%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57.0%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&gt;50y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28.0%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34.5%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Sex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5.702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7.439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37.5%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41.4%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50.4%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56.5%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Race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0.573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0.751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1.258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0.533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White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43.5%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48.3%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Black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43.0%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0.521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0.470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51.2%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1.031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0.310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Others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39.7%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0.022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0.883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44.2%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0.127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0.721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0.935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0.800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0.371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Extremity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42.9%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44.9%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Axial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43.3%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49.6%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Grade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13.342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10.536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I/II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72.0%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74.1%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III/IV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40.3%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45.6%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Size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22.291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23.899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≤54mm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57.3%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63.2%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&gt;54mm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33.8%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37.8%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Stage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48.878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56.049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Localized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57.4%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64.2%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Ref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Reginal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46.5%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7.402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51.5%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7.355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Distance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22.2%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40.516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25.1%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44.618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9.596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0.288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0.592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46.4%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48.0%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34.6%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49.4%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Resection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0.472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0.492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0.130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0.719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Incomplete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43.3%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51.2%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Complete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43.0%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45.9%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2.713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0.100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0.104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0.747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1" w:name="OLE_LINK5" w:colFirst="0" w:colLast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43.8%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50.4%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43.1%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47.4%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Radiation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2.029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0.826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0.323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47.5%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51.9%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0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39.1%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44.9%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 w:val="0"/>
          <w:bCs w:val="0"/>
          <w:color w:val="auto"/>
          <w:sz w:val="16"/>
          <w:szCs w:val="16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16"/>
          <w:szCs w:val="16"/>
          <w:lang w:val="en-US" w:eastAsia="zh-CN"/>
        </w:rPr>
        <w:t>PS: Primary Site; MP: Multiple Primary tumor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eTable 2. Competitive risk analysis for cancer-specific survival of the osteosarcoma patients after PSM</w:t>
      </w:r>
    </w:p>
    <w:tbl>
      <w:tblPr>
        <w:tblStyle w:val="5"/>
        <w:tblW w:w="0" w:type="auto"/>
        <w:tblInd w:w="9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983"/>
        <w:gridCol w:w="666"/>
        <w:gridCol w:w="1766"/>
        <w:gridCol w:w="6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Factor</w:t>
            </w:r>
          </w:p>
        </w:tc>
        <w:tc>
          <w:tcPr>
            <w:tcW w:w="0" w:type="auto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Univariate</w:t>
            </w:r>
          </w:p>
        </w:tc>
        <w:tc>
          <w:tcPr>
            <w:tcW w:w="0" w:type="auto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Multivariate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Statistics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11.914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1.790(1.322-2.423)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7.754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0.703(0.532-0.930)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0.014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0.508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1.083(0.781-1.501)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0.630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9.097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1.496(0.799-2.800)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0.210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21.432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1.432(1.030-1.992)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50.611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1.907(1.493-2.436)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0.626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0.867(0.636-1.183)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0.370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Radiation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1.204(0.922-1.573)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0.988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0.956(0.688-1.33)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0.790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 w:val="0"/>
          <w:bCs w:val="0"/>
          <w:color w:val="auto"/>
          <w:sz w:val="16"/>
          <w:szCs w:val="16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16"/>
          <w:szCs w:val="16"/>
          <w:lang w:val="en-US" w:eastAsia="zh-CN"/>
        </w:rPr>
        <w:t>PS: Primary Site; MP: Multiple Primary tumor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480" w:lineRule="auto"/>
        <w:rPr>
          <w:rFonts w:hint="default" w:ascii="Times New Roman" w:hAnsi="Times New Roman" w:cs="Times New Roman"/>
          <w:color w:val="auto"/>
          <w:sz w:val="20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eTable 3. Comparisons of baseline characteristics of patients in Radioterapy and Non-Radiotherapy groups before and after PSM in complete dataset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266"/>
        <w:gridCol w:w="1135"/>
        <w:gridCol w:w="312"/>
        <w:gridCol w:w="666"/>
        <w:gridCol w:w="1266"/>
        <w:gridCol w:w="1347"/>
        <w:gridCol w:w="6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Factor</w:t>
            </w:r>
          </w:p>
        </w:tc>
        <w:tc>
          <w:tcPr>
            <w:tcW w:w="0" w:type="auto"/>
            <w:gridSpan w:val="3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Before PSM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3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After PSM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RT (n=136)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NRT (n=1926)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SMD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RT (n=136)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NRT (n=136)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SMD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Age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vertAlign w:val="superscript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43.5(32.75)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vertAlign w:val="superscript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18(22)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0.855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43.5(32.75)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45(39.5)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Sex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0.052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78(57.35%)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1055(54.78%)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78(57.35%)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78(57.35%)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58(42.65%)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871(45.22%)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58(42.65%)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58(42.65%)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Race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White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101(74.26%)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1434(74.45%)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101(74.26%)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103(75.74%)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Black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19(13.97%)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283(14.69%)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19(13.97%)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15(11.03%)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Others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16(11.76%)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209(10.85%)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16(11.76%)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18(13.24%)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PS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1.336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Extremity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39(28.68%)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1614(83.80%)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39(28.68%)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39(28.68%)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Axial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97(71.32%)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312(16.20%)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97(71.32%)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97(71.32%)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Grade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0.187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I/II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11(8.09%)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268(13.91%)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11(8.09%)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13(9.56%)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III/IV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125(91.91%)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1658(86.09%)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125(91.91%)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123(90.44%)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Size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60(45)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87(60)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0.479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60(45)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61(61)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vertAlign w:val="superscript"/>
                <w:lang w:val="en-US" w:eastAsia="zh-CN" w:bidi="ar"/>
              </w:rPr>
              <w:t>a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Stage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0.282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Localized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35(25.74%)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711(36.92%)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35(25.74%)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27(19.85%)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Reginal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68(50.00%)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913(47.40%)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68(50.00%)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74(54.41%)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Distance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33(24.26%)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302(15.68%)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33(24.26%)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35(25.74%)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MP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0.246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108(79.41%)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1702(88.37%)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108(79.41%)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102(75.00%)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28(20.59%)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224(11.63%)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28(20.59%)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34(25.00%)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Resection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0.544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Incomplete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49(36.03%)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258(13.40%)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49(36.03%)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52(38.24%)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Complete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87(63.97%)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1668(86.60%)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87(63.97%)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84(61.76%)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0.354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42(30.88%)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310(16.10%)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42(30.88%)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44(32.35%)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94(69.12%)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1616(83.90%)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94(69.12%)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92(67.65%)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 w:val="0"/>
          <w:bCs w:val="0"/>
          <w:color w:val="auto"/>
          <w:sz w:val="16"/>
          <w:szCs w:val="16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16"/>
          <w:szCs w:val="16"/>
          <w:lang w:val="en-US" w:eastAsia="zh-CN"/>
        </w:rPr>
        <w:t>RT: Radiotherapy; NRT: Non-Radiotherapy; PS: Primary Site; MP: Multiple Primary tumor; a: Abnormal distribution Quantitative data, M (IQR)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eTable 4. Univariate and Multivariate Cox regression analyses for overall survival of the osteosarcoma patients after PSM in complete dataset</w:t>
      </w:r>
    </w:p>
    <w:tbl>
      <w:tblPr>
        <w:tblStyle w:val="5"/>
        <w:tblW w:w="0" w:type="auto"/>
        <w:tblInd w:w="9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066"/>
        <w:gridCol w:w="666"/>
        <w:gridCol w:w="2066"/>
        <w:gridCol w:w="6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Factor</w:t>
            </w:r>
          </w:p>
        </w:tc>
        <w:tc>
          <w:tcPr>
            <w:tcW w:w="0" w:type="auto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Univariate</w:t>
            </w:r>
          </w:p>
        </w:tc>
        <w:tc>
          <w:tcPr>
            <w:tcW w:w="0" w:type="auto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Multivariate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1.018(1.010-1.026)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1.022(1.014-1.030)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0.397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Sex*Ln(T)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0.853(0.769-0.946)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0.927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White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1.038(0.659-1.636)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0.923(0.569-1.498)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1.178(0.833-1.666)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3.691(1.631-8.352)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3.144(1.382-7.153)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1.007(1.003-1.011)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Localized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Reginal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8.487(2.721-26.470)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6.270(2.010-19.563)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Distance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56.405(8.317-382.545)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45.652(6.762-308.218)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Stage*Ln(T)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0.635(0.474-0.851)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0.686(0.510-0.921)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0.655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MP*Ln(T)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1.151(1.036-1.279)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1.203(0.872-1.660)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0.781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0.964(0.693-1.342)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0.897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Radiation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0.464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Radiation*Ln(T)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1.140(1.034-1.258)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1.122(1.016-1.239)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0.023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 w:val="0"/>
          <w:bCs w:val="0"/>
          <w:color w:val="auto"/>
          <w:sz w:val="16"/>
          <w:szCs w:val="16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16"/>
          <w:szCs w:val="16"/>
          <w:lang w:val="en-US" w:eastAsia="zh-CN"/>
        </w:rPr>
        <w:t>PS: Primary Site; MP: Multiple Primary tumor; NA: In Univariate analysis, α = 0.1, while in Multivariate analysis, α = 0.05.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bookmarkStart w:id="2" w:name="OLE_LINK1"/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eTable 5. Univariate and Multivariate Cox regression analyses for cancer-specific survival of the osteosarcoma patients after PSM in complete dataset</w:t>
      </w:r>
    </w:p>
    <w:bookmarkEnd w:id="2"/>
    <w:tbl>
      <w:tblPr>
        <w:tblStyle w:val="5"/>
        <w:tblW w:w="0" w:type="auto"/>
        <w:tblInd w:w="9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366"/>
        <w:gridCol w:w="666"/>
        <w:gridCol w:w="2366"/>
        <w:gridCol w:w="66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Factor</w:t>
            </w:r>
          </w:p>
        </w:tc>
        <w:tc>
          <w:tcPr>
            <w:tcW w:w="0" w:type="auto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Univariate</w:t>
            </w:r>
          </w:p>
        </w:tc>
        <w:tc>
          <w:tcPr>
            <w:tcW w:w="0" w:type="auto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Multivariate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HR(95%CI)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Age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1.015(1.006-1.023)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1.019(1.011-1.027)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0.597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Sex*Ln(T)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0.863(0.769-0.968)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0.012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0.976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White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0.950(0.568-1.587)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1.019(0.617-1.682)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1.095(0.756-1.588)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0.253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3.624(1.482-8.860)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2.965(1.207-7.284)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0.018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1.008(1.004-1.012)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Localized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Reginal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14.580(3.668-57.955)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11.180(2.824-44.260)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Distance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133.698(13.043-1370.475)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108.702(10.719-1102.368)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Stage*Ln(T)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0.577(0.403-0.826)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0.619(0.431-0.888)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1.067(0.715-1.592)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0.752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Not selected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Resection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1.268(0.891-1.806)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0.849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1.005(0.701-1.442)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Radiation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0.525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Radiation*Ln(T)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1.132(1.015-1.264)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0.026 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1.124(1.007-1.256)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0.038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 w:val="0"/>
          <w:bCs w:val="0"/>
          <w:color w:val="auto"/>
          <w:sz w:val="16"/>
          <w:szCs w:val="16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16"/>
          <w:szCs w:val="16"/>
          <w:lang w:val="en-US" w:eastAsia="zh-CN"/>
        </w:rPr>
        <w:t>PS: Primary Site; MP: Multiple Primary tumor; NA: In Univariate analysis, α = 0.1, while in Multivariate analysis, α = 0.05.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. The love plot before and after PSM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drawing>
          <wp:inline distT="0" distB="0" distL="114300" distR="114300">
            <wp:extent cx="6372225" cy="6372225"/>
            <wp:effectExtent l="0" t="0" r="9525" b="9525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637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. The love plot before and after PSM in complete dataset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drawing>
          <wp:inline distT="0" distB="0" distL="114300" distR="114300">
            <wp:extent cx="6372225" cy="6372225"/>
            <wp:effectExtent l="0" t="0" r="9525" b="9525"/>
            <wp:docPr id="4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72225" cy="637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. The graph of the changing HR coefficient relative to the time-dependent variable Radiation over time in overall survival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drawing>
          <wp:inline distT="0" distB="0" distL="114300" distR="114300">
            <wp:extent cx="6638925" cy="3908425"/>
            <wp:effectExtent l="0" t="0" r="9525" b="15875"/>
            <wp:docPr id="3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390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. Forest plot of Hazard Radio for overall survival in subgroups of Radiotherapy and Non-radiotherapy groups after PSM (*, Radiation as a time-dependent variable)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drawing>
          <wp:inline distT="0" distB="0" distL="114300" distR="114300">
            <wp:extent cx="6635750" cy="3077210"/>
            <wp:effectExtent l="0" t="0" r="12700" b="8890"/>
            <wp:docPr id="3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5750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>. Forest plot of Hazard Radio for cancer-specific survival in subgroups of Radiotherapy and Non-radiotherapy groups after PSM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drawing>
          <wp:inline distT="0" distB="0" distL="114300" distR="114300">
            <wp:extent cx="6644640" cy="3083560"/>
            <wp:effectExtent l="0" t="0" r="3810" b="2540"/>
            <wp:docPr id="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eastAsia="黑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auto"/>
          <w:sz w:val="24"/>
          <w:szCs w:val="24"/>
          <w:lang w:val="en-US" w:eastAsia="zh-CN"/>
        </w:rPr>
        <w:t xml:space="preserve">eFigure </w:t>
      </w:r>
      <w:r>
        <w:rPr>
          <w:rFonts w:hint="eastAsia" w:ascii="Times New Roman" w:hAnsi="Times New Roman" w:eastAsia="黑体" w:cs="Times New Roman"/>
          <w:b/>
          <w:bCs/>
          <w:color w:val="auto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黑体" w:cs="Times New Roman"/>
          <w:b/>
          <w:bCs/>
          <w:color w:val="auto"/>
          <w:sz w:val="24"/>
          <w:szCs w:val="24"/>
          <w:lang w:val="en-US" w:eastAsia="zh-CN"/>
        </w:rPr>
        <w:t>. Kaplan-Meier method to compare the survival rates between the Radiation and Non-Radiation groups in complete dataset. a, For Overall survival; b, For Cancer-specific survival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color w:val="auto"/>
        </w:rPr>
        <w:drawing>
          <wp:inline distT="0" distB="0" distL="114300" distR="114300">
            <wp:extent cx="4762500" cy="61436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1ZDM2M2JlNGFiYjA5ZTdmODRmZmVkZGNjZWFhM2EifQ=="/>
  </w:docVars>
  <w:rsids>
    <w:rsidRoot w:val="00172A27"/>
    <w:rsid w:val="000743AA"/>
    <w:rsid w:val="005A12B2"/>
    <w:rsid w:val="007314A1"/>
    <w:rsid w:val="00F705B3"/>
    <w:rsid w:val="013B2B96"/>
    <w:rsid w:val="01BB1A3C"/>
    <w:rsid w:val="028C11CF"/>
    <w:rsid w:val="03B46B82"/>
    <w:rsid w:val="04471852"/>
    <w:rsid w:val="059428C4"/>
    <w:rsid w:val="06723C94"/>
    <w:rsid w:val="07B264E2"/>
    <w:rsid w:val="090329FA"/>
    <w:rsid w:val="09BD5791"/>
    <w:rsid w:val="0A6749FB"/>
    <w:rsid w:val="0AC10D82"/>
    <w:rsid w:val="0AC62ADE"/>
    <w:rsid w:val="0B3F7414"/>
    <w:rsid w:val="0B562520"/>
    <w:rsid w:val="0C142006"/>
    <w:rsid w:val="0C450EBA"/>
    <w:rsid w:val="0C905E29"/>
    <w:rsid w:val="0D0A63B0"/>
    <w:rsid w:val="0D403CD9"/>
    <w:rsid w:val="0DB461AA"/>
    <w:rsid w:val="0DBF06AB"/>
    <w:rsid w:val="0E172295"/>
    <w:rsid w:val="0E211365"/>
    <w:rsid w:val="10D557B9"/>
    <w:rsid w:val="124A00CF"/>
    <w:rsid w:val="13313DF9"/>
    <w:rsid w:val="13342A7B"/>
    <w:rsid w:val="151C63E2"/>
    <w:rsid w:val="15FA6724"/>
    <w:rsid w:val="1660788A"/>
    <w:rsid w:val="16FF45DD"/>
    <w:rsid w:val="172D2111"/>
    <w:rsid w:val="17966920"/>
    <w:rsid w:val="19521D97"/>
    <w:rsid w:val="19FC21E4"/>
    <w:rsid w:val="1A266BF8"/>
    <w:rsid w:val="1B2B21A0"/>
    <w:rsid w:val="1BB81A0C"/>
    <w:rsid w:val="1CBF5FD1"/>
    <w:rsid w:val="1DB1371D"/>
    <w:rsid w:val="1E051DEA"/>
    <w:rsid w:val="1F1712DB"/>
    <w:rsid w:val="1FAB30E0"/>
    <w:rsid w:val="20564E9E"/>
    <w:rsid w:val="212D20A3"/>
    <w:rsid w:val="21D97B35"/>
    <w:rsid w:val="22291070"/>
    <w:rsid w:val="23713D9D"/>
    <w:rsid w:val="23A41AA9"/>
    <w:rsid w:val="23B02B18"/>
    <w:rsid w:val="24904744"/>
    <w:rsid w:val="24A5338A"/>
    <w:rsid w:val="24B9237A"/>
    <w:rsid w:val="24D2055D"/>
    <w:rsid w:val="24F33CD4"/>
    <w:rsid w:val="250E5D48"/>
    <w:rsid w:val="25E3760F"/>
    <w:rsid w:val="288552EF"/>
    <w:rsid w:val="28F50070"/>
    <w:rsid w:val="296D0E96"/>
    <w:rsid w:val="2B4327FE"/>
    <w:rsid w:val="2BA271EA"/>
    <w:rsid w:val="2BD71534"/>
    <w:rsid w:val="2C275941"/>
    <w:rsid w:val="2C9E4A41"/>
    <w:rsid w:val="2D3317C1"/>
    <w:rsid w:val="2E2C0589"/>
    <w:rsid w:val="2E374561"/>
    <w:rsid w:val="2E4E00D9"/>
    <w:rsid w:val="2E550389"/>
    <w:rsid w:val="2F4C21D0"/>
    <w:rsid w:val="2F650C5A"/>
    <w:rsid w:val="30036006"/>
    <w:rsid w:val="319460D0"/>
    <w:rsid w:val="3278199E"/>
    <w:rsid w:val="3472686C"/>
    <w:rsid w:val="35C12962"/>
    <w:rsid w:val="37F81CC2"/>
    <w:rsid w:val="3B423065"/>
    <w:rsid w:val="3B54738E"/>
    <w:rsid w:val="3B800BCA"/>
    <w:rsid w:val="3BBA232E"/>
    <w:rsid w:val="3BEC625F"/>
    <w:rsid w:val="3C2232BF"/>
    <w:rsid w:val="3C4C1046"/>
    <w:rsid w:val="3C9A5EEE"/>
    <w:rsid w:val="3D121CF5"/>
    <w:rsid w:val="3D3A1978"/>
    <w:rsid w:val="3D4C3459"/>
    <w:rsid w:val="3D883E24"/>
    <w:rsid w:val="3E1425A5"/>
    <w:rsid w:val="3F153163"/>
    <w:rsid w:val="409C7882"/>
    <w:rsid w:val="419D4283"/>
    <w:rsid w:val="425B7C9B"/>
    <w:rsid w:val="42E607CE"/>
    <w:rsid w:val="43092A55"/>
    <w:rsid w:val="43877105"/>
    <w:rsid w:val="45CA5863"/>
    <w:rsid w:val="45EC3A2B"/>
    <w:rsid w:val="46FC37FA"/>
    <w:rsid w:val="47BA5463"/>
    <w:rsid w:val="48580A9A"/>
    <w:rsid w:val="49944E39"/>
    <w:rsid w:val="4A0D2B83"/>
    <w:rsid w:val="4A6F50DD"/>
    <w:rsid w:val="4AF869CF"/>
    <w:rsid w:val="4B052E99"/>
    <w:rsid w:val="4B5A31E5"/>
    <w:rsid w:val="4D746B23"/>
    <w:rsid w:val="4FA72457"/>
    <w:rsid w:val="503B176F"/>
    <w:rsid w:val="516861FD"/>
    <w:rsid w:val="52151052"/>
    <w:rsid w:val="53890B0C"/>
    <w:rsid w:val="53D63625"/>
    <w:rsid w:val="542C01F7"/>
    <w:rsid w:val="54480953"/>
    <w:rsid w:val="54F2448F"/>
    <w:rsid w:val="54FA643B"/>
    <w:rsid w:val="55020B76"/>
    <w:rsid w:val="57CF4D6A"/>
    <w:rsid w:val="58496ABB"/>
    <w:rsid w:val="5A647BDD"/>
    <w:rsid w:val="5A6D217B"/>
    <w:rsid w:val="5B6E5782"/>
    <w:rsid w:val="5C0C5E32"/>
    <w:rsid w:val="5CE2468D"/>
    <w:rsid w:val="5E770480"/>
    <w:rsid w:val="602A0F80"/>
    <w:rsid w:val="62991B8A"/>
    <w:rsid w:val="62AB7BE6"/>
    <w:rsid w:val="660364FC"/>
    <w:rsid w:val="66A5036A"/>
    <w:rsid w:val="68B80DBB"/>
    <w:rsid w:val="68FF7E90"/>
    <w:rsid w:val="69A04061"/>
    <w:rsid w:val="6BEA25EA"/>
    <w:rsid w:val="6BF40694"/>
    <w:rsid w:val="6C3A218C"/>
    <w:rsid w:val="6C4A61B1"/>
    <w:rsid w:val="6D0B1F10"/>
    <w:rsid w:val="6D1E3613"/>
    <w:rsid w:val="6E597A7A"/>
    <w:rsid w:val="6E8B7DFB"/>
    <w:rsid w:val="6F2A33B6"/>
    <w:rsid w:val="6F5F09D1"/>
    <w:rsid w:val="6F9B0AD8"/>
    <w:rsid w:val="6FA75F3B"/>
    <w:rsid w:val="6FB76906"/>
    <w:rsid w:val="703B27AC"/>
    <w:rsid w:val="71D30983"/>
    <w:rsid w:val="724317A6"/>
    <w:rsid w:val="730E5D9C"/>
    <w:rsid w:val="739F538A"/>
    <w:rsid w:val="73B726D3"/>
    <w:rsid w:val="741E6BF6"/>
    <w:rsid w:val="750C4CA1"/>
    <w:rsid w:val="754C7877"/>
    <w:rsid w:val="75E91A34"/>
    <w:rsid w:val="760E4842"/>
    <w:rsid w:val="763D4116"/>
    <w:rsid w:val="768D6E7D"/>
    <w:rsid w:val="775B081D"/>
    <w:rsid w:val="779C1A04"/>
    <w:rsid w:val="78484242"/>
    <w:rsid w:val="78656BA2"/>
    <w:rsid w:val="78A551F0"/>
    <w:rsid w:val="79384E21"/>
    <w:rsid w:val="7A0363B2"/>
    <w:rsid w:val="7AAF2BD5"/>
    <w:rsid w:val="7AE213CC"/>
    <w:rsid w:val="7C1B4117"/>
    <w:rsid w:val="7C3B01F3"/>
    <w:rsid w:val="7CA85009"/>
    <w:rsid w:val="7D937D0D"/>
    <w:rsid w:val="7E870324"/>
    <w:rsid w:val="7F040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9" w:semiHidden="0" w:name="heading 1"/>
    <w:lsdException w:qFormat="1" w:uiPriority="99" w:semiHidden="0" w:name="heading 2"/>
    <w:lsdException w:qFormat="1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autoRedefine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color w:val="000000"/>
      <w:sz w:val="32"/>
      <w:szCs w:val="24"/>
    </w:rPr>
  </w:style>
  <w:style w:type="paragraph" w:styleId="3">
    <w:name w:val="heading 2"/>
    <w:autoRedefine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i/>
      <w:color w:val="000000"/>
      <w:sz w:val="28"/>
      <w:szCs w:val="24"/>
    </w:rPr>
  </w:style>
  <w:style w:type="paragraph" w:styleId="4">
    <w:name w:val="heading 3"/>
    <w:autoRedefine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 w:cs="Times New Roman"/>
      <w:b/>
      <w:color w:val="000000"/>
      <w:sz w:val="26"/>
      <w:szCs w:val="2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2024-01-15T02:36:00Z</dcterms:created>
  <dc:creator>de</dc:creator>
  <cp:lastModifiedBy>沙漠红狐</cp:lastModifiedBy>
  <dcterms:modified xsi:type="dcterms:W3CDTF">2024-04-16T03:48:49Z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75F7FB936C3D4DC6858CF4B997027DD1_12</vt:lpwstr>
  </property>
</Properties>
</file>