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A8" w:rsidRDefault="009077A8" w:rsidP="009077A8">
      <w:pPr>
        <w:spacing w:afterLines="250" w:after="780" w:line="360" w:lineRule="auto"/>
        <w:rPr>
          <w:rFonts w:ascii="TimesNewRomanPS-BoldMT" w:hAnsi="TimesNewRomanPS-BoldMT" w:cs="TimesNewRomanPS-BoldMT"/>
          <w:b/>
          <w:bCs/>
          <w:kern w:val="0"/>
          <w:sz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</w:rPr>
        <w:t>Highlights:</w:t>
      </w:r>
    </w:p>
    <w:p w:rsidR="00CC216A" w:rsidRDefault="009077A8" w:rsidP="009077A8">
      <w:pPr>
        <w:spacing w:line="480" w:lineRule="auto"/>
        <w:rPr>
          <w:rFonts w:hint="eastAsia"/>
          <w:bCs/>
          <w:kern w:val="0"/>
          <w:sz w:val="24"/>
        </w:rPr>
      </w:pPr>
      <w:r>
        <w:rPr>
          <w:bCs/>
          <w:kern w:val="0"/>
          <w:sz w:val="24"/>
        </w:rPr>
        <w:t>●</w:t>
      </w:r>
      <w:r w:rsidR="00CC216A" w:rsidRPr="00CC216A">
        <w:rPr>
          <w:bCs/>
          <w:kern w:val="0"/>
          <w:sz w:val="24"/>
        </w:rPr>
        <w:t>The TiO</w:t>
      </w:r>
      <w:r w:rsidR="00CC216A" w:rsidRPr="00CC216A">
        <w:rPr>
          <w:bCs/>
          <w:kern w:val="0"/>
          <w:sz w:val="24"/>
          <w:vertAlign w:val="subscript"/>
        </w:rPr>
        <w:t>2</w:t>
      </w:r>
      <w:r w:rsidR="00CC216A" w:rsidRPr="00CC216A">
        <w:rPr>
          <w:bCs/>
          <w:kern w:val="0"/>
          <w:sz w:val="24"/>
        </w:rPr>
        <w:t>/g-C</w:t>
      </w:r>
      <w:r w:rsidR="00CC216A" w:rsidRPr="00CC216A">
        <w:rPr>
          <w:bCs/>
          <w:kern w:val="0"/>
          <w:sz w:val="24"/>
          <w:vertAlign w:val="subscript"/>
        </w:rPr>
        <w:t>3</w:t>
      </w:r>
      <w:r w:rsidR="00CC216A" w:rsidRPr="00CC216A">
        <w:rPr>
          <w:bCs/>
          <w:kern w:val="0"/>
          <w:sz w:val="24"/>
        </w:rPr>
        <w:t>N</w:t>
      </w:r>
      <w:r w:rsidR="00CC216A" w:rsidRPr="00CC216A">
        <w:rPr>
          <w:bCs/>
          <w:kern w:val="0"/>
          <w:sz w:val="24"/>
          <w:vertAlign w:val="subscript"/>
        </w:rPr>
        <w:t>5</w:t>
      </w:r>
      <w:r w:rsidR="00CC216A" w:rsidRPr="00CC216A">
        <w:rPr>
          <w:bCs/>
          <w:kern w:val="0"/>
          <w:sz w:val="24"/>
        </w:rPr>
        <w:t xml:space="preserve"> heterojunction catalysts were prepared by a simple hybrid high-temperature thermal polymerization method</w:t>
      </w:r>
      <w:r w:rsidR="00CC216A">
        <w:rPr>
          <w:rFonts w:hint="eastAsia"/>
          <w:bCs/>
          <w:kern w:val="0"/>
          <w:sz w:val="24"/>
        </w:rPr>
        <w:t>.</w:t>
      </w:r>
    </w:p>
    <w:p w:rsidR="00CC216A" w:rsidRDefault="009077A8" w:rsidP="00AA4F5D">
      <w:pPr>
        <w:spacing w:line="480" w:lineRule="auto"/>
        <w:rPr>
          <w:rFonts w:hint="eastAsia"/>
          <w:bCs/>
          <w:kern w:val="0"/>
          <w:sz w:val="24"/>
        </w:rPr>
      </w:pPr>
      <w:r>
        <w:rPr>
          <w:bCs/>
          <w:kern w:val="0"/>
          <w:sz w:val="24"/>
        </w:rPr>
        <w:t>●</w:t>
      </w:r>
      <w:r w:rsidR="00CC216A">
        <w:rPr>
          <w:rFonts w:hint="eastAsia"/>
          <w:bCs/>
          <w:kern w:val="0"/>
          <w:sz w:val="24"/>
        </w:rPr>
        <w:t>T</w:t>
      </w:r>
      <w:r w:rsidR="00CC216A" w:rsidRPr="00CC216A">
        <w:rPr>
          <w:bCs/>
          <w:kern w:val="0"/>
          <w:sz w:val="24"/>
        </w:rPr>
        <w:t xml:space="preserve">he </w:t>
      </w:r>
      <w:r w:rsidR="00CC216A" w:rsidRPr="00CC216A">
        <w:rPr>
          <w:bCs/>
          <w:kern w:val="0"/>
          <w:sz w:val="24"/>
        </w:rPr>
        <w:t>TiO</w:t>
      </w:r>
      <w:r w:rsidR="00CC216A" w:rsidRPr="00CC216A">
        <w:rPr>
          <w:bCs/>
          <w:kern w:val="0"/>
          <w:sz w:val="24"/>
          <w:vertAlign w:val="subscript"/>
        </w:rPr>
        <w:t>2</w:t>
      </w:r>
      <w:r w:rsidR="00CC216A" w:rsidRPr="00CC216A">
        <w:rPr>
          <w:bCs/>
          <w:kern w:val="0"/>
          <w:sz w:val="24"/>
        </w:rPr>
        <w:t>/g-C</w:t>
      </w:r>
      <w:r w:rsidR="00CC216A" w:rsidRPr="00CC216A">
        <w:rPr>
          <w:bCs/>
          <w:kern w:val="0"/>
          <w:sz w:val="24"/>
          <w:vertAlign w:val="subscript"/>
        </w:rPr>
        <w:t>3</w:t>
      </w:r>
      <w:r w:rsidR="00CC216A" w:rsidRPr="00CC216A">
        <w:rPr>
          <w:bCs/>
          <w:kern w:val="0"/>
          <w:sz w:val="24"/>
        </w:rPr>
        <w:t>N</w:t>
      </w:r>
      <w:r w:rsidR="00CC216A" w:rsidRPr="00CC216A">
        <w:rPr>
          <w:bCs/>
          <w:kern w:val="0"/>
          <w:sz w:val="24"/>
          <w:vertAlign w:val="subscript"/>
        </w:rPr>
        <w:t>5</w:t>
      </w:r>
      <w:r w:rsidR="00CC216A" w:rsidRPr="00CC216A">
        <w:rPr>
          <w:bCs/>
          <w:kern w:val="0"/>
          <w:sz w:val="24"/>
        </w:rPr>
        <w:t xml:space="preserve"> (1:2) showed excellent photocatalytic activity, </w:t>
      </w:r>
      <w:r w:rsidR="00CC216A">
        <w:rPr>
          <w:rFonts w:hint="eastAsia"/>
          <w:bCs/>
          <w:kern w:val="0"/>
          <w:sz w:val="24"/>
        </w:rPr>
        <w:t>a</w:t>
      </w:r>
      <w:r w:rsidR="00CC216A" w:rsidRPr="00CC216A">
        <w:rPr>
          <w:bCs/>
          <w:kern w:val="0"/>
          <w:sz w:val="24"/>
        </w:rPr>
        <w:t>fter visible light irradiation for 30 minutes</w:t>
      </w:r>
      <w:r w:rsidR="00CC216A">
        <w:rPr>
          <w:rFonts w:hint="eastAsia"/>
          <w:bCs/>
          <w:kern w:val="0"/>
          <w:sz w:val="24"/>
        </w:rPr>
        <w:t>,</w:t>
      </w:r>
      <w:r w:rsidR="00CC216A" w:rsidRPr="00CC216A">
        <w:rPr>
          <w:bCs/>
          <w:kern w:val="0"/>
          <w:sz w:val="24"/>
        </w:rPr>
        <w:t xml:space="preserve"> and the degradation rate of sulfamethylthiazole (STZ) reached 98.8%.</w:t>
      </w:r>
    </w:p>
    <w:p w:rsidR="00EB0945" w:rsidRDefault="009077A8" w:rsidP="00FF35AE">
      <w:pPr>
        <w:spacing w:line="480" w:lineRule="auto"/>
        <w:rPr>
          <w:sz w:val="24"/>
        </w:rPr>
      </w:pPr>
      <w:r>
        <w:rPr>
          <w:bCs/>
          <w:kern w:val="0"/>
          <w:sz w:val="24"/>
        </w:rPr>
        <w:t>●</w:t>
      </w:r>
      <w:r w:rsidR="00FF35AE" w:rsidRPr="00BD2B46">
        <w:rPr>
          <w:sz w:val="24"/>
        </w:rPr>
        <w:t xml:space="preserve">The kinetics and thermodynamics of the </w:t>
      </w:r>
      <w:r w:rsidR="00566F53" w:rsidRPr="00566F53">
        <w:rPr>
          <w:sz w:val="24"/>
        </w:rPr>
        <w:t>TiO</w:t>
      </w:r>
      <w:r w:rsidR="00566F53" w:rsidRPr="00566F53">
        <w:rPr>
          <w:sz w:val="24"/>
          <w:vertAlign w:val="subscript"/>
        </w:rPr>
        <w:t>2</w:t>
      </w:r>
      <w:r w:rsidR="00566F53" w:rsidRPr="00566F53">
        <w:rPr>
          <w:sz w:val="24"/>
        </w:rPr>
        <w:t>/g-C</w:t>
      </w:r>
      <w:r w:rsidR="00566F53" w:rsidRPr="00566F53">
        <w:rPr>
          <w:sz w:val="24"/>
          <w:vertAlign w:val="subscript"/>
        </w:rPr>
        <w:t>3</w:t>
      </w:r>
      <w:r w:rsidR="00566F53" w:rsidRPr="00566F53">
        <w:rPr>
          <w:sz w:val="24"/>
        </w:rPr>
        <w:t>N</w:t>
      </w:r>
      <w:r w:rsidR="00566F53" w:rsidRPr="00566F53">
        <w:rPr>
          <w:sz w:val="24"/>
          <w:vertAlign w:val="subscript"/>
        </w:rPr>
        <w:t>5</w:t>
      </w:r>
      <w:r w:rsidR="00566F53" w:rsidRPr="00566F53">
        <w:rPr>
          <w:bCs/>
          <w:kern w:val="0"/>
          <w:sz w:val="24"/>
        </w:rPr>
        <w:t xml:space="preserve"> </w:t>
      </w:r>
      <w:r w:rsidR="00566F53" w:rsidRPr="00CC216A">
        <w:rPr>
          <w:bCs/>
          <w:kern w:val="0"/>
          <w:sz w:val="24"/>
        </w:rPr>
        <w:t xml:space="preserve">degradation </w:t>
      </w:r>
      <w:r w:rsidR="00FF35AE">
        <w:rPr>
          <w:rFonts w:hint="eastAsia"/>
          <w:sz w:val="24"/>
        </w:rPr>
        <w:t xml:space="preserve">for </w:t>
      </w:r>
      <w:r w:rsidR="00566F53">
        <w:rPr>
          <w:bCs/>
          <w:kern w:val="0"/>
          <w:sz w:val="24"/>
        </w:rPr>
        <w:t>STZ</w:t>
      </w:r>
      <w:r w:rsidR="00FF35AE" w:rsidRPr="00BD2B46">
        <w:rPr>
          <w:sz w:val="24"/>
        </w:rPr>
        <w:t xml:space="preserve"> process</w:t>
      </w:r>
      <w:r w:rsidR="00FF35AE">
        <w:rPr>
          <w:rFonts w:hint="eastAsia"/>
          <w:sz w:val="24"/>
        </w:rPr>
        <w:t xml:space="preserve"> </w:t>
      </w:r>
      <w:r w:rsidR="00FF35AE" w:rsidRPr="00BD2B46">
        <w:rPr>
          <w:sz w:val="24"/>
        </w:rPr>
        <w:t>conform to the quasi-second-order kinetic model and the Langmuir isothermal adsorption model.</w:t>
      </w:r>
    </w:p>
    <w:p w:rsidR="008E647E" w:rsidRPr="00EE117E" w:rsidRDefault="008F2E69" w:rsidP="00FF35AE">
      <w:pPr>
        <w:spacing w:line="480" w:lineRule="auto"/>
      </w:pPr>
      <w:r>
        <w:rPr>
          <w:bCs/>
          <w:kern w:val="0"/>
          <w:sz w:val="24"/>
        </w:rPr>
        <w:t>●</w:t>
      </w:r>
      <w:r w:rsidR="00566F53">
        <w:rPr>
          <w:rFonts w:hint="eastAsia"/>
          <w:bCs/>
          <w:kern w:val="0"/>
          <w:sz w:val="24"/>
        </w:rPr>
        <w:t>T</w:t>
      </w:r>
      <w:r w:rsidR="00566F53" w:rsidRPr="00566F53">
        <w:rPr>
          <w:sz w:val="24"/>
        </w:rPr>
        <w:t xml:space="preserve">he S scheme charge transfer mechanism of </w:t>
      </w:r>
      <w:r w:rsidR="00566F53" w:rsidRPr="00566F53">
        <w:rPr>
          <w:sz w:val="24"/>
        </w:rPr>
        <w:t>TiO</w:t>
      </w:r>
      <w:r w:rsidR="00566F53" w:rsidRPr="00566F53">
        <w:rPr>
          <w:sz w:val="24"/>
          <w:vertAlign w:val="subscript"/>
        </w:rPr>
        <w:t>2</w:t>
      </w:r>
      <w:r w:rsidR="00566F53" w:rsidRPr="00566F53">
        <w:rPr>
          <w:sz w:val="24"/>
        </w:rPr>
        <w:t>/g-C</w:t>
      </w:r>
      <w:r w:rsidR="00566F53" w:rsidRPr="00566F53">
        <w:rPr>
          <w:sz w:val="24"/>
          <w:vertAlign w:val="subscript"/>
        </w:rPr>
        <w:t>3</w:t>
      </w:r>
      <w:r w:rsidR="00566F53" w:rsidRPr="00566F53">
        <w:rPr>
          <w:sz w:val="24"/>
        </w:rPr>
        <w:t>N</w:t>
      </w:r>
      <w:r w:rsidR="00566F53" w:rsidRPr="00566F53">
        <w:rPr>
          <w:sz w:val="24"/>
          <w:vertAlign w:val="subscript"/>
        </w:rPr>
        <w:t>5</w:t>
      </w:r>
      <w:bookmarkStart w:id="0" w:name="_GoBack"/>
      <w:bookmarkEnd w:id="0"/>
      <w:r w:rsidR="00566F53" w:rsidRPr="00566F53">
        <w:rPr>
          <w:sz w:val="24"/>
        </w:rPr>
        <w:t xml:space="preserve"> heterojunction material was proposed through band potential analysis and density functional function (DFT) calculation.</w:t>
      </w:r>
    </w:p>
    <w:sectPr w:rsidR="008E647E" w:rsidRPr="00EE1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4D"/>
    <w:rsid w:val="0028184D"/>
    <w:rsid w:val="003B526B"/>
    <w:rsid w:val="00566F53"/>
    <w:rsid w:val="008E647E"/>
    <w:rsid w:val="008F2E69"/>
    <w:rsid w:val="009077A8"/>
    <w:rsid w:val="00AA4F5D"/>
    <w:rsid w:val="00CC216A"/>
    <w:rsid w:val="00EB0945"/>
    <w:rsid w:val="00EE117E"/>
    <w:rsid w:val="00FF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tract">
    <w:name w:val="Abstract"/>
    <w:basedOn w:val="a0"/>
    <w:rsid w:val="009077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tract">
    <w:name w:val="Abstract"/>
    <w:basedOn w:val="a0"/>
    <w:rsid w:val="009077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2024-01-19T12:19:00Z</dcterms:created>
  <dcterms:modified xsi:type="dcterms:W3CDTF">2024-05-16T23:53:00Z</dcterms:modified>
</cp:coreProperties>
</file>