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BF5F0" w14:textId="60D6157A" w:rsidR="00283DAE" w:rsidRDefault="00283DA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002D9A4" wp14:editId="72EC103A">
            <wp:extent cx="5274310" cy="3515995"/>
            <wp:effectExtent l="0" t="0" r="0" b="0"/>
            <wp:docPr id="1241374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74352" name="图片 12413743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967A5" w14:textId="2FD4A7F4" w:rsidR="00743D91" w:rsidRPr="00283DAE" w:rsidRDefault="00283DAE">
      <w:pPr>
        <w:rPr>
          <w:rFonts w:ascii="Times New Roman" w:hAnsi="Times New Roman" w:cs="Times New Roman"/>
          <w:color w:val="0D0D0D"/>
          <w:szCs w:val="21"/>
          <w:shd w:val="clear" w:color="auto" w:fill="FFFFFF"/>
        </w:rPr>
      </w:pPr>
      <w:r w:rsidRPr="00283DAE">
        <w:rPr>
          <w:rFonts w:ascii="Times New Roman" w:hAnsi="Times New Roman" w:cs="Times New Roman"/>
          <w:b/>
          <w:bCs/>
        </w:rPr>
        <w:t>Supplementary Figure 1</w:t>
      </w:r>
      <w:r w:rsidRPr="00283DAE">
        <w:rPr>
          <w:rFonts w:ascii="Times New Roman" w:hAnsi="Times New Roman" w:cs="Times New Roman"/>
          <w:b/>
          <w:bCs/>
        </w:rPr>
        <w:t>.</w:t>
      </w:r>
      <w:r w:rsidRPr="00283DAE">
        <w:rPr>
          <w:rFonts w:ascii="Times New Roman" w:hAnsi="Times New Roman" w:cs="Times New Roman"/>
        </w:rPr>
        <w:t xml:space="preserve"> </w:t>
      </w:r>
      <w:r w:rsidRPr="00283DAE">
        <w:rPr>
          <w:rFonts w:ascii="Times New Roman" w:hAnsi="Times New Roman" w:cs="Times New Roman"/>
          <w:color w:val="000000"/>
          <w:szCs w:val="21"/>
        </w:rPr>
        <w:t xml:space="preserve">Cox regression analysis of STOD in patients with essential hypertension who had had initial </w:t>
      </w:r>
      <w:r w:rsidRPr="00283DAE">
        <w:rPr>
          <w:rFonts w:ascii="Times New Roman" w:hAnsi="Times New Roman" w:cs="Times New Roman"/>
          <w:color w:val="000000"/>
          <w:szCs w:val="21"/>
        </w:rPr>
        <w:t>normal</w:t>
      </w:r>
      <w:r w:rsidRPr="00283DAE">
        <w:rPr>
          <w:rFonts w:ascii="Times New Roman" w:hAnsi="Times New Roman" w:cs="Times New Roman"/>
          <w:color w:val="000000"/>
          <w:szCs w:val="21"/>
        </w:rPr>
        <w:t xml:space="preserve"> endothelial function</w:t>
      </w:r>
      <w:r w:rsidRPr="00283DAE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283DAE">
        <w:rPr>
          <w:rFonts w:ascii="Times New Roman" w:hAnsi="Times New Roman" w:cs="Times New Roman"/>
          <w:color w:val="0D0D0D"/>
          <w:szCs w:val="21"/>
          <w:shd w:val="clear" w:color="auto" w:fill="FFFFFF"/>
        </w:rPr>
        <w:t xml:space="preserve">STOD: subclinical target organ damage; </w:t>
      </w:r>
      <w:r w:rsidRPr="00283DAE">
        <w:rPr>
          <w:rFonts w:ascii="Times New Roman" w:hAnsi="Times New Roman" w:cs="Times New Roman"/>
        </w:rPr>
        <w:t xml:space="preserve">BMI: body mass index; LDL-C: low-density lipoprotein-cholesterol; </w:t>
      </w:r>
      <w:r w:rsidRPr="00283DAE">
        <w:rPr>
          <w:rFonts w:ascii="Times New Roman" w:hAnsi="Times New Roman" w:cs="Times New Roman"/>
          <w:color w:val="0D0D0D"/>
          <w:szCs w:val="21"/>
          <w:shd w:val="clear" w:color="auto" w:fill="FFFFFF"/>
        </w:rPr>
        <w:t>EEFI: early endothelial function improvement</w:t>
      </w:r>
      <w:r w:rsidRPr="00283DAE">
        <w:rPr>
          <w:rFonts w:ascii="Times New Roman" w:hAnsi="Times New Roman" w:cs="Times New Roman"/>
        </w:rPr>
        <w:t>.</w:t>
      </w:r>
    </w:p>
    <w:sectPr w:rsidR="00743D91" w:rsidRPr="00283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3AA"/>
    <w:rsid w:val="000953AA"/>
    <w:rsid w:val="00283DAE"/>
    <w:rsid w:val="002F5312"/>
    <w:rsid w:val="0074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FB0AA"/>
  <w15:chartTrackingRefBased/>
  <w15:docId w15:val="{AEE6A8B4-6614-464E-BF76-99B9B6F8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2024-05-16T09:09:00Z</dcterms:created>
  <dcterms:modified xsi:type="dcterms:W3CDTF">2024-05-16T09:15:00Z</dcterms:modified>
</cp:coreProperties>
</file>