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DF" w:rsidRDefault="00DA210B">
      <w:pPr>
        <w:adjustRightInd w:val="0"/>
        <w:snapToGrid w:val="0"/>
        <w:spacing w:after="24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Supplementary Materials: Association of </w:t>
      </w:r>
      <w:r w:rsidR="00A40D0A" w:rsidRPr="00A40D0A">
        <w:rPr>
          <w:rFonts w:ascii="Times New Roman" w:hAnsi="Times New Roman" w:cs="Times New Roman"/>
          <w:b/>
          <w:sz w:val="28"/>
          <w:szCs w:val="28"/>
        </w:rPr>
        <w:t>dietary magnesium intake</w:t>
      </w:r>
      <w:r>
        <w:rPr>
          <w:rFonts w:ascii="Times New Roman" w:hAnsi="Times New Roman" w:cs="Times New Roman"/>
          <w:b/>
          <w:sz w:val="28"/>
          <w:szCs w:val="28"/>
        </w:rPr>
        <w:t xml:space="preserve"> with all-cause and cause-specific mortality among individuals with gout and hyperuricemia</w:t>
      </w:r>
    </w:p>
    <w:p w:rsidR="00D67087" w:rsidRDefault="00DA210B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1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Stratified analyses of the associations (hazard ratios,95% CIs) between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and all-cause mortality among participants with gout</w:t>
      </w:r>
    </w:p>
    <w:p w:rsidR="008348DF" w:rsidRDefault="00DA210B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2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Stratified analyses of the associations (hazard ratios,95% CIs) between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and all-cause mortality among participants with hyperuricemia</w:t>
      </w:r>
    </w:p>
    <w:p w:rsidR="008348DF" w:rsidRDefault="00DA210B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3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Hazard ratios (95% CIs) of mortality according to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among participants with gout after excluding participants who died with</w:t>
      </w:r>
      <w:r w:rsidR="00D67087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in two years of follow-up</w:t>
      </w:r>
    </w:p>
    <w:p w:rsidR="007D02F6" w:rsidRDefault="007D02F6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4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Hazard ratios (95% CIs) of mortality according to dietary magnesium intake among participants with hyperuricemia after excluding participants who died within two years of follow-up</w:t>
      </w:r>
    </w:p>
    <w:p w:rsidR="00D67087" w:rsidRDefault="007D02F6" w:rsidP="00D67087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5</w:t>
      </w:r>
      <w:r w:rsidR="00D6708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of mortality according to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participants with gout after excluding participants aged 80 and older</w:t>
      </w:r>
    </w:p>
    <w:p w:rsidR="007D02F6" w:rsidRPr="007D02F6" w:rsidRDefault="007D02F6" w:rsidP="00D67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6 </w:t>
      </w:r>
      <w:r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Hazard ratios (95% CIs) of mortality according to dietary magnesium intake among participants with hyperuricemia after excluding participants aged 80 and older</w:t>
      </w:r>
    </w:p>
    <w:p w:rsidR="00D67087" w:rsidRDefault="007D02F6" w:rsidP="00D67087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7</w:t>
      </w:r>
      <w:r w:rsidR="00D6708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of mortality according to weighted quartiles of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participants with gout</w:t>
      </w:r>
    </w:p>
    <w:p w:rsidR="007D02F6" w:rsidRPr="007D02F6" w:rsidRDefault="007D02F6" w:rsidP="00D67087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8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Hazard ratios (95% CIs) of mortality according to weighted quartiles of dietary magnesium intake among participants with hyperuricemia</w:t>
      </w:r>
    </w:p>
    <w:p w:rsidR="00D67087" w:rsidRDefault="007D02F6" w:rsidP="00D67087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9</w:t>
      </w:r>
      <w:r w:rsidR="00D67087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 w:rsidR="00D67087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Hazard ratios (95% CIs) of mortality according to quartiles of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 w:rsidR="00D67087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among participants with gout</w:t>
      </w:r>
    </w:p>
    <w:p w:rsidR="007D02F6" w:rsidRPr="007D02F6" w:rsidRDefault="007D02F6" w:rsidP="00D67087">
      <w:pPr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10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Hazard ratios (95% CIs) of mortality according to quartiles of dietary magnesium intake among participants with hyperuricemia</w:t>
      </w:r>
    </w:p>
    <w:p w:rsidR="00D67087" w:rsidRDefault="007D02F6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 Table 11</w:t>
      </w:r>
      <w:r w:rsidR="00D6708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for mortality according to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patients with gout with further adjustment of survey cycle, </w:t>
      </w:r>
      <w:r w:rsidR="00DB1CC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 w:rsidR="00D67087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cardiometabolic </w:t>
      </w:r>
      <w:r w:rsidR="00196413">
        <w:rPr>
          <w:rFonts w:ascii="Times New Roman" w:hAnsi="Times New Roman" w:cs="Times New Roman"/>
          <w:color w:val="000000" w:themeColor="text1"/>
          <w:sz w:val="22"/>
        </w:rPr>
        <w:t>markers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or eGFR</w:t>
      </w:r>
    </w:p>
    <w:p w:rsidR="007D02F6" w:rsidRDefault="007D02F6" w:rsidP="007D02F6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12 </w:t>
      </w:r>
      <w:r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Hazard ratios (95% CIs) for mortality according to dietary magnesium intake among patients with hyperuricemia with further adjustment of survey cycle, dietary</w:t>
      </w:r>
      <w: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cardiometabolic </w:t>
      </w:r>
      <w:r>
        <w:rPr>
          <w:rFonts w:ascii="Times New Roman" w:hAnsi="Times New Roman" w:cs="Times New Roman"/>
          <w:color w:val="000000" w:themeColor="text1"/>
          <w:sz w:val="22"/>
        </w:rPr>
        <w:t>markers</w:t>
      </w:r>
      <w: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or eGFR</w:t>
      </w:r>
    </w:p>
    <w:p w:rsidR="008348DF" w:rsidRDefault="00DA210B">
      <w:pPr>
        <w:widowControl/>
        <w:jc w:val="left"/>
        <w:rPr>
          <w:rFonts w:ascii="Times New Roman" w:eastAsia="宋体" w:hAnsi="Times New Roman" w:cs="Times New Roman"/>
          <w:b/>
          <w:color w:val="21212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212121"/>
          <w:kern w:val="0"/>
          <w:sz w:val="24"/>
          <w:szCs w:val="24"/>
        </w:rPr>
        <w:br w:type="page"/>
      </w:r>
    </w:p>
    <w:p w:rsidR="008348DF" w:rsidRDefault="00DA210B">
      <w:pPr>
        <w:jc w:val="left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Table 1.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Stratified analyses of the associations (hazard ratios,</w:t>
      </w:r>
      <w:r w:rsidR="00642487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95% CIs) between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and all-cause mortality among participants with gout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1683"/>
        <w:gridCol w:w="1861"/>
        <w:gridCol w:w="2835"/>
        <w:gridCol w:w="2651"/>
        <w:gridCol w:w="2551"/>
        <w:gridCol w:w="1229"/>
        <w:gridCol w:w="1791"/>
        <w:gridCol w:w="1417"/>
      </w:tblGrid>
      <w:tr w:rsidR="00B143A9" w:rsidTr="00B143A9">
        <w:trPr>
          <w:trHeight w:val="600"/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vMerge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bscript"/>
              </w:rPr>
              <w:t xml:space="preserve">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91" w:type="dxa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B143A9">
              <w:rPr>
                <w:rFonts w:ascii="Times New Roman" w:eastAsia="宋体" w:hAnsi="Times New Roman" w:cs="Times New Roman"/>
                <w:b/>
                <w:bCs/>
                <w:iCs/>
                <w:kern w:val="0"/>
                <w:sz w:val="24"/>
                <w:szCs w:val="24"/>
                <w:vertAlign w:val="subscript"/>
              </w:rPr>
              <w:t>heterogeneity</w:t>
            </w:r>
          </w:p>
        </w:tc>
        <w:tc>
          <w:tcPr>
            <w:tcW w:w="1417" w:type="dxa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bscript"/>
              </w:rPr>
              <w:t>interaction</w:t>
            </w:r>
          </w:p>
        </w:tc>
      </w:tr>
      <w:tr w:rsidR="00B143A9" w:rsidTr="009550AD">
        <w:trPr>
          <w:trHeight w:val="502"/>
          <w:jc w:val="center"/>
        </w:trPr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0.331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&lt; 60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2.36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319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(0.02,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≥ 60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532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3.67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953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Gender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.551</w:t>
            </w: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115</w:t>
            </w: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Male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0.44 (0.22,0.87), 0.018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0.46 (0.21,1.00), 0.049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Female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982.19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409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2.11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55.09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46.96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857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0.261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Race/ethnicity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.160</w:t>
            </w: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073</w:t>
            </w: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White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2.11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0.3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334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Non-white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 (0.6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.052</w:t>
            </w: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831</w:t>
            </w: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Yes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No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12.31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84.88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011</w:t>
            </w: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.731</w:t>
            </w: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2.11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11,39.49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617</w:t>
            </w: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Diabetes</w:t>
            </w:r>
          </w:p>
        </w:tc>
        <w:tc>
          <w:tcPr>
            <w:tcW w:w="1861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.083</w:t>
            </w: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387</w:t>
            </w:r>
          </w:p>
        </w:tc>
      </w:tr>
      <w:tr w:rsidR="00B143A9" w:rsidTr="009550AD">
        <w:trPr>
          <w:trHeight w:val="310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Yes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1.99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32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No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2.98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079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0.889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0.264</w:t>
            </w: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32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BMI (kg/m</w:t>
            </w: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)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B143A9" w:rsidRDefault="00B143A9" w:rsidP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.280</w:t>
            </w: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330</w:t>
            </w:r>
          </w:p>
        </w:tc>
      </w:tr>
      <w:tr w:rsidR="00B143A9" w:rsidTr="009550AD">
        <w:trPr>
          <w:trHeight w:val="332"/>
          <w:jc w:val="center"/>
        </w:trPr>
        <w:tc>
          <w:tcPr>
            <w:tcW w:w="1683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&lt; 30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902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899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791" w:type="dxa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143A9" w:rsidTr="009550AD">
        <w:trPr>
          <w:trHeight w:val="332"/>
          <w:jc w:val="center"/>
        </w:trPr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≥ 30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867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 w:rsidP="00AF1C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43A9" w:rsidRDefault="00B143A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Age, gender, race/ethnicity, education level, PIR, BMI, energy, smoking status, alcohol consumption, hypertension, diabetes were all adjusted except the variable itself.</w:t>
      </w:r>
    </w:p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8348DF" w:rsidRDefault="00DA210B">
      <w:pPr>
        <w:widowControl/>
        <w:jc w:val="left"/>
        <w:rPr>
          <w:rFonts w:ascii="Times New Roman" w:eastAsia="宋体" w:hAnsi="Times New Roman" w:cs="Times New Roman"/>
          <w:b/>
          <w:color w:val="21212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212121"/>
          <w:kern w:val="0"/>
          <w:sz w:val="24"/>
          <w:szCs w:val="24"/>
        </w:rPr>
        <w:br w:type="page"/>
      </w:r>
    </w:p>
    <w:p w:rsidR="008348DF" w:rsidRDefault="00DA210B">
      <w:pPr>
        <w:jc w:val="left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2.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Stratified analyses of the associations (hazard ratios,</w:t>
      </w:r>
      <w:r w:rsidR="00642487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95% CIs) between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and all-cause mortality among participants with hyperuricemia</w:t>
      </w:r>
    </w:p>
    <w:tbl>
      <w:tblPr>
        <w:tblW w:w="16292" w:type="dxa"/>
        <w:jc w:val="center"/>
        <w:tblLayout w:type="fixed"/>
        <w:tblLook w:val="04A0" w:firstRow="1" w:lastRow="0" w:firstColumn="1" w:lastColumn="0" w:noHBand="0" w:noVBand="1"/>
      </w:tblPr>
      <w:tblGrid>
        <w:gridCol w:w="1737"/>
        <w:gridCol w:w="2469"/>
        <w:gridCol w:w="2598"/>
        <w:gridCol w:w="2607"/>
        <w:gridCol w:w="2638"/>
        <w:gridCol w:w="1425"/>
        <w:gridCol w:w="1409"/>
        <w:gridCol w:w="1409"/>
      </w:tblGrid>
      <w:tr w:rsidR="007A6E93" w:rsidTr="005C261B">
        <w:trPr>
          <w:trHeight w:val="600"/>
          <w:jc w:val="center"/>
        </w:trPr>
        <w:tc>
          <w:tcPr>
            <w:tcW w:w="173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vMerge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bscript"/>
              </w:rPr>
              <w:t xml:space="preserve">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09" w:type="dxa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B143A9">
              <w:rPr>
                <w:rFonts w:ascii="Times New Roman" w:eastAsia="宋体" w:hAnsi="Times New Roman" w:cs="Times New Roman"/>
                <w:b/>
                <w:bCs/>
                <w:iCs/>
                <w:kern w:val="0"/>
                <w:sz w:val="24"/>
                <w:szCs w:val="24"/>
                <w:vertAlign w:val="subscript"/>
              </w:rPr>
              <w:t>heterogeneity</w:t>
            </w:r>
          </w:p>
        </w:tc>
        <w:tc>
          <w:tcPr>
            <w:tcW w:w="1409" w:type="dxa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bscript"/>
              </w:rPr>
              <w:t>interaction</w:t>
            </w:r>
          </w:p>
        </w:tc>
      </w:tr>
      <w:tr w:rsidR="007A6E93" w:rsidTr="005C261B">
        <w:trPr>
          <w:trHeight w:val="502"/>
          <w:jc w:val="center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.396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409</w:t>
            </w: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&lt; 60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0,2.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311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≥ 60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1.56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823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053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Gender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.655</w:t>
            </w: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792</w:t>
            </w: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Male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1.000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Female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630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484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042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Race/ethnicity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.191</w:t>
            </w: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White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.70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815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425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Non-white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845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.034</w:t>
            </w: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Yes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0.53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015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No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,2.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293</w:t>
            </w: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0.740</w:t>
            </w: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667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Diabetes</w:t>
            </w:r>
          </w:p>
        </w:tc>
        <w:tc>
          <w:tcPr>
            <w:tcW w:w="246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.229</w:t>
            </w: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385</w:t>
            </w:r>
          </w:p>
        </w:tc>
      </w:tr>
      <w:tr w:rsidR="007A6E93" w:rsidTr="005C261B">
        <w:trPr>
          <w:trHeight w:val="310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Yes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375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7,4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.95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349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845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950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32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No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292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 (0.2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32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BMI (kg/m</w:t>
            </w: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  <w:t>)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 w:rsidP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.274</w:t>
            </w: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879</w:t>
            </w:r>
          </w:p>
        </w:tc>
      </w:tr>
      <w:tr w:rsidR="007A6E93" w:rsidTr="005C261B">
        <w:trPr>
          <w:trHeight w:val="332"/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&lt; 30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883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.572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566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540</w:t>
            </w:r>
          </w:p>
        </w:tc>
        <w:tc>
          <w:tcPr>
            <w:tcW w:w="1409" w:type="dxa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A6E93" w:rsidTr="005C261B">
        <w:trPr>
          <w:trHeight w:val="332"/>
          <w:jc w:val="center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212121"/>
                <w:kern w:val="0"/>
                <w:sz w:val="24"/>
                <w:szCs w:val="24"/>
              </w:rPr>
              <w:t>≥ 30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527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262</w:t>
            </w:r>
          </w:p>
        </w:tc>
        <w:tc>
          <w:tcPr>
            <w:tcW w:w="2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7A6E93" w:rsidRDefault="007A6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Age, gender, race/ethnicity, survey cycle, education level, PIR, BMI, smoking status, alcohol consumption, hypertension, diabetes were all adjusted except the variable itself.</w:t>
      </w:r>
    </w:p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8348DF" w:rsidRDefault="00DA210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8348DF" w:rsidRDefault="00DA210B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3.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Hazard ratios (95% CIs) of mortality according to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among participants with gout after excluding participants who died within two years of follow-up (n=63)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8348DF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DA210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 (22.9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 (22.4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 (15.8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9.0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4.60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065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0.007</w:t>
            </w: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7.3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5.8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</w:t>
            </w:r>
            <w:r w:rsidR="00BE0F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1), 0.7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17495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7495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1.99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20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20.14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560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2.00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33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.4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629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947</w:t>
            </w:r>
          </w:p>
        </w:tc>
      </w:tr>
      <w:tr w:rsidR="008348DF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348DF" w:rsidRDefault="00DA210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8E6E37" w:rsidRDefault="00DA210B" w:rsidP="008E6E37">
      <w:pPr>
        <w:snapToGrid w:val="0"/>
        <w:spacing w:beforeLines="50" w:before="156" w:line="360" w:lineRule="auto"/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  <w:r w:rsidR="008E6E37">
        <w:rPr>
          <w:rFonts w:ascii="Times New Roman" w:eastAsia="宋体" w:hAnsi="Times New Roman" w:cs="Times New Roman"/>
          <w:b/>
          <w:color w:val="212121"/>
          <w:kern w:val="0"/>
          <w:sz w:val="24"/>
          <w:szCs w:val="24"/>
        </w:rPr>
        <w:lastRenderedPageBreak/>
        <w:t>Supplementary Table 4.</w:t>
      </w:r>
      <w:r w:rsidR="008E6E37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 </w:t>
      </w:r>
      <w:r w:rsidR="008E6E37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Hazard ratios (95% CIs) of mortality according to dietary magnesium intake among participants with hyperuricemia after excluding participants who died within two years of follow-up (n=218)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8E6E37" w:rsidTr="004341C7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395 (24.5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298 (18.4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224 (13.8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180 (11.0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.787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.029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1.82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363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223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F91BD9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F91B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308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E6E37" w:rsidRDefault="008E6E37" w:rsidP="008E6E37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E6E37" w:rsidRDefault="008E6E37" w:rsidP="008E6E37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8E6E37" w:rsidRDefault="008E6E37" w:rsidP="008E6E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210B" w:rsidRDefault="000922AB" w:rsidP="00DA210B">
      <w:pPr>
        <w:snapToGrid w:val="0"/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Table </w:t>
      </w:r>
      <w:r w:rsidR="008E6E3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5</w:t>
      </w:r>
      <w:r w:rsidR="00DA210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of mortality according to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participants with gout after excluding participants aged 80 and older (n=132)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DA210B" w:rsidTr="00DA210B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A40D0A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DA210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 (21.6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 (21.6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 (14.7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.333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039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.030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001</w:t>
            </w: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659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0.13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3.56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207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172</w:t>
            </w: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970B9A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970B9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A210B" w:rsidTr="00DA210B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48.39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1.03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14.27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983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4.82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45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38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193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995</w:t>
            </w:r>
          </w:p>
        </w:tc>
      </w:tr>
      <w:tr w:rsidR="00DA210B" w:rsidTr="00DA210B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10B" w:rsidRDefault="00DA210B" w:rsidP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DA210B" w:rsidRDefault="00DA210B" w:rsidP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DA210B" w:rsidRDefault="00DA210B" w:rsidP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 value for trend </w:t>
      </w:r>
      <w:r>
        <w:rPr>
          <w:rFonts w:ascii="Times New Roman" w:hAnsi="Times New Roman" w:cs="Times New Roman" w:hint="eastAsia"/>
          <w:sz w:val="24"/>
          <w:szCs w:val="24"/>
        </w:rPr>
        <w:t>was tested according to the statistical significance of the median value for category variables.</w:t>
      </w:r>
    </w:p>
    <w:p w:rsidR="008348DF" w:rsidRDefault="00DA210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8E6E37" w:rsidRDefault="008E6E37" w:rsidP="008E6E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Table 6. </w:t>
      </w:r>
      <w:r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Hazard ratios (95% CIs) of mortality according to dietary magnesium intake among participants with hyperuricemia after excluding participants aged 80 and older (n=574)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8E6E37" w:rsidTr="004341C7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341 (22.3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235 (15.4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182 (11.8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150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0.81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.327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.005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003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1.80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069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47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91F2E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91F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190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E6E37" w:rsidRDefault="008E6E37" w:rsidP="008E6E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E6E37" w:rsidRDefault="008E6E37" w:rsidP="008E6E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 value for trend </w:t>
      </w:r>
      <w:r>
        <w:rPr>
          <w:rFonts w:ascii="Times New Roman" w:hAnsi="Times New Roman" w:cs="Times New Roman" w:hint="eastAsia"/>
          <w:sz w:val="24"/>
          <w:szCs w:val="24"/>
        </w:rPr>
        <w:t>was tested according to the statistical significance of the median value for category variables.</w:t>
      </w:r>
    </w:p>
    <w:p w:rsidR="008E6E37" w:rsidRPr="000922AB" w:rsidRDefault="008E6E37" w:rsidP="008E6E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 w:type="page"/>
      </w:r>
    </w:p>
    <w:p w:rsidR="000922AB" w:rsidRDefault="008E6E37" w:rsidP="000922AB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perscript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7</w:t>
      </w:r>
      <w:r w:rsidR="000922A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of mortality according to weighted quartiles of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participants with gout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0922AB" w:rsidTr="00A40D0A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A40D0A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0922A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 (28.9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 (25.6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 (20.1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1.32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2.79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.463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.047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009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2.81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0.20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179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17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467581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675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81.44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13.35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161.20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041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8.21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78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86.62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080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397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0922AB" w:rsidRDefault="000922AB" w:rsidP="000922AB">
      <w:pPr>
        <w:ind w:leftChars="14" w:lef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0922AB" w:rsidRDefault="000922AB" w:rsidP="000922AB">
      <w:pPr>
        <w:ind w:leftChars="-100" w:left="-210" w:firstLineChars="100" w:firstLine="24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P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value for trend was tested according to the statistical significance of the median value for category variables.</w:t>
      </w:r>
    </w:p>
    <w:p w:rsidR="000922AB" w:rsidRDefault="000922A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8E6E37" w:rsidRDefault="008E6E37" w:rsidP="008E6E37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8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Hazard ratios (95% CIs) of mortality according to weighted quartiles of dietary magnesium intake among participants with hyperuricemia</w:t>
      </w: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1602"/>
      </w:tblGrid>
      <w:tr w:rsidR="008E6E37" w:rsidTr="004341C7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Quartile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556 (27.9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352 (20.2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243 (15.4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164 (11.7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0.81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.239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.006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005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683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1.14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734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008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015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98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4876F4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35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4876F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249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E6E37" w:rsidRDefault="008E6E37" w:rsidP="008E6E37">
      <w:pPr>
        <w:ind w:leftChars="14" w:lef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E6E37" w:rsidRDefault="008E6E37" w:rsidP="008E6E37">
      <w:pPr>
        <w:ind w:leftChars="-100" w:left="-210" w:firstLineChars="100" w:firstLine="24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P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value for trend was tested according to the statistical significance of the median value for category variables.</w:t>
      </w:r>
    </w:p>
    <w:p w:rsidR="008E6E37" w:rsidRPr="000922AB" w:rsidRDefault="008E6E37" w:rsidP="008E6E37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0922AB" w:rsidRDefault="008E6E37" w:rsidP="000922AB">
      <w:pPr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9</w:t>
      </w:r>
      <w:r w:rsidR="000922AB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. </w:t>
      </w:r>
      <w:r w:rsidR="000922AB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Hazard ratios (95% CIs) of </w:t>
      </w:r>
      <w:r w:rsidR="00221082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mortality according to </w:t>
      </w:r>
      <w:r w:rsidR="00221082" w:rsidRPr="00221082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quintile</w:t>
      </w:r>
      <w:r w:rsidR="00221082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s</w:t>
      </w:r>
      <w:r w:rsidR="000922AB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of </w:t>
      </w:r>
      <w:r w:rsidR="00A40D0A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>dietary magnesium intake</w:t>
      </w:r>
      <w:r w:rsidR="000922AB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among participants with gout</w:t>
      </w:r>
    </w:p>
    <w:tbl>
      <w:tblPr>
        <w:tblW w:w="16518" w:type="dxa"/>
        <w:jc w:val="center"/>
        <w:tblLayout w:type="fixed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2436"/>
        <w:gridCol w:w="1509"/>
      </w:tblGrid>
      <w:tr w:rsidR="000922AB" w:rsidTr="00A40D0A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A40D0A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0922A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221082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 w:rsidR="000922A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221082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 w:rsidR="000922A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221082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 w:rsidR="000922A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221082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 w:rsidR="000922A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221082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 w:rsidR="000922A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</w:t>
            </w:r>
            <w:r w:rsidR="000922A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 (30.8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 (28.9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 (22.6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 (19.2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1.02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2.60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.967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905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.032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.029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002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18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2.97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0.59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514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3.18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162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7747E4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7747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A40D0A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1.54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0.21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11.32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674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3.70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29.26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215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1.83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29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11.74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523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.873</w:t>
            </w:r>
          </w:p>
        </w:tc>
      </w:tr>
      <w:tr w:rsidR="000922AB" w:rsidTr="00A40D0A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0922AB" w:rsidRDefault="000922AB" w:rsidP="000922A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0922AB" w:rsidRDefault="000922AB" w:rsidP="000922AB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0922AB" w:rsidRDefault="000922A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8E6E37" w:rsidRDefault="008E6E37" w:rsidP="008E6E37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10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Hazard ratios (95% CIs) of mortality according to 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q</w:t>
      </w:r>
      <w:r w:rsidRPr="00221082"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uintile</w:t>
      </w:r>
      <w:r>
        <w:rPr>
          <w:rFonts w:ascii="Times New Roman" w:eastAsia="宋体" w:hAnsi="Times New Roman" w:cs="Times New Roman"/>
          <w:color w:val="212121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</w:rPr>
        <w:t xml:space="preserve"> of dietary magnesium intake among participants with hyperuricemia</w:t>
      </w:r>
    </w:p>
    <w:tbl>
      <w:tblPr>
        <w:tblW w:w="16518" w:type="dxa"/>
        <w:jc w:val="center"/>
        <w:tblLayout w:type="fixed"/>
        <w:tblLook w:val="04A0" w:firstRow="1" w:lastRow="0" w:firstColumn="1" w:lastColumn="0" w:noHBand="0" w:noVBand="1"/>
      </w:tblPr>
      <w:tblGrid>
        <w:gridCol w:w="2461"/>
        <w:gridCol w:w="2642"/>
        <w:gridCol w:w="2545"/>
        <w:gridCol w:w="2470"/>
        <w:gridCol w:w="2455"/>
        <w:gridCol w:w="2436"/>
        <w:gridCol w:w="1509"/>
      </w:tblGrid>
      <w:tr w:rsidR="008E6E37" w:rsidTr="004341C7">
        <w:trPr>
          <w:trHeight w:val="600"/>
          <w:jc w:val="center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 (mg/d)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Q</w:t>
            </w:r>
            <w:r w:rsidRPr="00221082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uintile</w:t>
            </w: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43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585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386 (29.0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332 (24.7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242 (18.1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197 (14.6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 (11.7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HR (95% CI),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1.12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.574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.281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.051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015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118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8.9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102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7.6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87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6.5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75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5.6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29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2.1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-value 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613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1.66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0.653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037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023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0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Number of deaths (%)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70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5.3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55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4.1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37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2.8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28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2.1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203DDB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34 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203D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2.5</w:t>
            </w:r>
            <w:r w:rsidR="002E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E6E37" w:rsidTr="004341C7">
        <w:trPr>
          <w:trHeight w:val="624"/>
          <w:jc w:val="center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0.80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.406</w:t>
            </w:r>
          </w:p>
        </w:tc>
      </w:tr>
      <w:tr w:rsidR="008E6E37" w:rsidTr="004341C7">
        <w:trPr>
          <w:trHeight w:val="310"/>
          <w:jc w:val="center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6E37" w:rsidRDefault="008E6E37" w:rsidP="004341C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E6E37" w:rsidRDefault="008E6E37" w:rsidP="008E6E37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E6E37" w:rsidRDefault="008E6E37" w:rsidP="008E6E37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 value for trend was tested according to the statistical significance of the median value for category variables.</w:t>
      </w:r>
    </w:p>
    <w:p w:rsidR="008E6E37" w:rsidRDefault="008E6E37" w:rsidP="008E6E3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:rsidR="000922AB" w:rsidRDefault="008E6E37" w:rsidP="000922AB">
      <w:pPr>
        <w:snapToGrid w:val="0"/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11</w:t>
      </w:r>
      <w:r w:rsidR="000922A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for mortality according to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patients with gout with further adjustment of survey cycle, dietary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 w:rsidR="00DB1CC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cardiometabolic </w:t>
      </w:r>
      <w:r w:rsidR="00196413">
        <w:rPr>
          <w:rFonts w:ascii="Times New Roman" w:hAnsi="Times New Roman" w:cs="Times New Roman"/>
          <w:color w:val="000000" w:themeColor="text1"/>
          <w:sz w:val="22"/>
        </w:rPr>
        <w:t>markers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 or eGFR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</w:t>
      </w:r>
      <w:r w:rsidR="000922A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  <w:vertAlign w:val="superscript"/>
        </w:rPr>
        <w:t>1</w:t>
      </w:r>
    </w:p>
    <w:tbl>
      <w:tblPr>
        <w:tblW w:w="15594" w:type="dxa"/>
        <w:jc w:val="center"/>
        <w:tblLook w:val="04A0" w:firstRow="1" w:lastRow="0" w:firstColumn="1" w:lastColumn="0" w:noHBand="0" w:noVBand="1"/>
      </w:tblPr>
      <w:tblGrid>
        <w:gridCol w:w="3880"/>
        <w:gridCol w:w="1791"/>
        <w:gridCol w:w="2977"/>
        <w:gridCol w:w="2693"/>
        <w:gridCol w:w="2694"/>
        <w:gridCol w:w="1559"/>
      </w:tblGrid>
      <w:tr w:rsidR="000922AB" w:rsidTr="000E3056">
        <w:trPr>
          <w:trHeight w:val="600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922AB" w:rsidRDefault="000922AB" w:rsidP="00A40D0A">
            <w:pP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</w:pPr>
          </w:p>
        </w:tc>
        <w:tc>
          <w:tcPr>
            <w:tcW w:w="10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A40D0A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0922A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922AB" w:rsidRDefault="000922AB" w:rsidP="00A40D0A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98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1791" w:type="dxa"/>
            <w:vAlign w:val="center"/>
          </w:tcPr>
          <w:p w:rsidR="000922AB" w:rsidRDefault="000922AB" w:rsidP="00A40D0A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.53), 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6.53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313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922AB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455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074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005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0922AB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1791" w:type="dxa"/>
            <w:vAlign w:val="center"/>
          </w:tcPr>
          <w:p w:rsidR="000922AB" w:rsidRDefault="000922AB" w:rsidP="00A40D0A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552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.122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114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469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1.95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149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698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254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3.12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91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313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0.147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1791" w:type="dxa"/>
            <w:vAlign w:val="center"/>
          </w:tcPr>
          <w:p w:rsidR="000922AB" w:rsidRDefault="000922AB" w:rsidP="00A40D0A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30.64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060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759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4.84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.76),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089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795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19.32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9.27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&lt;0.001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256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2.58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527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4.31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85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21.84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078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32.03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0.3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6.80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573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616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1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977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5.16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32.69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082</w:t>
            </w:r>
          </w:p>
        </w:tc>
        <w:tc>
          <w:tcPr>
            <w:tcW w:w="2693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29.74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256</w:t>
            </w:r>
          </w:p>
        </w:tc>
        <w:tc>
          <w:tcPr>
            <w:tcW w:w="2694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2.80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34.56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422</w:t>
            </w:r>
          </w:p>
        </w:tc>
        <w:tc>
          <w:tcPr>
            <w:tcW w:w="1559" w:type="dxa"/>
            <w:vMerge w:val="restart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0.802</w:t>
            </w: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1791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22AB" w:rsidRDefault="000922AB" w:rsidP="00A40D0A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0922AB" w:rsidTr="000E3056">
        <w:trPr>
          <w:trHeight w:val="310"/>
          <w:jc w:val="center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2AB" w:rsidRDefault="000922AB" w:rsidP="00A40D0A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Cox proportional hazards models were used to estimate the hazard ratios (HRs) and 95% confidence intervals (CIs) of mortality according to </w:t>
      </w:r>
      <w:r w:rsidR="00A40D0A">
        <w:rPr>
          <w:rFonts w:ascii="Times New Roman" w:hAnsi="Times New Roman" w:cs="Times New Roman" w:hint="eastAsia"/>
          <w:sz w:val="24"/>
          <w:szCs w:val="24"/>
        </w:rPr>
        <w:t>dietary magnesium intake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survey cycle.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intake of total folate (in quartiles), fiber (in quartiles), sodium (in quartiles), potassium (in quartiles), calcium (in quartiles) and phosphorus (in quartiles).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total cholesterol, HDL, glucose and triglycerides, and 84 subjects were lost due to missing related data.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</w:t>
      </w:r>
      <w:r w:rsidR="001A2A3D">
        <w:rPr>
          <w:rFonts w:ascii="Times New Roman" w:hAnsi="Times New Roman" w:cs="Times New Roman" w:hint="eastAsia"/>
          <w:sz w:val="24"/>
          <w:szCs w:val="24"/>
        </w:rPr>
        <w:t>ted for eGFR calculated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the improved modification of diet in renal disease (MDRD) formula, and 83 subjects were lost due to missing related data.</w:t>
      </w:r>
    </w:p>
    <w:p w:rsidR="000922AB" w:rsidRDefault="000922AB" w:rsidP="000922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 value for trend was tested according to the statistical significance of the median value for category variables.</w:t>
      </w:r>
    </w:p>
    <w:p w:rsidR="000922AB" w:rsidRPr="000922AB" w:rsidRDefault="000922A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48DF" w:rsidRDefault="008E6E37">
      <w:pP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perscript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12</w:t>
      </w:r>
      <w:r w:rsidR="00DA210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Hazard ratios (95% CIs) for mortality according to </w:t>
      </w:r>
      <w:r w:rsidR="00A40D0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 magnesium intake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among patients with hyperuricemia with further adjustment of survey cycle, </w:t>
      </w:r>
      <w:r w:rsidR="00DB1CC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dietary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cardiometabolic </w:t>
      </w:r>
      <w:r w:rsidR="00196413">
        <w:rPr>
          <w:rFonts w:ascii="Times New Roman" w:hAnsi="Times New Roman" w:cs="Times New Roman"/>
          <w:color w:val="000000" w:themeColor="text1"/>
          <w:sz w:val="22"/>
        </w:rPr>
        <w:t>markers</w:t>
      </w:r>
      <w:r w:rsidR="00DB1CC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 or eGFR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</w:t>
      </w:r>
      <w:r w:rsidR="00DA210B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  <w:vertAlign w:val="superscript"/>
        </w:rPr>
        <w:t>1</w:t>
      </w:r>
    </w:p>
    <w:tbl>
      <w:tblPr>
        <w:tblW w:w="15594" w:type="dxa"/>
        <w:jc w:val="center"/>
        <w:tblLook w:val="04A0" w:firstRow="1" w:lastRow="0" w:firstColumn="1" w:lastColumn="0" w:noHBand="0" w:noVBand="1"/>
      </w:tblPr>
      <w:tblGrid>
        <w:gridCol w:w="3880"/>
        <w:gridCol w:w="2217"/>
        <w:gridCol w:w="2551"/>
        <w:gridCol w:w="2693"/>
        <w:gridCol w:w="2694"/>
        <w:gridCol w:w="1559"/>
      </w:tblGrid>
      <w:tr w:rsidR="008348DF" w:rsidTr="000E3056">
        <w:trPr>
          <w:trHeight w:val="600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348DF" w:rsidRDefault="008348DF">
            <w:pP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</w:pPr>
          </w:p>
        </w:tc>
        <w:tc>
          <w:tcPr>
            <w:tcW w:w="10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A40D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Dietary magnesium intake</w:t>
            </w:r>
            <w:r w:rsidR="00DA210B"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 xml:space="preserve"> (mg/d)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for trend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212121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348DF" w:rsidRDefault="008348DF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98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2217" w:type="dxa"/>
            <w:vAlign w:val="center"/>
          </w:tcPr>
          <w:p w:rsidR="008348DF" w:rsidRDefault="008348DF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1.59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715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009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0.95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799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095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0.83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014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941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079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</w:tr>
      <w:tr w:rsidR="008348DF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924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080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011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8348DF" w:rsidTr="000E3056">
        <w:trPr>
          <w:trHeight w:val="302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217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CVD mortality</w:t>
            </w:r>
          </w:p>
        </w:tc>
        <w:tc>
          <w:tcPr>
            <w:tcW w:w="2217" w:type="dxa"/>
            <w:vAlign w:val="center"/>
          </w:tcPr>
          <w:p w:rsidR="008348DF" w:rsidRDefault="008348DF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3.43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.86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4.16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.169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062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3.76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5.55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357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1.89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163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70,2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3.34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099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054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1.49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274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1.66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0.077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217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  <w:t>Cancer mortality</w:t>
            </w:r>
          </w:p>
        </w:tc>
        <w:tc>
          <w:tcPr>
            <w:tcW w:w="2217" w:type="dxa"/>
            <w:vAlign w:val="center"/>
          </w:tcPr>
          <w:p w:rsidR="008348DF" w:rsidRDefault="008348DF">
            <w:pPr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Survey cycle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211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Dietary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0.61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0.235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2.40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415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3.41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555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566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Model + Cardiometabolic </w:t>
            </w:r>
            <w:r w:rsidR="00196413">
              <w:rPr>
                <w:rFonts w:ascii="Times New Roman" w:hAnsi="Times New Roman" w:cs="Times New Roman"/>
                <w:color w:val="000000" w:themeColor="text1"/>
                <w:sz w:val="22"/>
              </w:rPr>
              <w:t>markers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269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179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Model + eGFR</w:t>
            </w:r>
            <w:r>
              <w:rPr>
                <w:rFonts w:ascii="Times New Roman" w:eastAsia="宋体" w:hAnsi="Times New Roman" w:cs="Times New Roman" w:hint="eastAsia"/>
                <w:color w:val="212121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17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2551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0.71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273</w:t>
            </w:r>
          </w:p>
        </w:tc>
        <w:tc>
          <w:tcPr>
            <w:tcW w:w="2693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1.21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2694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.29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), 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1559" w:type="dxa"/>
            <w:vMerge w:val="restart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0.179</w:t>
            </w: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vAlign w:val="center"/>
          </w:tcPr>
          <w:p w:rsidR="008348DF" w:rsidRDefault="00DA210B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eastAsia="宋体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  <w:t>-value</w:t>
            </w:r>
          </w:p>
        </w:tc>
        <w:tc>
          <w:tcPr>
            <w:tcW w:w="2217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348DF" w:rsidRDefault="008348DF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8348DF" w:rsidTr="000E3056">
        <w:trPr>
          <w:trHeight w:val="310"/>
          <w:jc w:val="center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212121"/>
                <w:kern w:val="0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8DF" w:rsidRDefault="008348DF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</w:tbl>
    <w:p w:rsidR="008348DF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models were adjusted for age, gender, race/ethnicity, education level, PIR, BMI, energy, smoking status, alcohol consumption, hypertension, diabetes.</w:t>
      </w:r>
    </w:p>
    <w:p w:rsidR="008348DF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Cox proportional hazards models were used to estimate the hazard ratios (HRs) and 95% confidence intervals (CIs) of mortality according to </w:t>
      </w:r>
      <w:r w:rsidR="00A40D0A">
        <w:rPr>
          <w:rFonts w:ascii="Times New Roman" w:hAnsi="Times New Roman" w:cs="Times New Roman" w:hint="eastAsia"/>
          <w:sz w:val="24"/>
          <w:szCs w:val="24"/>
        </w:rPr>
        <w:t>dietary magnesium intake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8348DF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survey cycle.</w:t>
      </w:r>
    </w:p>
    <w:p w:rsidR="008348DF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intake of total folate (in quartiles), fiber (in quartiles), sodium (in quartiles), potassium (in quartil</w:t>
      </w:r>
      <w:r w:rsidR="000922AB">
        <w:rPr>
          <w:rFonts w:ascii="Times New Roman" w:hAnsi="Times New Roman" w:cs="Times New Roman" w:hint="eastAsia"/>
          <w:sz w:val="24"/>
          <w:szCs w:val="24"/>
        </w:rPr>
        <w:t>es), calcium (in quartiles) and</w:t>
      </w:r>
      <w:r>
        <w:rPr>
          <w:rFonts w:ascii="Times New Roman" w:hAnsi="Times New Roman" w:cs="Times New Roman" w:hint="eastAsia"/>
          <w:sz w:val="24"/>
          <w:szCs w:val="24"/>
        </w:rPr>
        <w:t xml:space="preserve"> phosphorus (in quartiles).</w:t>
      </w:r>
    </w:p>
    <w:p w:rsidR="008348DF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adjusted for total cholesterol, HDL, g</w:t>
      </w:r>
      <w:r w:rsidR="00AA10F3">
        <w:rPr>
          <w:rFonts w:ascii="Times New Roman" w:hAnsi="Times New Roman" w:cs="Times New Roman" w:hint="eastAsia"/>
          <w:sz w:val="24"/>
          <w:szCs w:val="24"/>
        </w:rPr>
        <w:t xml:space="preserve">lucose and triglycerides, and </w:t>
      </w:r>
      <w:r w:rsidR="00AA10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subjects were lost due to missing related data.</w:t>
      </w:r>
    </w:p>
    <w:p w:rsidR="00AA10F3" w:rsidRDefault="00DA210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Further adjus</w:t>
      </w:r>
      <w:r w:rsidR="001A2A3D">
        <w:rPr>
          <w:rFonts w:ascii="Times New Roman" w:hAnsi="Times New Roman" w:cs="Times New Roman" w:hint="eastAsia"/>
          <w:sz w:val="24"/>
          <w:szCs w:val="24"/>
        </w:rPr>
        <w:t>ted for eGFR calculated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the improved modification of diet in renal disease (MDRD) formula</w:t>
      </w:r>
      <w:r w:rsidR="00AA10F3">
        <w:rPr>
          <w:rFonts w:ascii="Times New Roman" w:hAnsi="Times New Roman" w:cs="Times New Roman"/>
          <w:sz w:val="24"/>
          <w:szCs w:val="24"/>
        </w:rPr>
        <w:t>.</w:t>
      </w:r>
    </w:p>
    <w:p w:rsidR="008348DF" w:rsidRDefault="00DA210B">
      <w:pPr>
        <w:jc w:val="left"/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="0043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 for trend was tested according to the statistical significance of the median value for category variables.</w:t>
      </w:r>
    </w:p>
    <w:sectPr w:rsidR="008348DF">
      <w:pgSz w:w="16839" w:h="23814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1D1" w:rsidRDefault="002F11D1"/>
  </w:endnote>
  <w:endnote w:type="continuationSeparator" w:id="0">
    <w:p w:rsidR="002F11D1" w:rsidRDefault="002F11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1D1" w:rsidRDefault="002F11D1"/>
  </w:footnote>
  <w:footnote w:type="continuationSeparator" w:id="0">
    <w:p w:rsidR="002F11D1" w:rsidRDefault="002F11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hMDlkMjg4YTNhMGFjMjYzOWYzYTY2ZmZhMjEyNWMifQ=="/>
  </w:docVars>
  <w:rsids>
    <w:rsidRoot w:val="004706BF"/>
    <w:rsid w:val="00004FF4"/>
    <w:rsid w:val="00030069"/>
    <w:rsid w:val="00040631"/>
    <w:rsid w:val="000922AB"/>
    <w:rsid w:val="000C3398"/>
    <w:rsid w:val="000E3056"/>
    <w:rsid w:val="0011288C"/>
    <w:rsid w:val="00127B02"/>
    <w:rsid w:val="0017495E"/>
    <w:rsid w:val="00196413"/>
    <w:rsid w:val="001A2A3D"/>
    <w:rsid w:val="00203DDB"/>
    <w:rsid w:val="00221082"/>
    <w:rsid w:val="0022380A"/>
    <w:rsid w:val="002253BD"/>
    <w:rsid w:val="00250248"/>
    <w:rsid w:val="002741A6"/>
    <w:rsid w:val="00291F2E"/>
    <w:rsid w:val="002B51F2"/>
    <w:rsid w:val="002C18C2"/>
    <w:rsid w:val="002E65CA"/>
    <w:rsid w:val="002F11D1"/>
    <w:rsid w:val="003033FA"/>
    <w:rsid w:val="003147DA"/>
    <w:rsid w:val="00324D85"/>
    <w:rsid w:val="00355F56"/>
    <w:rsid w:val="003F7AFD"/>
    <w:rsid w:val="00421726"/>
    <w:rsid w:val="004341C7"/>
    <w:rsid w:val="00467581"/>
    <w:rsid w:val="004706BF"/>
    <w:rsid w:val="004708D1"/>
    <w:rsid w:val="004814A0"/>
    <w:rsid w:val="004876F4"/>
    <w:rsid w:val="004A5229"/>
    <w:rsid w:val="004B579F"/>
    <w:rsid w:val="004C7D0B"/>
    <w:rsid w:val="004F75C4"/>
    <w:rsid w:val="005065C5"/>
    <w:rsid w:val="00524A09"/>
    <w:rsid w:val="00536C86"/>
    <w:rsid w:val="00537D2C"/>
    <w:rsid w:val="00550F2E"/>
    <w:rsid w:val="00551F79"/>
    <w:rsid w:val="005679DE"/>
    <w:rsid w:val="00597CB1"/>
    <w:rsid w:val="005C108B"/>
    <w:rsid w:val="005C261B"/>
    <w:rsid w:val="005C2E28"/>
    <w:rsid w:val="005E5932"/>
    <w:rsid w:val="0060080E"/>
    <w:rsid w:val="0060120A"/>
    <w:rsid w:val="00642487"/>
    <w:rsid w:val="0064657D"/>
    <w:rsid w:val="00657F6B"/>
    <w:rsid w:val="00683D68"/>
    <w:rsid w:val="006A4FBE"/>
    <w:rsid w:val="006C259D"/>
    <w:rsid w:val="00722B5D"/>
    <w:rsid w:val="007747E4"/>
    <w:rsid w:val="007A6E93"/>
    <w:rsid w:val="007D02F6"/>
    <w:rsid w:val="007E5F70"/>
    <w:rsid w:val="008348DF"/>
    <w:rsid w:val="008878D1"/>
    <w:rsid w:val="008A7970"/>
    <w:rsid w:val="008E6E37"/>
    <w:rsid w:val="009550AD"/>
    <w:rsid w:val="00970B9A"/>
    <w:rsid w:val="009C445D"/>
    <w:rsid w:val="00A40D0A"/>
    <w:rsid w:val="00A940B4"/>
    <w:rsid w:val="00AA10F3"/>
    <w:rsid w:val="00AA7F6A"/>
    <w:rsid w:val="00AF0CA9"/>
    <w:rsid w:val="00AF1CCC"/>
    <w:rsid w:val="00B00CD0"/>
    <w:rsid w:val="00B143A9"/>
    <w:rsid w:val="00B6402D"/>
    <w:rsid w:val="00B94FD4"/>
    <w:rsid w:val="00BA56F0"/>
    <w:rsid w:val="00BA7DA6"/>
    <w:rsid w:val="00BE0F8E"/>
    <w:rsid w:val="00BF3FBB"/>
    <w:rsid w:val="00C12DE6"/>
    <w:rsid w:val="00CA691C"/>
    <w:rsid w:val="00CE29F4"/>
    <w:rsid w:val="00D41F3A"/>
    <w:rsid w:val="00D542D0"/>
    <w:rsid w:val="00D67087"/>
    <w:rsid w:val="00D903D4"/>
    <w:rsid w:val="00DA210B"/>
    <w:rsid w:val="00DB1CCA"/>
    <w:rsid w:val="00DB3B6C"/>
    <w:rsid w:val="00E11369"/>
    <w:rsid w:val="00E11F0F"/>
    <w:rsid w:val="00E419BB"/>
    <w:rsid w:val="00E41FD0"/>
    <w:rsid w:val="00E672E4"/>
    <w:rsid w:val="00EC623C"/>
    <w:rsid w:val="00F91BD9"/>
    <w:rsid w:val="00F94580"/>
    <w:rsid w:val="00FA7A54"/>
    <w:rsid w:val="079E79DA"/>
    <w:rsid w:val="10264A11"/>
    <w:rsid w:val="10AF2322"/>
    <w:rsid w:val="13DC0680"/>
    <w:rsid w:val="1A7829BA"/>
    <w:rsid w:val="25CE3392"/>
    <w:rsid w:val="30A717CC"/>
    <w:rsid w:val="37C63EE1"/>
    <w:rsid w:val="3BDE5F39"/>
    <w:rsid w:val="42860CB0"/>
    <w:rsid w:val="51025EB1"/>
    <w:rsid w:val="55524E5B"/>
    <w:rsid w:val="574865E8"/>
    <w:rsid w:val="660202AA"/>
    <w:rsid w:val="6A0740E0"/>
    <w:rsid w:val="6E2373C5"/>
    <w:rsid w:val="70F458D5"/>
    <w:rsid w:val="76CF5F86"/>
    <w:rsid w:val="7A16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5F9D61-E805-46B3-B1B8-A8FC8A5E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212121"/>
      <w:sz w:val="16"/>
      <w:szCs w:val="16"/>
      <w:u w:val="none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212121"/>
      <w:sz w:val="16"/>
      <w:szCs w:val="16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3173</Words>
  <Characters>18091</Characters>
  <Application>Microsoft Office Word</Application>
  <DocSecurity>0</DocSecurity>
  <Lines>150</Lines>
  <Paragraphs>42</Paragraphs>
  <ScaleCrop>false</ScaleCrop>
  <Company/>
  <LinksUpToDate>false</LinksUpToDate>
  <CharactersWithSpaces>21222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陆宣霓</dc:creator>
  <cp:lastModifiedBy>陆宣霓</cp:lastModifiedBy>
  <cp:revision>25</cp:revision>
  <dcterms:created xsi:type="dcterms:W3CDTF">2024-03-14T10:58:00Z</dcterms:created>
  <dcterms:modified xsi:type="dcterms:W3CDTF">2024-03-31T03:37:00Z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6B2364BA066145B19A0C3D82F41A0074_13</vt:lpwstr>
  </property>
</Properties>
</file>