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7AAC5" w14:textId="119B3872" w:rsidR="001D407C" w:rsidRPr="009D0F0E" w:rsidRDefault="007D2156" w:rsidP="007D2156">
      <w:pPr>
        <w:jc w:val="center"/>
        <w:rPr>
          <w:color w:val="000000" w:themeColor="text1"/>
          <w:sz w:val="28"/>
          <w:szCs w:val="28"/>
          <w:lang w:val="en-US"/>
        </w:rPr>
      </w:pPr>
      <w:r w:rsidRPr="009D0F0E">
        <w:rPr>
          <w:color w:val="000000" w:themeColor="text1"/>
          <w:sz w:val="28"/>
          <w:szCs w:val="28"/>
          <w:lang w:val="en-US"/>
        </w:rPr>
        <w:t>Supporting information for</w:t>
      </w:r>
    </w:p>
    <w:p w14:paraId="0F420949" w14:textId="77777777" w:rsidR="00DF3EDA" w:rsidRPr="004B3B88" w:rsidRDefault="00DF3EDA" w:rsidP="007D2156">
      <w:pPr>
        <w:jc w:val="center"/>
        <w:rPr>
          <w:color w:val="000000" w:themeColor="text1"/>
          <w:lang w:val="en-US"/>
        </w:rPr>
      </w:pPr>
    </w:p>
    <w:p w14:paraId="599E952E" w14:textId="77777777" w:rsidR="005527AF" w:rsidRPr="00885958" w:rsidRDefault="005527AF" w:rsidP="00885958">
      <w:pPr>
        <w:pStyle w:val="Heading1"/>
        <w:spacing w:line="360" w:lineRule="auto"/>
        <w:jc w:val="center"/>
        <w:rPr>
          <w:rFonts w:asciiTheme="minorHAnsi" w:hAnsiTheme="minorHAnsi" w:cstheme="minorHAnsi"/>
          <w:b/>
          <w:bCs/>
          <w:color w:val="000000" w:themeColor="text1"/>
        </w:rPr>
      </w:pPr>
      <w:r w:rsidRPr="00885958">
        <w:rPr>
          <w:rFonts w:asciiTheme="minorHAnsi" w:hAnsiTheme="minorHAnsi" w:cstheme="minorHAnsi"/>
          <w:b/>
          <w:bCs/>
          <w:color w:val="000000" w:themeColor="text1"/>
        </w:rPr>
        <w:t xml:space="preserve">Degradability and remineralization of peat-derived terrestrial dissolved organic carbon in the </w:t>
      </w:r>
      <w:proofErr w:type="spellStart"/>
      <w:r w:rsidRPr="00885958">
        <w:rPr>
          <w:rFonts w:asciiTheme="minorHAnsi" w:hAnsiTheme="minorHAnsi" w:cstheme="minorHAnsi"/>
          <w:b/>
          <w:bCs/>
          <w:color w:val="000000" w:themeColor="text1"/>
        </w:rPr>
        <w:t>Sunda</w:t>
      </w:r>
      <w:proofErr w:type="spellEnd"/>
      <w:r w:rsidRPr="00885958">
        <w:rPr>
          <w:rFonts w:asciiTheme="minorHAnsi" w:hAnsiTheme="minorHAnsi" w:cstheme="minorHAnsi"/>
          <w:b/>
          <w:bCs/>
          <w:color w:val="000000" w:themeColor="text1"/>
        </w:rPr>
        <w:t xml:space="preserve"> Shelf Sea</w:t>
      </w:r>
    </w:p>
    <w:p w14:paraId="447194AD" w14:textId="77777777" w:rsidR="007D2156" w:rsidRPr="003E3D89" w:rsidRDefault="007D2156" w:rsidP="007D2156">
      <w:pPr>
        <w:rPr>
          <w:rFonts w:cstheme="minorHAnsi"/>
          <w:color w:val="000000" w:themeColor="text1"/>
          <w:lang w:val="en-US"/>
        </w:rPr>
      </w:pPr>
    </w:p>
    <w:p w14:paraId="5F222290" w14:textId="77777777" w:rsidR="00A07913" w:rsidRPr="00A92D94" w:rsidRDefault="00A07913" w:rsidP="00A07913">
      <w:pPr>
        <w:rPr>
          <w:b/>
          <w:bCs/>
          <w:vertAlign w:val="superscript"/>
        </w:rPr>
      </w:pPr>
      <w:r w:rsidRPr="00A92D94">
        <w:rPr>
          <w:b/>
          <w:bCs/>
        </w:rPr>
        <w:t>Yuan Chen</w:t>
      </w:r>
      <w:r w:rsidRPr="00A92D94">
        <w:rPr>
          <w:b/>
          <w:bCs/>
          <w:vertAlign w:val="superscript"/>
        </w:rPr>
        <w:t>1,*</w:t>
      </w:r>
      <w:r w:rsidRPr="00A92D94">
        <w:rPr>
          <w:b/>
          <w:bCs/>
        </w:rPr>
        <w:t xml:space="preserve">, </w:t>
      </w:r>
      <w:r w:rsidRPr="00A92D94">
        <w:rPr>
          <w:b/>
          <w:bCs/>
          <w:lang w:val="en-GB"/>
        </w:rPr>
        <w:t>Moritz Müller</w:t>
      </w:r>
      <w:r>
        <w:rPr>
          <w:b/>
          <w:bCs/>
          <w:vertAlign w:val="superscript"/>
          <w:lang w:val="en-GB"/>
        </w:rPr>
        <w:t>2</w:t>
      </w:r>
      <w:r w:rsidRPr="00A92D94">
        <w:rPr>
          <w:b/>
          <w:bCs/>
        </w:rPr>
        <w:t xml:space="preserve">, </w:t>
      </w:r>
      <w:r w:rsidRPr="00A92D94">
        <w:rPr>
          <w:b/>
          <w:bCs/>
          <w:lang w:val="en-GB"/>
        </w:rPr>
        <w:t>Alexander R</w:t>
      </w:r>
      <w:r>
        <w:rPr>
          <w:b/>
          <w:bCs/>
          <w:lang w:val="en-GB"/>
        </w:rPr>
        <w:t>.</w:t>
      </w:r>
      <w:r w:rsidRPr="00A92D94">
        <w:rPr>
          <w:b/>
          <w:bCs/>
          <w:lang w:val="en-GB"/>
        </w:rPr>
        <w:t xml:space="preserve"> Cobb</w:t>
      </w:r>
      <w:r>
        <w:rPr>
          <w:b/>
          <w:bCs/>
          <w:vertAlign w:val="superscript"/>
        </w:rPr>
        <w:t>3</w:t>
      </w:r>
      <w:r w:rsidRPr="00A92D94">
        <w:rPr>
          <w:b/>
          <w:bCs/>
        </w:rPr>
        <w:t xml:space="preserve">, </w:t>
      </w:r>
      <w:proofErr w:type="spellStart"/>
      <w:r w:rsidRPr="00A92D94">
        <w:rPr>
          <w:b/>
          <w:bCs/>
        </w:rPr>
        <w:t>Rahayu</w:t>
      </w:r>
      <w:proofErr w:type="spellEnd"/>
      <w:r w:rsidRPr="00A92D94">
        <w:rPr>
          <w:b/>
          <w:bCs/>
        </w:rPr>
        <w:t xml:space="preserve"> </w:t>
      </w:r>
      <w:proofErr w:type="spellStart"/>
      <w:r w:rsidRPr="00A92D94">
        <w:rPr>
          <w:b/>
          <w:bCs/>
        </w:rPr>
        <w:t>Sukmaria</w:t>
      </w:r>
      <w:proofErr w:type="spellEnd"/>
      <w:r w:rsidRPr="00A92D94">
        <w:rPr>
          <w:b/>
          <w:bCs/>
        </w:rPr>
        <w:t> Sukri</w:t>
      </w:r>
      <w:r>
        <w:rPr>
          <w:b/>
          <w:bCs/>
          <w:vertAlign w:val="superscript"/>
        </w:rPr>
        <w:t>4</w:t>
      </w:r>
      <w:r w:rsidRPr="00A92D94">
        <w:rPr>
          <w:b/>
          <w:bCs/>
        </w:rPr>
        <w:t>,</w:t>
      </w:r>
      <w:r>
        <w:rPr>
          <w:b/>
          <w:bCs/>
        </w:rPr>
        <w:t xml:space="preserve"> </w:t>
      </w:r>
      <w:r w:rsidRPr="00A92D94">
        <w:rPr>
          <w:b/>
          <w:bCs/>
        </w:rPr>
        <w:t>Jens Zinke</w:t>
      </w:r>
      <w:r>
        <w:rPr>
          <w:b/>
          <w:bCs/>
          <w:vertAlign w:val="superscript"/>
        </w:rPr>
        <w:t>5</w:t>
      </w:r>
      <w:r w:rsidRPr="00A92D94">
        <w:rPr>
          <w:b/>
          <w:bCs/>
        </w:rPr>
        <w:t xml:space="preserve">, </w:t>
      </w:r>
      <w:r w:rsidRPr="00CA6BDA">
        <w:rPr>
          <w:b/>
          <w:bCs/>
        </w:rPr>
        <w:t>R</w:t>
      </w:r>
      <w:r>
        <w:rPr>
          <w:b/>
          <w:bCs/>
        </w:rPr>
        <w:t>.</w:t>
      </w:r>
      <w:r w:rsidRPr="00CA6BDA">
        <w:rPr>
          <w:b/>
          <w:bCs/>
        </w:rPr>
        <w:t xml:space="preserve"> Nagarajan</w:t>
      </w:r>
      <w:r>
        <w:rPr>
          <w:b/>
          <w:bCs/>
          <w:vertAlign w:val="superscript"/>
        </w:rPr>
        <w:t>6</w:t>
      </w:r>
      <w:r>
        <w:rPr>
          <w:b/>
          <w:bCs/>
        </w:rPr>
        <w:t xml:space="preserve">, </w:t>
      </w:r>
      <w:r w:rsidRPr="00DF126D">
        <w:rPr>
          <w:b/>
          <w:bCs/>
        </w:rPr>
        <w:t>R</w:t>
      </w:r>
      <w:r>
        <w:rPr>
          <w:b/>
          <w:bCs/>
        </w:rPr>
        <w:t xml:space="preserve">. </w:t>
      </w:r>
      <w:r w:rsidRPr="00DF126D">
        <w:rPr>
          <w:b/>
          <w:bCs/>
        </w:rPr>
        <w:t>Sharveen</w:t>
      </w:r>
      <w:r>
        <w:rPr>
          <w:b/>
          <w:bCs/>
          <w:vertAlign w:val="superscript"/>
        </w:rPr>
        <w:t>6</w:t>
      </w:r>
      <w:r>
        <w:rPr>
          <w:b/>
          <w:bCs/>
        </w:rPr>
        <w:t xml:space="preserve">, </w:t>
      </w:r>
      <w:proofErr w:type="spellStart"/>
      <w:r w:rsidRPr="00DF126D">
        <w:rPr>
          <w:b/>
          <w:bCs/>
        </w:rPr>
        <w:t>Abdulmajid</w:t>
      </w:r>
      <w:proofErr w:type="spellEnd"/>
      <w:r w:rsidRPr="00DF126D">
        <w:rPr>
          <w:b/>
          <w:bCs/>
        </w:rPr>
        <w:t xml:space="preserve"> Muhammad Ali</w:t>
      </w:r>
      <w:r>
        <w:rPr>
          <w:b/>
          <w:bCs/>
          <w:vertAlign w:val="superscript"/>
        </w:rPr>
        <w:t>6</w:t>
      </w:r>
      <w:r>
        <w:rPr>
          <w:b/>
          <w:bCs/>
        </w:rPr>
        <w:t>, Patrick Martin</w:t>
      </w:r>
      <w:proofErr w:type="gramStart"/>
      <w:r>
        <w:rPr>
          <w:b/>
          <w:bCs/>
          <w:vertAlign w:val="superscript"/>
        </w:rPr>
        <w:t>1,*</w:t>
      </w:r>
      <w:proofErr w:type="gramEnd"/>
    </w:p>
    <w:p w14:paraId="3B94CDFF" w14:textId="77777777" w:rsidR="00A07913" w:rsidRPr="00B132C5" w:rsidRDefault="00A07913" w:rsidP="00A07913">
      <w:r>
        <w:rPr>
          <w:vertAlign w:val="superscript"/>
        </w:rPr>
        <w:t>1</w:t>
      </w:r>
      <w:r w:rsidRPr="00B132C5">
        <w:t>Asian School of the Environment, Nanyang Technological University, Singapore</w:t>
      </w:r>
    </w:p>
    <w:p w14:paraId="56AF87C0" w14:textId="2B7118DB" w:rsidR="00A07913" w:rsidRPr="007B7BEB" w:rsidRDefault="00A07913" w:rsidP="00A07913">
      <w:r>
        <w:rPr>
          <w:vertAlign w:val="superscript"/>
        </w:rPr>
        <w:t>2</w:t>
      </w:r>
      <w:r w:rsidR="00B42FDC" w:rsidRPr="00B42FDC">
        <w:t>Faculty of Engineering, Computing and Science, Swinburne University of Technology Sarawak Campus, Kuching, Malaysia</w:t>
      </w:r>
    </w:p>
    <w:p w14:paraId="26F7C1F8" w14:textId="77777777" w:rsidR="00A07913" w:rsidRPr="005F2379" w:rsidRDefault="00A07913" w:rsidP="00A07913">
      <w:r>
        <w:rPr>
          <w:vertAlign w:val="superscript"/>
        </w:rPr>
        <w:t>3</w:t>
      </w:r>
      <w:r w:rsidRPr="00B132C5">
        <w:t>Center for Environmental Sensing and Modelling, Singapore-MIT Alliance for Research and Technology, Singapore</w:t>
      </w:r>
    </w:p>
    <w:p w14:paraId="09D90C2E" w14:textId="77777777" w:rsidR="00A07913" w:rsidRDefault="00A07913" w:rsidP="00A07913">
      <w:r>
        <w:rPr>
          <w:vertAlign w:val="superscript"/>
        </w:rPr>
        <w:t>4</w:t>
      </w:r>
      <w:r w:rsidRPr="00A07913">
        <w:rPr>
          <w:rFonts w:cstheme="minorHAnsi"/>
        </w:rPr>
        <w:t>In</w:t>
      </w:r>
      <w:r w:rsidRPr="00A07913">
        <w:t xml:space="preserve">stitute for Biodiversity and Environmental Research, </w:t>
      </w:r>
      <w:proofErr w:type="spellStart"/>
      <w:r w:rsidRPr="00A07913">
        <w:t>Universiti</w:t>
      </w:r>
      <w:proofErr w:type="spellEnd"/>
      <w:r w:rsidRPr="00A07913">
        <w:t xml:space="preserve"> Brunei Darussalam, Brunei Darussalam </w:t>
      </w:r>
    </w:p>
    <w:p w14:paraId="66B50651" w14:textId="77777777" w:rsidR="00A07913" w:rsidRDefault="00A07913" w:rsidP="00A07913">
      <w:r>
        <w:rPr>
          <w:vertAlign w:val="superscript"/>
        </w:rPr>
        <w:t>5</w:t>
      </w:r>
      <w:r w:rsidRPr="005F2379">
        <w:t xml:space="preserve">School of Geography, Geology and the Environment, </w:t>
      </w:r>
      <w:r w:rsidRPr="00AB2FB9">
        <w:t>Centre for Palaeobiology and Biosphere Evolution</w:t>
      </w:r>
      <w:r>
        <w:t>,</w:t>
      </w:r>
      <w:r w:rsidRPr="00AB2FB9">
        <w:t xml:space="preserve"> </w:t>
      </w:r>
      <w:r w:rsidRPr="005F2379">
        <w:t>University of Leicester, United Kingdom</w:t>
      </w:r>
    </w:p>
    <w:p w14:paraId="49C047D0" w14:textId="77777777" w:rsidR="00A07913" w:rsidRDefault="00A07913" w:rsidP="00A07913">
      <w:r>
        <w:rPr>
          <w:vertAlign w:val="superscript"/>
        </w:rPr>
        <w:t>6</w:t>
      </w:r>
      <w:r w:rsidRPr="00CA6BDA">
        <w:t>Department of Applied Sciences</w:t>
      </w:r>
      <w:r>
        <w:t xml:space="preserve"> </w:t>
      </w:r>
      <w:r w:rsidRPr="00DF126D">
        <w:t>(Applied Geology)</w:t>
      </w:r>
      <w:r w:rsidRPr="00CA6BDA">
        <w:t>, Faculty of Engineering and Science, Curtin University</w:t>
      </w:r>
      <w:r>
        <w:t>,</w:t>
      </w:r>
      <w:r w:rsidRPr="00CA6BDA">
        <w:t xml:space="preserve"> Malaysia</w:t>
      </w:r>
    </w:p>
    <w:p w14:paraId="1F46D136" w14:textId="77777777" w:rsidR="00677554" w:rsidRPr="003E3D89" w:rsidRDefault="00677554" w:rsidP="00677554">
      <w:pPr>
        <w:rPr>
          <w:rFonts w:cstheme="minorHAnsi"/>
        </w:rPr>
      </w:pPr>
    </w:p>
    <w:p w14:paraId="7AD4CE7E" w14:textId="77777777" w:rsidR="00677554" w:rsidRPr="003E3D89" w:rsidRDefault="00677554" w:rsidP="00677554">
      <w:pPr>
        <w:pStyle w:val="Affiliation"/>
        <w:jc w:val="both"/>
        <w:rPr>
          <w:rFonts w:asciiTheme="minorHAnsi" w:hAnsiTheme="minorHAnsi" w:cstheme="minorHAnsi"/>
        </w:rPr>
      </w:pPr>
      <w:r w:rsidRPr="003E3D89">
        <w:rPr>
          <w:rFonts w:asciiTheme="minorHAnsi" w:hAnsiTheme="minorHAnsi" w:cstheme="minorHAnsi"/>
          <w:vertAlign w:val="superscript"/>
        </w:rPr>
        <w:t>*</w:t>
      </w:r>
      <w:r w:rsidRPr="003E3D89">
        <w:rPr>
          <w:rFonts w:asciiTheme="minorHAnsi" w:hAnsiTheme="minorHAnsi" w:cstheme="minorHAnsi"/>
        </w:rPr>
        <w:t xml:space="preserve">Corresponding author: </w:t>
      </w:r>
    </w:p>
    <w:p w14:paraId="5102BBB9" w14:textId="77777777" w:rsidR="00677554" w:rsidRPr="003E3D89" w:rsidRDefault="00677554" w:rsidP="00677554">
      <w:pPr>
        <w:pStyle w:val="Affiliation"/>
        <w:jc w:val="both"/>
        <w:rPr>
          <w:rFonts w:asciiTheme="minorHAnsi" w:hAnsiTheme="minorHAnsi" w:cstheme="minorHAnsi"/>
        </w:rPr>
      </w:pPr>
      <w:r w:rsidRPr="003E3D89">
        <w:rPr>
          <w:rFonts w:asciiTheme="minorHAnsi" w:hAnsiTheme="minorHAnsi" w:cstheme="minorHAnsi"/>
        </w:rPr>
        <w:t>Yuan Chen (</w:t>
      </w:r>
      <w:hyperlink r:id="rId6" w:history="1">
        <w:r w:rsidRPr="003E3D89">
          <w:rPr>
            <w:rStyle w:val="Hyperlink"/>
            <w:rFonts w:asciiTheme="minorHAnsi" w:hAnsiTheme="minorHAnsi" w:cstheme="minorHAnsi"/>
          </w:rPr>
          <w:t>yuan006@e.ntu.edu.sg)</w:t>
        </w:r>
      </w:hyperlink>
      <w:r w:rsidRPr="003E3D89">
        <w:rPr>
          <w:rFonts w:asciiTheme="minorHAnsi" w:hAnsiTheme="minorHAnsi" w:cstheme="minorHAnsi"/>
        </w:rPr>
        <w:t xml:space="preserve"> and Patrick Martin (</w:t>
      </w:r>
      <w:hyperlink r:id="rId7" w:history="1">
        <w:r w:rsidRPr="003E3D89">
          <w:rPr>
            <w:rStyle w:val="Hyperlink"/>
            <w:rFonts w:asciiTheme="minorHAnsi" w:hAnsiTheme="minorHAnsi" w:cstheme="minorHAnsi"/>
          </w:rPr>
          <w:t>pmartin@ntu.edu.sg)</w:t>
        </w:r>
      </w:hyperlink>
    </w:p>
    <w:p w14:paraId="3D8DEE0C" w14:textId="77777777" w:rsidR="007D2156" w:rsidRPr="003E3D89" w:rsidRDefault="007D2156" w:rsidP="007D2156">
      <w:pPr>
        <w:rPr>
          <w:rFonts w:cstheme="minorHAnsi"/>
          <w:color w:val="000000" w:themeColor="text1"/>
          <w:lang w:val="en-US"/>
        </w:rPr>
      </w:pPr>
    </w:p>
    <w:p w14:paraId="7D32C2C0" w14:textId="77777777" w:rsidR="006C6015" w:rsidRPr="004B3B88" w:rsidRDefault="006C6015" w:rsidP="007D2156">
      <w:pPr>
        <w:rPr>
          <w:color w:val="000000" w:themeColor="text1"/>
          <w:lang w:val="en-US"/>
        </w:rPr>
      </w:pPr>
    </w:p>
    <w:p w14:paraId="30E6E2DB" w14:textId="77777777" w:rsidR="006C6015" w:rsidRPr="004B3B88" w:rsidRDefault="006C6015" w:rsidP="007D2156">
      <w:pPr>
        <w:rPr>
          <w:color w:val="000000" w:themeColor="text1"/>
          <w:lang w:val="en-US"/>
        </w:rPr>
      </w:pPr>
    </w:p>
    <w:p w14:paraId="4D4FE9C2" w14:textId="77777777" w:rsidR="007D2156" w:rsidRPr="004B3B88" w:rsidRDefault="007D2156" w:rsidP="007D2156">
      <w:pPr>
        <w:rPr>
          <w:color w:val="000000" w:themeColor="text1"/>
          <w:lang w:val="en-US"/>
        </w:rPr>
      </w:pPr>
    </w:p>
    <w:p w14:paraId="67C5F296" w14:textId="77777777" w:rsidR="006C6015" w:rsidRPr="004B3B88" w:rsidRDefault="006C6015" w:rsidP="006C6015">
      <w:pPr>
        <w:rPr>
          <w:rFonts w:ascii="Myriad Pro" w:hAnsi="Myriad Pro"/>
          <w:b/>
          <w:color w:val="000000" w:themeColor="text1"/>
        </w:rPr>
      </w:pPr>
      <w:r w:rsidRPr="004B3B88">
        <w:rPr>
          <w:rFonts w:ascii="Myriad Pro" w:hAnsi="Myriad Pro"/>
          <w:b/>
          <w:color w:val="000000" w:themeColor="text1"/>
        </w:rPr>
        <w:t xml:space="preserve">Contents of this file </w:t>
      </w:r>
    </w:p>
    <w:p w14:paraId="2FF84A3F" w14:textId="77777777" w:rsidR="006C6015" w:rsidRPr="004B3B88" w:rsidRDefault="006C6015" w:rsidP="006C6015">
      <w:pPr>
        <w:rPr>
          <w:rFonts w:ascii="Myriad Pro" w:hAnsi="Myriad Pro"/>
          <w:color w:val="000000" w:themeColor="text1"/>
        </w:rPr>
      </w:pPr>
    </w:p>
    <w:p w14:paraId="2C3A84F4" w14:textId="6BED32DF" w:rsidR="00A966FA" w:rsidRPr="004B3B88" w:rsidRDefault="00DA6E66" w:rsidP="00A966FA">
      <w:pPr>
        <w:ind w:left="720"/>
        <w:rPr>
          <w:rFonts w:ascii="Myriad Pro" w:hAnsi="Myriad Pro"/>
          <w:color w:val="000000" w:themeColor="text1"/>
          <w:sz w:val="22"/>
          <w:szCs w:val="22"/>
        </w:rPr>
      </w:pPr>
      <w:r w:rsidRPr="004B3B88">
        <w:rPr>
          <w:rFonts w:ascii="Myriad Pro" w:hAnsi="Myriad Pro"/>
          <w:color w:val="000000" w:themeColor="text1"/>
          <w:sz w:val="22"/>
          <w:szCs w:val="22"/>
        </w:rPr>
        <w:t>Text S1</w:t>
      </w:r>
    </w:p>
    <w:p w14:paraId="6DE9033A" w14:textId="31F4616B" w:rsidR="006C6015" w:rsidRDefault="006C6015" w:rsidP="006C6015">
      <w:pPr>
        <w:ind w:left="720"/>
        <w:rPr>
          <w:rFonts w:ascii="Myriad Pro" w:hAnsi="Myriad Pro"/>
          <w:color w:val="000000" w:themeColor="text1"/>
          <w:sz w:val="22"/>
          <w:szCs w:val="22"/>
        </w:rPr>
      </w:pPr>
      <w:r w:rsidRPr="004B3B88">
        <w:rPr>
          <w:rFonts w:ascii="Myriad Pro" w:hAnsi="Myriad Pro"/>
          <w:color w:val="000000" w:themeColor="text1"/>
          <w:sz w:val="22"/>
          <w:szCs w:val="22"/>
        </w:rPr>
        <w:t>Figures S1 to S</w:t>
      </w:r>
      <w:r w:rsidR="00392F24">
        <w:rPr>
          <w:rFonts w:ascii="Myriad Pro" w:hAnsi="Myriad Pro"/>
          <w:color w:val="000000" w:themeColor="text1"/>
          <w:sz w:val="22"/>
          <w:szCs w:val="22"/>
        </w:rPr>
        <w:t>5</w:t>
      </w:r>
    </w:p>
    <w:p w14:paraId="612CE379" w14:textId="074A0F28" w:rsidR="00A966FA" w:rsidRDefault="00A966FA" w:rsidP="006C6015">
      <w:pPr>
        <w:ind w:left="720"/>
        <w:rPr>
          <w:rFonts w:ascii="Myriad Pro" w:hAnsi="Myriad Pro"/>
          <w:color w:val="000000" w:themeColor="text1"/>
          <w:sz w:val="22"/>
          <w:szCs w:val="22"/>
        </w:rPr>
      </w:pPr>
      <w:r>
        <w:rPr>
          <w:rFonts w:ascii="Myriad Pro" w:hAnsi="Myriad Pro"/>
          <w:color w:val="000000" w:themeColor="text1"/>
          <w:sz w:val="22"/>
          <w:szCs w:val="22"/>
        </w:rPr>
        <w:t>Table S1</w:t>
      </w:r>
    </w:p>
    <w:p w14:paraId="377E671B" w14:textId="77777777" w:rsidR="00A966FA" w:rsidRPr="004B3B88" w:rsidRDefault="00A966FA" w:rsidP="00A966FA">
      <w:pPr>
        <w:rPr>
          <w:rFonts w:ascii="Myriad Pro" w:hAnsi="Myriad Pro"/>
          <w:color w:val="000000" w:themeColor="text1"/>
          <w:sz w:val="22"/>
          <w:szCs w:val="22"/>
        </w:rPr>
      </w:pPr>
    </w:p>
    <w:p w14:paraId="361928D7" w14:textId="77777777" w:rsidR="006C6015" w:rsidRPr="004B3B88" w:rsidRDefault="006C6015" w:rsidP="006C6015">
      <w:pPr>
        <w:spacing w:before="100" w:beforeAutospacing="1" w:after="100" w:afterAutospacing="1"/>
        <w:rPr>
          <w:rFonts w:ascii="Myriad Pro" w:hAnsi="Myriad Pro"/>
          <w:b/>
          <w:bCs/>
          <w:color w:val="000000" w:themeColor="text1"/>
        </w:rPr>
      </w:pPr>
    </w:p>
    <w:p w14:paraId="3A4FD6EB" w14:textId="77777777" w:rsidR="007D2156" w:rsidRPr="004B3B88" w:rsidRDefault="007D2156" w:rsidP="007D2156">
      <w:pPr>
        <w:rPr>
          <w:color w:val="000000" w:themeColor="text1"/>
        </w:rPr>
      </w:pPr>
    </w:p>
    <w:p w14:paraId="035EE98A" w14:textId="77777777" w:rsidR="007D2156" w:rsidRPr="004B3B88" w:rsidRDefault="007D2156" w:rsidP="007D2156">
      <w:pPr>
        <w:rPr>
          <w:color w:val="000000" w:themeColor="text1"/>
          <w:lang w:val="en-US"/>
        </w:rPr>
      </w:pPr>
    </w:p>
    <w:p w14:paraId="702EBA8B" w14:textId="77777777" w:rsidR="006C6015" w:rsidRPr="004B3B88" w:rsidRDefault="006C6015" w:rsidP="007D2156">
      <w:pPr>
        <w:rPr>
          <w:color w:val="000000" w:themeColor="text1"/>
          <w:lang w:val="en-US"/>
        </w:rPr>
      </w:pPr>
    </w:p>
    <w:p w14:paraId="5176860A" w14:textId="77777777" w:rsidR="006C6015" w:rsidRPr="004B3B88" w:rsidRDefault="006C6015" w:rsidP="007D2156">
      <w:pPr>
        <w:rPr>
          <w:color w:val="000000" w:themeColor="text1"/>
          <w:lang w:val="en-US"/>
        </w:rPr>
      </w:pPr>
    </w:p>
    <w:p w14:paraId="052EB49A" w14:textId="77777777" w:rsidR="006C6015" w:rsidRPr="004B3B88" w:rsidRDefault="006C6015" w:rsidP="007D2156">
      <w:pPr>
        <w:rPr>
          <w:color w:val="000000" w:themeColor="text1"/>
          <w:lang w:val="en-US"/>
        </w:rPr>
      </w:pPr>
    </w:p>
    <w:p w14:paraId="1FA5BADD" w14:textId="77777777" w:rsidR="006C6015" w:rsidRPr="004B3B88" w:rsidRDefault="006C6015" w:rsidP="007D2156">
      <w:pPr>
        <w:rPr>
          <w:color w:val="000000" w:themeColor="text1"/>
          <w:lang w:val="en-US"/>
        </w:rPr>
      </w:pPr>
    </w:p>
    <w:p w14:paraId="45E08C7D" w14:textId="77777777" w:rsidR="006C6015" w:rsidRPr="004B3B88" w:rsidRDefault="006C6015" w:rsidP="007D2156">
      <w:pPr>
        <w:rPr>
          <w:color w:val="000000" w:themeColor="text1"/>
          <w:lang w:val="en-US"/>
        </w:rPr>
      </w:pPr>
    </w:p>
    <w:p w14:paraId="3E06F98B" w14:textId="77777777" w:rsidR="006C6015" w:rsidRPr="004B3B88" w:rsidRDefault="006C6015" w:rsidP="007D2156">
      <w:pPr>
        <w:rPr>
          <w:color w:val="000000" w:themeColor="text1"/>
          <w:lang w:val="en-US"/>
        </w:rPr>
      </w:pPr>
    </w:p>
    <w:p w14:paraId="1672AC2D" w14:textId="77777777" w:rsidR="006C6015" w:rsidRPr="004B3B88" w:rsidRDefault="006C6015" w:rsidP="007D2156">
      <w:pPr>
        <w:rPr>
          <w:color w:val="000000" w:themeColor="text1"/>
          <w:lang w:val="en-US"/>
        </w:rPr>
      </w:pPr>
    </w:p>
    <w:p w14:paraId="46EC6CD1" w14:textId="71CED9A8" w:rsidR="008F3535" w:rsidRPr="004B3B88" w:rsidRDefault="00DA6E66" w:rsidP="008A1DA2">
      <w:pPr>
        <w:spacing w:line="480" w:lineRule="auto"/>
        <w:rPr>
          <w:color w:val="000000" w:themeColor="text1"/>
          <w:sz w:val="28"/>
          <w:szCs w:val="28"/>
          <w:lang w:val="en-US"/>
        </w:rPr>
      </w:pPr>
      <w:r w:rsidRPr="004B3B88">
        <w:rPr>
          <w:color w:val="000000" w:themeColor="text1"/>
          <w:sz w:val="28"/>
          <w:szCs w:val="28"/>
          <w:lang w:val="en-US"/>
        </w:rPr>
        <w:lastRenderedPageBreak/>
        <w:t>Text S</w:t>
      </w:r>
      <w:r w:rsidR="008F3535" w:rsidRPr="004B3B88">
        <w:rPr>
          <w:color w:val="000000" w:themeColor="text1"/>
          <w:sz w:val="28"/>
          <w:szCs w:val="28"/>
          <w:lang w:val="en-US"/>
        </w:rPr>
        <w:t>1</w:t>
      </w:r>
      <w:r w:rsidRPr="004B3B88">
        <w:rPr>
          <w:color w:val="000000" w:themeColor="text1"/>
          <w:sz w:val="28"/>
          <w:szCs w:val="28"/>
          <w:lang w:val="en-US"/>
        </w:rPr>
        <w:t>.</w:t>
      </w:r>
      <w:r w:rsidR="008F3535" w:rsidRPr="004B3B88">
        <w:rPr>
          <w:color w:val="000000" w:themeColor="text1"/>
          <w:sz w:val="28"/>
          <w:szCs w:val="28"/>
          <w:lang w:val="en-US"/>
        </w:rPr>
        <w:t xml:space="preserve"> tDOC remineralization model</w:t>
      </w:r>
    </w:p>
    <w:p w14:paraId="146F31BA" w14:textId="229165BE" w:rsidR="008F3535" w:rsidRPr="004B3B88" w:rsidRDefault="008F3535" w:rsidP="004762CB">
      <w:pPr>
        <w:spacing w:line="480" w:lineRule="auto"/>
        <w:rPr>
          <w:color w:val="000000" w:themeColor="text1"/>
          <w:lang w:val="en-US"/>
        </w:rPr>
      </w:pPr>
      <w:r w:rsidRPr="004B3B88">
        <w:rPr>
          <w:color w:val="000000" w:themeColor="text1"/>
          <w:lang w:val="en-US"/>
        </w:rPr>
        <w:t xml:space="preserve">Our model for tDOC remineralization </w:t>
      </w:r>
      <w:r w:rsidR="004762CB" w:rsidRPr="004B3B88">
        <w:rPr>
          <w:color w:val="000000" w:themeColor="text1"/>
          <w:lang w:val="en-US"/>
        </w:rPr>
        <w:t xml:space="preserve">extends the 1-dimensional model of </w:t>
      </w:r>
      <w:r w:rsidR="004762CB" w:rsidRPr="004B3B88">
        <w:rPr>
          <w:color w:val="000000" w:themeColor="text1"/>
          <w:lang w:val="en-US"/>
        </w:rPr>
        <w:fldChar w:fldCharType="begin"/>
      </w:r>
      <w:r w:rsidR="004762CB" w:rsidRPr="004B3B88">
        <w:rPr>
          <w:color w:val="000000" w:themeColor="text1"/>
          <w:lang w:val="en-US"/>
        </w:rPr>
        <w:instrText xml:space="preserve"> ADDIN EN.CITE &lt;EndNote&gt;&lt;Cite AuthorYear="1"&gt;&lt;Author&gt;Zhou&lt;/Author&gt;&lt;Year&gt;2023&lt;/Year&gt;&lt;RecNum&gt;634&lt;/RecNum&gt;&lt;DisplayText&gt;Zhou et al., 2023&lt;/DisplayText&gt;&lt;record&gt;&lt;rec-number&gt;634&lt;/rec-number&gt;&lt;foreign-keys&gt;&lt;key app="EN" db-id="zwaed0a2r5exxpef52axewxmtvvxvx2w0ff0" timestamp="1702889173"&gt;634&lt;/key&gt;&lt;/foreign-keys&gt;&lt;ref-type name="Journal Article"&gt;17&lt;/ref-type&gt;&lt;contributors&gt;&lt;authors&gt;&lt;author&gt;Zhou, Yongli&lt;/author&gt;&lt;author&gt;Müller, Moritz&lt;/author&gt;&lt;author&gt;Cherukuru, Nagur&lt;/author&gt;&lt;author&gt;Martin, Patrick&lt;/author&gt;&lt;/authors&gt;&lt;/contributors&gt;&lt;titles&gt;&lt;title&gt;Quantifying Photodegradation of Peatland-Derived Dissolved Organic Carbon in the Coastal Ocean of Southeast Asia&lt;/title&gt;&lt;secondary-title&gt;Journal of Geophysical Research: Oceans&lt;/secondary-title&gt;&lt;/titles&gt;&lt;periodical&gt;&lt;full-title&gt;Journal of Geophysical Research: Oceans&lt;/full-title&gt;&lt;/periodical&gt;&lt;pages&gt;e2023JC019741&lt;/pages&gt;&lt;volume&gt;128&lt;/volume&gt;&lt;number&gt;12&lt;/number&gt;&lt;dates&gt;&lt;year&gt;2023&lt;/year&gt;&lt;/dates&gt;&lt;isbn&gt;2169-9275&lt;/isbn&gt;&lt;urls&gt;&lt;related-urls&gt;&lt;url&gt;https://agupubs.onlinelibrary.wiley.com/doi/abs/10.1029/2023JC019741&lt;/url&gt;&lt;/related-urls&gt;&lt;/urls&gt;&lt;electronic-resource-num&gt;https://doi.org/10.1029/2023JC019741&lt;/electronic-resource-num&gt;&lt;/record&gt;&lt;/Cite&gt;&lt;/EndNote&gt;</w:instrText>
      </w:r>
      <w:r w:rsidR="004762CB" w:rsidRPr="004B3B88">
        <w:rPr>
          <w:color w:val="000000" w:themeColor="text1"/>
          <w:lang w:val="en-US"/>
        </w:rPr>
        <w:fldChar w:fldCharType="separate"/>
      </w:r>
      <w:r w:rsidR="004762CB" w:rsidRPr="004B3B88">
        <w:rPr>
          <w:noProof/>
          <w:color w:val="000000" w:themeColor="text1"/>
          <w:lang w:val="en-US"/>
        </w:rPr>
        <w:t>Zhou et al., 2023</w:t>
      </w:r>
      <w:r w:rsidR="004762CB" w:rsidRPr="004B3B88">
        <w:rPr>
          <w:color w:val="000000" w:themeColor="text1"/>
          <w:lang w:val="en-US"/>
        </w:rPr>
        <w:fldChar w:fldCharType="end"/>
      </w:r>
      <w:r w:rsidR="004762CB" w:rsidRPr="004B3B88">
        <w:rPr>
          <w:color w:val="000000" w:themeColor="text1"/>
          <w:lang w:val="en-US"/>
        </w:rPr>
        <w:t xml:space="preserve"> for pure photo-mineralization by also tak</w:t>
      </w:r>
      <w:r w:rsidR="00933CCF" w:rsidRPr="004B3B88">
        <w:rPr>
          <w:color w:val="000000" w:themeColor="text1"/>
          <w:lang w:val="en-US"/>
        </w:rPr>
        <w:t>ing</w:t>
      </w:r>
      <w:r w:rsidRPr="004B3B88">
        <w:rPr>
          <w:color w:val="000000" w:themeColor="text1"/>
          <w:lang w:val="en-US"/>
        </w:rPr>
        <w:t xml:space="preserve"> </w:t>
      </w:r>
      <w:r w:rsidR="004762CB" w:rsidRPr="004B3B88">
        <w:rPr>
          <w:color w:val="000000" w:themeColor="text1"/>
          <w:lang w:val="en-US"/>
        </w:rPr>
        <w:t>pure</w:t>
      </w:r>
      <w:r w:rsidRPr="004B3B88">
        <w:rPr>
          <w:color w:val="000000" w:themeColor="text1"/>
          <w:lang w:val="en-US"/>
        </w:rPr>
        <w:t xml:space="preserve"> biodegradation and photo-influenced biodegradation</w:t>
      </w:r>
      <w:r w:rsidR="004762CB" w:rsidRPr="004B3B88">
        <w:rPr>
          <w:color w:val="000000" w:themeColor="text1"/>
          <w:lang w:val="en-US"/>
        </w:rPr>
        <w:t xml:space="preserve"> into consideration. </w:t>
      </w:r>
      <w:r w:rsidR="00D02B25" w:rsidRPr="004B3B88">
        <w:rPr>
          <w:color w:val="000000" w:themeColor="text1"/>
          <w:lang w:val="en-US"/>
        </w:rPr>
        <w:t xml:space="preserve">We aim to </w:t>
      </w:r>
      <w:r w:rsidR="00933CCF" w:rsidRPr="004B3B88">
        <w:rPr>
          <w:color w:val="000000" w:themeColor="text1"/>
          <w:lang w:val="en-US"/>
        </w:rPr>
        <w:t>reconstruct the cumulative tDOC remineralization from these three pathways over the course of residence time up to 2 years in the Sunda Shelf Sea</w:t>
      </w:r>
      <w:r w:rsidR="00C67F53" w:rsidRPr="004B3B88">
        <w:rPr>
          <w:color w:val="000000" w:themeColor="text1"/>
          <w:lang w:val="en-US"/>
        </w:rPr>
        <w:t xml:space="preserve"> and reveal the</w:t>
      </w:r>
      <w:r w:rsidR="008252FD" w:rsidRPr="004B3B88">
        <w:rPr>
          <w:color w:val="000000" w:themeColor="text1"/>
          <w:lang w:val="en-US"/>
        </w:rPr>
        <w:t xml:space="preserve">ir </w:t>
      </w:r>
      <w:r w:rsidR="00C67F53" w:rsidRPr="004B3B88">
        <w:rPr>
          <w:color w:val="000000" w:themeColor="text1"/>
          <w:lang w:val="en-US"/>
        </w:rPr>
        <w:t>relative</w:t>
      </w:r>
      <w:r w:rsidR="008252FD" w:rsidRPr="004B3B88">
        <w:rPr>
          <w:color w:val="000000" w:themeColor="text1"/>
          <w:lang w:val="en-US"/>
        </w:rPr>
        <w:t xml:space="preserve"> contribution.</w:t>
      </w:r>
    </w:p>
    <w:p w14:paraId="6F0B0A00" w14:textId="1B555DBF" w:rsidR="005C3631" w:rsidRPr="004B3B88" w:rsidRDefault="007873A0" w:rsidP="008A1DA2">
      <w:pPr>
        <w:pStyle w:val="Heading2"/>
        <w:spacing w:before="120" w:line="480" w:lineRule="auto"/>
        <w:jc w:val="both"/>
        <w:rPr>
          <w:b/>
          <w:bCs/>
          <w:color w:val="000000" w:themeColor="text1"/>
          <w:kern w:val="0"/>
          <w:sz w:val="28"/>
          <w:szCs w:val="28"/>
          <w14:ligatures w14:val="none"/>
        </w:rPr>
      </w:pPr>
      <w:r w:rsidRPr="004B3B88">
        <w:rPr>
          <w:b/>
          <w:bCs/>
          <w:color w:val="000000" w:themeColor="text1"/>
          <w:kern w:val="0"/>
          <w:sz w:val="28"/>
          <w:szCs w:val="28"/>
          <w14:ligatures w14:val="none"/>
        </w:rPr>
        <w:t>S1.1 Model calculations</w:t>
      </w:r>
    </w:p>
    <w:p w14:paraId="2F1B2BE0" w14:textId="3F34175F" w:rsidR="00623D54" w:rsidRPr="004B3B88" w:rsidRDefault="00623D54" w:rsidP="008A1DA2">
      <w:pPr>
        <w:spacing w:line="480" w:lineRule="auto"/>
        <w:rPr>
          <w:color w:val="000000" w:themeColor="text1"/>
          <w:sz w:val="28"/>
          <w:szCs w:val="28"/>
          <w:lang w:val="en-US"/>
        </w:rPr>
      </w:pPr>
      <w:r w:rsidRPr="004B3B88">
        <w:rPr>
          <w:color w:val="000000" w:themeColor="text1"/>
          <w:sz w:val="28"/>
          <w:szCs w:val="28"/>
          <w:lang w:val="en-US"/>
        </w:rPr>
        <w:t xml:space="preserve">S1.1.1 </w:t>
      </w:r>
      <w:r w:rsidR="00E44666" w:rsidRPr="004B3B88">
        <w:rPr>
          <w:color w:val="000000" w:themeColor="text1"/>
          <w:sz w:val="28"/>
          <w:szCs w:val="28"/>
          <w:lang w:val="en-US"/>
        </w:rPr>
        <w:t xml:space="preserve">Model simulation on </w:t>
      </w:r>
      <w:r w:rsidR="00595599">
        <w:rPr>
          <w:color w:val="000000" w:themeColor="text1"/>
          <w:sz w:val="28"/>
          <w:szCs w:val="28"/>
          <w:lang w:val="en-US"/>
        </w:rPr>
        <w:t>photodegradation and biodegradation</w:t>
      </w:r>
    </w:p>
    <w:p w14:paraId="0CE1B5C9" w14:textId="26D22540" w:rsidR="00B60E1F" w:rsidRPr="004B3B88" w:rsidRDefault="00394143" w:rsidP="008A1DA2">
      <w:pPr>
        <w:spacing w:line="480" w:lineRule="auto"/>
        <w:rPr>
          <w:color w:val="000000" w:themeColor="text1"/>
          <w:lang w:val="en-US"/>
        </w:rPr>
      </w:pPr>
      <w:r w:rsidRPr="004B3B88">
        <w:rPr>
          <w:color w:val="000000" w:themeColor="text1"/>
          <w:lang w:val="en-US"/>
        </w:rPr>
        <w:t xml:space="preserve">The </w:t>
      </w:r>
      <w:r w:rsidR="00B60E1F" w:rsidRPr="004B3B88">
        <w:rPr>
          <w:color w:val="000000" w:themeColor="text1"/>
          <w:lang w:val="en-US"/>
        </w:rPr>
        <w:t xml:space="preserve">amount of DOC </w:t>
      </w:r>
      <w:r w:rsidR="00F559F6" w:rsidRPr="004B3B88">
        <w:rPr>
          <w:color w:val="000000" w:themeColor="text1"/>
          <w:lang w:val="en-US"/>
        </w:rPr>
        <w:t xml:space="preserve">and CDOM </w:t>
      </w:r>
      <w:r w:rsidR="00B60E1F" w:rsidRPr="004B3B88">
        <w:rPr>
          <w:color w:val="000000" w:themeColor="text1"/>
          <w:lang w:val="en-US"/>
        </w:rPr>
        <w:t xml:space="preserve">removed from photodegradation between </w:t>
      </w:r>
      <w:r w:rsidR="006731C0" w:rsidRPr="004B3B88">
        <w:rPr>
          <w:color w:val="000000" w:themeColor="text1"/>
          <w:lang w:val="en-US"/>
        </w:rPr>
        <w:t>day</w:t>
      </w:r>
      <w:r w:rsidR="00B60E1F" w:rsidRPr="004B3B88">
        <w:rPr>
          <w:color w:val="000000" w:themeColor="text1"/>
          <w:lang w:val="en-US"/>
        </w:rPr>
        <w:t xml:space="preserve"> T-1 and T </w:t>
      </w:r>
      <w:r w:rsidR="00F559F6" w:rsidRPr="004B3B88">
        <w:rPr>
          <w:color w:val="000000" w:themeColor="text1"/>
          <w:lang w:val="en-US"/>
        </w:rPr>
        <w:t>(PDloss</w:t>
      </w:r>
      <w:r w:rsidR="00F559F6" w:rsidRPr="004B3B88">
        <w:rPr>
          <w:color w:val="000000" w:themeColor="text1"/>
          <w:vertAlign w:val="subscript"/>
          <w:lang w:val="en-US"/>
        </w:rPr>
        <w:t>T-1</w:t>
      </w:r>
      <w:r w:rsidR="00F559F6" w:rsidRPr="004B3B88">
        <w:rPr>
          <w:color w:val="000000" w:themeColor="text1"/>
          <w:lang w:val="en-US"/>
        </w:rPr>
        <w:t xml:space="preserve">) </w:t>
      </w:r>
      <w:r w:rsidR="00B60E1F" w:rsidRPr="004B3B88">
        <w:rPr>
          <w:color w:val="000000" w:themeColor="text1"/>
          <w:lang w:val="en-US"/>
        </w:rPr>
        <w:t>was calculated by:</w:t>
      </w:r>
    </w:p>
    <w:p w14:paraId="772E11F2" w14:textId="559413E4" w:rsidR="007873A0" w:rsidRPr="004B3B88" w:rsidRDefault="00FC1BD9" w:rsidP="008A1DA2">
      <w:pPr>
        <w:spacing w:line="480" w:lineRule="auto"/>
        <w:jc w:val="center"/>
        <w:rPr>
          <w:color w:val="000000" w:themeColor="text1"/>
          <w:lang w:val="en-US"/>
        </w:rPr>
      </w:pPr>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PDloss</m:t>
                </m:r>
              </m:e>
              <m:sub>
                <m:r>
                  <w:rPr>
                    <w:rFonts w:ascii="Cambria Math" w:hAnsi="Cambria Math"/>
                    <w:color w:val="000000" w:themeColor="text1"/>
                    <w:lang w:val="en-US"/>
                  </w:rPr>
                  <m:t>T-1</m:t>
                </m:r>
              </m:sub>
            </m:sSub>
            <m:r>
              <w:rPr>
                <w:rFonts w:ascii="Cambria Math" w:hAnsi="Cambria Math"/>
                <w:color w:val="000000" w:themeColor="text1"/>
                <w:lang w:val="en-US"/>
              </w:rPr>
              <m:t>=</m:t>
            </m:r>
            <m:nary>
              <m:naryPr>
                <m:limLoc m:val="subSup"/>
                <m:ctrlPr>
                  <w:rPr>
                    <w:rFonts w:ascii="Cambria Math" w:hAnsi="Cambria Math"/>
                    <w:i/>
                    <w:color w:val="000000" w:themeColor="text1"/>
                    <w:lang w:val="en-US"/>
                  </w:rPr>
                </m:ctrlPr>
              </m:naryPr>
              <m:sub>
                <m:r>
                  <w:rPr>
                    <w:rFonts w:ascii="Cambria Math" w:hAnsi="Cambria Math"/>
                    <w:color w:val="000000" w:themeColor="text1"/>
                    <w:lang w:val="en-US"/>
                  </w:rPr>
                  <m:t>T-1</m:t>
                </m:r>
              </m:sub>
              <m:sup>
                <m:r>
                  <w:rPr>
                    <w:rFonts w:ascii="Cambria Math" w:hAnsi="Cambria Math"/>
                    <w:color w:val="000000" w:themeColor="text1"/>
                    <w:lang w:val="en-US"/>
                  </w:rPr>
                  <m:t>T</m:t>
                </m:r>
              </m:sup>
              <m:e>
                <m:sSub>
                  <m:sSubPr>
                    <m:ctrlPr>
                      <w:rPr>
                        <w:rFonts w:ascii="Cambria Math" w:hAnsi="Cambria Math"/>
                        <w:i/>
                        <w:color w:val="000000" w:themeColor="text1"/>
                        <w:lang w:val="en-US"/>
                      </w:rPr>
                    </m:ctrlPr>
                  </m:sSubPr>
                  <m:e>
                    <m:r>
                      <w:rPr>
                        <w:rFonts w:ascii="Cambria Math" w:hAnsi="Cambria Math"/>
                        <w:color w:val="000000" w:themeColor="text1"/>
                        <w:lang w:val="en-US"/>
                      </w:rPr>
                      <m:t>r</m:t>
                    </m:r>
                  </m:e>
                  <m:sub>
                    <m:r>
                      <w:rPr>
                        <w:rFonts w:ascii="Cambria Math" w:hAnsi="Cambria Math"/>
                        <w:color w:val="000000" w:themeColor="text1"/>
                        <w:lang w:val="en-US"/>
                      </w:rPr>
                      <m:t>PD</m:t>
                    </m:r>
                  </m:sub>
                </m:sSub>
                <m:d>
                  <m:dPr>
                    <m:ctrlPr>
                      <w:rPr>
                        <w:rFonts w:ascii="Cambria Math" w:hAnsi="Cambria Math"/>
                        <w:i/>
                        <w:color w:val="000000" w:themeColor="text1"/>
                        <w:lang w:val="en-US"/>
                      </w:rPr>
                    </m:ctrlPr>
                  </m:dPr>
                  <m:e>
                    <m:r>
                      <w:rPr>
                        <w:rFonts w:ascii="Cambria Math" w:hAnsi="Cambria Math"/>
                        <w:color w:val="000000" w:themeColor="text1"/>
                        <w:lang w:val="en-US"/>
                      </w:rPr>
                      <m:t>t</m:t>
                    </m:r>
                  </m:e>
                </m:d>
                <m:r>
                  <w:rPr>
                    <w:rFonts w:ascii="Cambria Math" w:hAnsi="Cambria Math"/>
                    <w:color w:val="000000" w:themeColor="text1"/>
                    <w:lang w:val="en-US"/>
                  </w:rPr>
                  <m:t xml:space="preserve">dt S </m:t>
                </m:r>
              </m:e>
            </m:nary>
            <m:r>
              <w:rPr>
                <w:rFonts w:ascii="Cambria Math" w:hAnsi="Cambria Math"/>
                <w:color w:val="000000" w:themeColor="text1"/>
                <w:lang w:val="en-US"/>
              </w:rPr>
              <m:t>#Eq. S1</m:t>
            </m:r>
          </m:e>
        </m:eqArr>
      </m:oMath>
      <w:r w:rsidR="00EC2F6F" w:rsidRPr="004B3B88">
        <w:rPr>
          <w:color w:val="000000" w:themeColor="text1"/>
          <w:lang w:val="en-US"/>
        </w:rPr>
        <w:t xml:space="preserve"> </w:t>
      </w:r>
    </w:p>
    <w:p w14:paraId="7E1F3002" w14:textId="790FE778" w:rsidR="007873A0" w:rsidRPr="004B3B88" w:rsidRDefault="00E91EA8" w:rsidP="004762CB">
      <w:pPr>
        <w:spacing w:line="480" w:lineRule="auto"/>
        <w:rPr>
          <w:color w:val="000000" w:themeColor="text1"/>
          <w:lang w:val="en-US"/>
        </w:rPr>
      </w:pPr>
      <w:r w:rsidRPr="004B3B88">
        <w:rPr>
          <w:color w:val="000000" w:themeColor="text1"/>
          <w:lang w:val="en-US"/>
        </w:rPr>
        <w:t xml:space="preserve">where </w:t>
      </w:r>
      <w:proofErr w:type="spellStart"/>
      <w:r w:rsidR="00915CFE" w:rsidRPr="004B3B88">
        <w:rPr>
          <w:color w:val="000000" w:themeColor="text1"/>
          <w:lang w:val="en-US"/>
        </w:rPr>
        <w:t>r</w:t>
      </w:r>
      <w:r w:rsidR="00063FED" w:rsidRPr="004B3B88">
        <w:rPr>
          <w:color w:val="000000" w:themeColor="text1"/>
          <w:vertAlign w:val="subscript"/>
          <w:lang w:val="en-US"/>
        </w:rPr>
        <w:t>PD</w:t>
      </w:r>
      <w:proofErr w:type="spellEnd"/>
      <w:r w:rsidRPr="004B3B88">
        <w:rPr>
          <w:color w:val="000000" w:themeColor="text1"/>
          <w:lang w:val="en-US"/>
        </w:rPr>
        <w:t>(t) is the areal rate of photomineralization of tDOC (mol C m</w:t>
      </w:r>
      <w:r w:rsidRPr="004B3B88">
        <w:rPr>
          <w:color w:val="000000" w:themeColor="text1"/>
          <w:vertAlign w:val="superscript"/>
          <w:lang w:val="en-US"/>
        </w:rPr>
        <w:t>-2</w:t>
      </w:r>
      <w:r w:rsidRPr="004B3B88">
        <w:rPr>
          <w:color w:val="000000" w:themeColor="text1"/>
          <w:lang w:val="en-US"/>
        </w:rPr>
        <w:t xml:space="preserve"> s</w:t>
      </w:r>
      <w:r w:rsidRPr="004B3B88">
        <w:rPr>
          <w:color w:val="000000" w:themeColor="text1"/>
          <w:vertAlign w:val="superscript"/>
          <w:lang w:val="en-US"/>
        </w:rPr>
        <w:t>-1</w:t>
      </w:r>
      <w:r w:rsidRPr="004B3B88">
        <w:rPr>
          <w:color w:val="000000" w:themeColor="text1"/>
          <w:lang w:val="en-US"/>
        </w:rPr>
        <w:t xml:space="preserve">) </w:t>
      </w:r>
      <w:r w:rsidR="00F559F6" w:rsidRPr="004B3B88">
        <w:rPr>
          <w:color w:val="000000" w:themeColor="text1"/>
          <w:lang w:val="en-US"/>
        </w:rPr>
        <w:t xml:space="preserve">or volume-integrated absorption coefficients </w:t>
      </w:r>
      <w:r w:rsidRPr="004B3B88">
        <w:rPr>
          <w:color w:val="000000" w:themeColor="text1"/>
          <w:lang w:val="en-US"/>
        </w:rPr>
        <w:t>and S is the surface area of the simulated water column (i.e., 1 m</w:t>
      </w:r>
      <w:r w:rsidRPr="004B3B88">
        <w:rPr>
          <w:color w:val="000000" w:themeColor="text1"/>
          <w:vertAlign w:val="superscript"/>
          <w:lang w:val="en-US"/>
        </w:rPr>
        <w:t>2</w:t>
      </w:r>
      <w:r w:rsidRPr="004B3B88">
        <w:rPr>
          <w:color w:val="000000" w:themeColor="text1"/>
          <w:lang w:val="en-US"/>
        </w:rPr>
        <w:t xml:space="preserve">). The </w:t>
      </w:r>
      <w:proofErr w:type="spellStart"/>
      <w:r w:rsidR="00915CFE" w:rsidRPr="004B3B88">
        <w:rPr>
          <w:color w:val="000000" w:themeColor="text1"/>
          <w:lang w:val="en-US"/>
        </w:rPr>
        <w:t>r</w:t>
      </w:r>
      <w:r w:rsidR="00063FED" w:rsidRPr="004B3B88">
        <w:rPr>
          <w:color w:val="000000" w:themeColor="text1"/>
          <w:vertAlign w:val="subscript"/>
          <w:lang w:val="en-US"/>
        </w:rPr>
        <w:t>PD</w:t>
      </w:r>
      <w:proofErr w:type="spellEnd"/>
      <w:r w:rsidR="00915CFE" w:rsidRPr="004B3B88">
        <w:rPr>
          <w:color w:val="000000" w:themeColor="text1"/>
          <w:lang w:val="en-US"/>
        </w:rPr>
        <w:t>(t) was calculated from the mean AQY spectrum (</w:t>
      </w:r>
      <w:r w:rsidR="00915CFE" w:rsidRPr="004B3B88">
        <w:rPr>
          <w:color w:val="000000" w:themeColor="text1"/>
          <w:lang w:val="en-US"/>
        </w:rPr>
        <w:sym w:font="Symbol" w:char="F066"/>
      </w:r>
      <w:proofErr w:type="gramStart"/>
      <w:r w:rsidR="00F559F6" w:rsidRPr="004B3B88">
        <w:rPr>
          <w:color w:val="000000" w:themeColor="text1"/>
          <w:vertAlign w:val="subscript"/>
          <w:lang w:val="en-US"/>
        </w:rPr>
        <w:t>DOC</w:t>
      </w:r>
      <w:r w:rsidR="00915CFE" w:rsidRPr="004B3B88">
        <w:rPr>
          <w:color w:val="000000" w:themeColor="text1"/>
          <w:lang w:val="en-US"/>
        </w:rPr>
        <w:t>(</w:t>
      </w:r>
      <w:proofErr w:type="gramEnd"/>
      <w:r w:rsidR="00915CFE" w:rsidRPr="004B3B88">
        <w:rPr>
          <w:color w:val="000000" w:themeColor="text1"/>
          <w:lang w:val="en-US"/>
        </w:rPr>
        <w:sym w:font="Symbol" w:char="F06C"/>
      </w:r>
      <w:r w:rsidR="00915CFE" w:rsidRPr="004B3B88">
        <w:rPr>
          <w:color w:val="000000" w:themeColor="text1"/>
          <w:lang w:val="en-US"/>
        </w:rPr>
        <w:t>), mol C mol</w:t>
      </w:r>
      <w:r w:rsidR="00915CFE" w:rsidRPr="004B3B88">
        <w:rPr>
          <w:color w:val="000000" w:themeColor="text1"/>
          <w:vertAlign w:val="superscript"/>
          <w:lang w:val="en-US"/>
        </w:rPr>
        <w:t>–1</w:t>
      </w:r>
      <w:r w:rsidR="00915CFE" w:rsidRPr="004B3B88">
        <w:rPr>
          <w:color w:val="000000" w:themeColor="text1"/>
          <w:lang w:val="en-US"/>
        </w:rPr>
        <w:t xml:space="preserve"> photons nm</w:t>
      </w:r>
      <w:bookmarkStart w:id="0" w:name="OLE_LINK1"/>
      <w:bookmarkStart w:id="1" w:name="OLE_LINK2"/>
      <w:r w:rsidR="00915CFE" w:rsidRPr="004B3B88">
        <w:rPr>
          <w:color w:val="000000" w:themeColor="text1"/>
          <w:vertAlign w:val="superscript"/>
          <w:lang w:val="en-US"/>
        </w:rPr>
        <w:t>–</w:t>
      </w:r>
      <w:bookmarkEnd w:id="0"/>
      <w:bookmarkEnd w:id="1"/>
      <w:r w:rsidR="00915CFE" w:rsidRPr="004B3B88">
        <w:rPr>
          <w:color w:val="000000" w:themeColor="text1"/>
          <w:vertAlign w:val="superscript"/>
          <w:lang w:val="en-US"/>
        </w:rPr>
        <w:t>1</w:t>
      </w:r>
      <w:r w:rsidR="00F559F6" w:rsidRPr="004B3B88">
        <w:rPr>
          <w:color w:val="000000" w:themeColor="text1"/>
          <w:lang w:val="en-US"/>
        </w:rPr>
        <w:t xml:space="preserve"> or </w:t>
      </w:r>
      <w:r w:rsidR="00F559F6" w:rsidRPr="004B3B88">
        <w:rPr>
          <w:color w:val="000000" w:themeColor="text1"/>
          <w:lang w:val="en-US"/>
        </w:rPr>
        <w:sym w:font="Symbol" w:char="F066"/>
      </w:r>
      <w:r w:rsidR="00F559F6" w:rsidRPr="004B3B88">
        <w:rPr>
          <w:color w:val="000000" w:themeColor="text1"/>
          <w:vertAlign w:val="subscript"/>
          <w:lang w:val="en-US"/>
        </w:rPr>
        <w:t>CDOM</w:t>
      </w:r>
      <w:r w:rsidR="00F559F6" w:rsidRPr="004B3B88">
        <w:rPr>
          <w:color w:val="000000" w:themeColor="text1"/>
          <w:lang w:val="en-US"/>
        </w:rPr>
        <w:t>(</w:t>
      </w:r>
      <w:r w:rsidR="00F559F6" w:rsidRPr="004B3B88">
        <w:rPr>
          <w:color w:val="000000" w:themeColor="text1"/>
          <w:lang w:val="en-US"/>
        </w:rPr>
        <w:sym w:font="Symbol" w:char="F06C"/>
      </w:r>
      <w:r w:rsidR="00F559F6" w:rsidRPr="004B3B88">
        <w:rPr>
          <w:color w:val="000000" w:themeColor="text1"/>
          <w:lang w:val="en-US"/>
        </w:rPr>
        <w:t>), L m</w:t>
      </w:r>
      <w:r w:rsidR="00F559F6" w:rsidRPr="004B3B88">
        <w:rPr>
          <w:color w:val="000000" w:themeColor="text1"/>
          <w:vertAlign w:val="superscript"/>
          <w:lang w:val="en-US"/>
        </w:rPr>
        <w:t>–1</w:t>
      </w:r>
      <w:r w:rsidR="00F559F6" w:rsidRPr="004B3B88">
        <w:rPr>
          <w:color w:val="000000" w:themeColor="text1"/>
          <w:lang w:val="en-US"/>
        </w:rPr>
        <w:t xml:space="preserve"> m</w:t>
      </w:r>
      <w:r w:rsidR="00F559F6" w:rsidRPr="004B3B88">
        <w:rPr>
          <w:color w:val="000000" w:themeColor="text1"/>
          <w:vertAlign w:val="superscript"/>
          <w:lang w:val="en-US"/>
        </w:rPr>
        <w:t>–2</w:t>
      </w:r>
      <w:r w:rsidR="00F559F6" w:rsidRPr="004B3B88">
        <w:rPr>
          <w:color w:val="000000" w:themeColor="text1"/>
          <w:lang w:val="en-US"/>
        </w:rPr>
        <w:t xml:space="preserve"> s</w:t>
      </w:r>
      <w:r w:rsidR="00F559F6" w:rsidRPr="004B3B88">
        <w:rPr>
          <w:color w:val="000000" w:themeColor="text1"/>
          <w:vertAlign w:val="superscript"/>
          <w:lang w:val="en-US"/>
        </w:rPr>
        <w:t>–1</w:t>
      </w:r>
      <w:r w:rsidR="00915CFE" w:rsidRPr="004B3B88">
        <w:rPr>
          <w:color w:val="000000" w:themeColor="text1"/>
          <w:lang w:val="en-US"/>
        </w:rPr>
        <w:t>) and the amount of photons absorbed by CDOM (</w:t>
      </w:r>
      <w:proofErr w:type="spellStart"/>
      <w:r w:rsidR="00915CFE" w:rsidRPr="004B3B88">
        <w:rPr>
          <w:color w:val="000000" w:themeColor="text1"/>
          <w:lang w:val="en-US"/>
        </w:rPr>
        <w:t>Q</w:t>
      </w:r>
      <w:r w:rsidR="00915CFE" w:rsidRPr="004B3B88">
        <w:rPr>
          <w:color w:val="000000" w:themeColor="text1"/>
          <w:vertAlign w:val="subscript"/>
          <w:lang w:val="en-US"/>
        </w:rPr>
        <w:t>abs</w:t>
      </w:r>
      <w:proofErr w:type="spellEnd"/>
      <w:r w:rsidR="007279ED" w:rsidRPr="004B3B88">
        <w:rPr>
          <w:color w:val="000000" w:themeColor="text1"/>
          <w:lang w:val="en-US"/>
        </w:rPr>
        <w:t>(</w:t>
      </w:r>
      <w:r w:rsidR="007279ED" w:rsidRPr="004B3B88">
        <w:rPr>
          <w:color w:val="000000" w:themeColor="text1"/>
          <w:lang w:val="en-US"/>
        </w:rPr>
        <w:sym w:font="Symbol" w:char="F06C"/>
      </w:r>
      <w:r w:rsidR="007279ED" w:rsidRPr="004B3B88">
        <w:rPr>
          <w:color w:val="000000" w:themeColor="text1"/>
          <w:lang w:val="en-US"/>
        </w:rPr>
        <w:t>,t)</w:t>
      </w:r>
      <w:r w:rsidR="003115C1" w:rsidRPr="004B3B88">
        <w:rPr>
          <w:color w:val="000000" w:themeColor="text1"/>
          <w:lang w:val="en-US"/>
        </w:rPr>
        <w:t>, mol photons) in the water column:</w:t>
      </w:r>
    </w:p>
    <w:p w14:paraId="6078F2C3" w14:textId="74CCEFA2" w:rsidR="003115C1" w:rsidRPr="004B3B88" w:rsidRDefault="00FC1BD9" w:rsidP="003115C1">
      <w:pPr>
        <w:spacing w:line="480" w:lineRule="auto"/>
        <w:jc w:val="center"/>
        <w:rPr>
          <w:color w:val="000000" w:themeColor="text1"/>
          <w:lang w:val="en-US"/>
        </w:rPr>
      </w:pPr>
      <m:oMathPara>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r</m:t>
                  </m:r>
                </m:e>
                <m:sub>
                  <m:r>
                    <w:rPr>
                      <w:rFonts w:ascii="Cambria Math" w:hAnsi="Cambria Math"/>
                      <w:color w:val="000000" w:themeColor="text1"/>
                      <w:lang w:val="en-US"/>
                    </w:rPr>
                    <m:t>PD</m:t>
                  </m:r>
                </m:sub>
              </m:sSub>
              <m:r>
                <w:rPr>
                  <w:rFonts w:ascii="Cambria Math" w:hAnsi="Cambria Math"/>
                  <w:color w:val="000000" w:themeColor="text1"/>
                  <w:lang w:val="en-US"/>
                </w:rPr>
                <m:t>=</m:t>
              </m:r>
              <m:nary>
                <m:naryPr>
                  <m:limLoc m:val="subSup"/>
                  <m:ctrlPr>
                    <w:rPr>
                      <w:rFonts w:ascii="Cambria Math" w:hAnsi="Cambria Math"/>
                      <w:i/>
                      <w:color w:val="000000" w:themeColor="text1"/>
                      <w:lang w:val="en-US"/>
                    </w:rPr>
                  </m:ctrlPr>
                </m:naryPr>
                <m:sub>
                  <m:r>
                    <w:rPr>
                      <w:rFonts w:ascii="Cambria Math" w:hAnsi="Cambria Math"/>
                      <w:color w:val="000000" w:themeColor="text1"/>
                      <w:lang w:val="en-US"/>
                    </w:rPr>
                    <m:t>300nm</m:t>
                  </m:r>
                </m:sub>
                <m:sup>
                  <m:r>
                    <w:rPr>
                      <w:rFonts w:ascii="Cambria Math" w:hAnsi="Cambria Math"/>
                      <w:color w:val="000000" w:themeColor="text1"/>
                      <w:lang w:val="en-US"/>
                    </w:rPr>
                    <m:t>700nm</m:t>
                  </m:r>
                </m:sup>
                <m:e>
                  <m:r>
                    <w:rPr>
                      <w:rFonts w:ascii="Cambria Math" w:hAnsi="Cambria Math"/>
                      <w:color w:val="000000" w:themeColor="text1"/>
                      <w:lang w:val="en-US"/>
                    </w:rPr>
                    <m:t>ϕ</m:t>
                  </m:r>
                  <m:d>
                    <m:dPr>
                      <m:ctrlPr>
                        <w:rPr>
                          <w:rFonts w:ascii="Cambria Math" w:hAnsi="Cambria Math"/>
                          <w:i/>
                          <w:color w:val="000000" w:themeColor="text1"/>
                          <w:lang w:val="en-US"/>
                        </w:rPr>
                      </m:ctrlPr>
                    </m:dPr>
                    <m:e>
                      <m:r>
                        <w:rPr>
                          <w:rFonts w:ascii="Cambria Math" w:hAnsi="Cambria Math"/>
                          <w:color w:val="000000" w:themeColor="text1"/>
                          <w:lang w:val="en-US"/>
                        </w:rPr>
                        <m:t>λ</m:t>
                      </m:r>
                    </m:e>
                  </m:d>
                  <m:sSub>
                    <m:sSubPr>
                      <m:ctrlPr>
                        <w:rPr>
                          <w:rFonts w:ascii="Cambria Math" w:hAnsi="Cambria Math"/>
                          <w:i/>
                          <w:color w:val="000000" w:themeColor="text1"/>
                          <w:lang w:val="en-US"/>
                        </w:rPr>
                      </m:ctrlPr>
                    </m:sSubPr>
                    <m:e>
                      <m:r>
                        <w:rPr>
                          <w:rFonts w:ascii="Cambria Math" w:hAnsi="Cambria Math"/>
                          <w:color w:val="000000" w:themeColor="text1"/>
                          <w:lang w:val="en-US"/>
                        </w:rPr>
                        <m:t xml:space="preserve"> Q</m:t>
                      </m:r>
                    </m:e>
                    <m:sub>
                      <m:r>
                        <w:rPr>
                          <w:rFonts w:ascii="Cambria Math" w:hAnsi="Cambria Math"/>
                          <w:color w:val="000000" w:themeColor="text1"/>
                          <w:lang w:val="en-US"/>
                        </w:rPr>
                        <m:t>abs</m:t>
                      </m:r>
                    </m:sub>
                  </m:sSub>
                  <m:d>
                    <m:dPr>
                      <m:ctrlPr>
                        <w:rPr>
                          <w:rFonts w:ascii="Cambria Math" w:hAnsi="Cambria Math"/>
                          <w:i/>
                          <w:color w:val="000000" w:themeColor="text1"/>
                          <w:lang w:val="en-US"/>
                        </w:rPr>
                      </m:ctrlPr>
                    </m:dPr>
                    <m:e>
                      <m:r>
                        <w:rPr>
                          <w:rFonts w:ascii="Cambria Math" w:hAnsi="Cambria Math"/>
                          <w:color w:val="000000" w:themeColor="text1"/>
                          <w:lang w:val="en-US"/>
                        </w:rPr>
                        <m:t>λ,t</m:t>
                      </m:r>
                    </m:e>
                  </m:d>
                  <m:r>
                    <w:rPr>
                      <w:rFonts w:ascii="Cambria Math" w:hAnsi="Cambria Math"/>
                      <w:color w:val="000000" w:themeColor="text1"/>
                      <w:lang w:val="en-US"/>
                    </w:rPr>
                    <m:t xml:space="preserve"> dλ</m:t>
                  </m:r>
                </m:e>
              </m:nary>
              <m:r>
                <w:rPr>
                  <w:rFonts w:ascii="Cambria Math" w:hAnsi="Cambria Math"/>
                  <w:color w:val="000000" w:themeColor="text1"/>
                  <w:lang w:val="en-US"/>
                </w:rPr>
                <m:t>#Eq.S2</m:t>
              </m:r>
            </m:e>
          </m:eqArr>
        </m:oMath>
      </m:oMathPara>
    </w:p>
    <w:p w14:paraId="06FE19AB" w14:textId="77777777" w:rsidR="00623D54" w:rsidRPr="004B3B88" w:rsidRDefault="00623D54" w:rsidP="00623D54">
      <w:pPr>
        <w:spacing w:line="480" w:lineRule="auto"/>
        <w:rPr>
          <w:color w:val="000000" w:themeColor="text1"/>
          <w:lang w:val="en-US"/>
        </w:rPr>
      </w:pPr>
    </w:p>
    <w:p w14:paraId="1A87DCC7" w14:textId="0BBFB3DC" w:rsidR="00EC2F6F" w:rsidRPr="004B3B88" w:rsidRDefault="00623D54" w:rsidP="00623D54">
      <w:pPr>
        <w:spacing w:line="480" w:lineRule="auto"/>
        <w:rPr>
          <w:color w:val="000000" w:themeColor="text1"/>
          <w:lang w:val="en-US"/>
        </w:rPr>
      </w:pPr>
      <w:r w:rsidRPr="004B3B88">
        <w:rPr>
          <w:color w:val="000000" w:themeColor="text1"/>
          <w:lang w:val="en-US"/>
        </w:rPr>
        <w:t xml:space="preserve">The </w:t>
      </w:r>
      <w:r w:rsidR="00F559F6" w:rsidRPr="004B3B88">
        <w:rPr>
          <w:color w:val="000000" w:themeColor="text1"/>
          <w:lang w:val="en-US"/>
        </w:rPr>
        <w:t xml:space="preserve">calculations of </w:t>
      </w:r>
      <w:proofErr w:type="spellStart"/>
      <w:r w:rsidR="00F559F6" w:rsidRPr="004B3B88">
        <w:rPr>
          <w:color w:val="000000" w:themeColor="text1"/>
          <w:lang w:val="en-US"/>
        </w:rPr>
        <w:t>r</w:t>
      </w:r>
      <w:r w:rsidR="00F559F6" w:rsidRPr="004B3B88">
        <w:rPr>
          <w:color w:val="000000" w:themeColor="text1"/>
          <w:vertAlign w:val="subscript"/>
          <w:lang w:val="en-US"/>
        </w:rPr>
        <w:t>PD</w:t>
      </w:r>
      <w:proofErr w:type="spellEnd"/>
      <w:r w:rsidR="00F559F6" w:rsidRPr="004B3B88">
        <w:rPr>
          <w:color w:val="000000" w:themeColor="text1"/>
          <w:lang w:val="en-US"/>
        </w:rPr>
        <w:t xml:space="preserve"> are provided in detail in </w:t>
      </w:r>
      <w:r w:rsidR="00F559F6" w:rsidRPr="004B3B88">
        <w:rPr>
          <w:color w:val="000000" w:themeColor="text1"/>
          <w:lang w:val="en-US"/>
        </w:rPr>
        <w:fldChar w:fldCharType="begin"/>
      </w:r>
      <w:r w:rsidR="00F559F6" w:rsidRPr="004B3B88">
        <w:rPr>
          <w:color w:val="000000" w:themeColor="text1"/>
          <w:lang w:val="en-US"/>
        </w:rPr>
        <w:instrText xml:space="preserve"> ADDIN EN.CITE &lt;EndNote&gt;&lt;Cite AuthorYear="1"&gt;&lt;Author&gt;Zhou&lt;/Author&gt;&lt;Year&gt;2023&lt;/Year&gt;&lt;RecNum&gt;634&lt;/RecNum&gt;&lt;DisplayText&gt;Zhou et al., 2023&lt;/DisplayText&gt;&lt;record&gt;&lt;rec-number&gt;634&lt;/rec-number&gt;&lt;foreign-keys&gt;&lt;key app="EN" db-id="zwaed0a2r5exxpef52axewxmtvvxvx2w0ff0" timestamp="1702889173"&gt;634&lt;/key&gt;&lt;/foreign-keys&gt;&lt;ref-type name="Journal Article"&gt;17&lt;/ref-type&gt;&lt;contributors&gt;&lt;authors&gt;&lt;author&gt;Zhou, Yongli&lt;/author&gt;&lt;author&gt;Müller, Moritz&lt;/author&gt;&lt;author&gt;Cherukuru, Nagur&lt;/author&gt;&lt;author&gt;Martin, Patrick&lt;/author&gt;&lt;/authors&gt;&lt;/contributors&gt;&lt;titles&gt;&lt;title&gt;Quantifying Photodegradation of Peatland-Derived Dissolved Organic Carbon in the Coastal Ocean of Southeast Asia&lt;/title&gt;&lt;secondary-title&gt;Journal of Geophysical Research: Oceans&lt;/secondary-title&gt;&lt;/titles&gt;&lt;periodical&gt;&lt;full-title&gt;Journal of Geophysical Research: Oceans&lt;/full-title&gt;&lt;/periodical&gt;&lt;pages&gt;e2023JC019741&lt;/pages&gt;&lt;volume&gt;128&lt;/volume&gt;&lt;number&gt;12&lt;/number&gt;&lt;dates&gt;&lt;year&gt;2023&lt;/year&gt;&lt;/dates&gt;&lt;isbn&gt;2169-9275&lt;/isbn&gt;&lt;urls&gt;&lt;related-urls&gt;&lt;url&gt;https://agupubs.onlinelibrary.wiley.com/doi/abs/10.1029/2023JC019741&lt;/url&gt;&lt;/related-urls&gt;&lt;/urls&gt;&lt;electronic-resource-num&gt;https://doi.org/10.1029/2023JC019741&lt;/electronic-resource-num&gt;&lt;/record&gt;&lt;/Cite&gt;&lt;/EndNote&gt;</w:instrText>
      </w:r>
      <w:r w:rsidR="00F559F6" w:rsidRPr="004B3B88">
        <w:rPr>
          <w:color w:val="000000" w:themeColor="text1"/>
          <w:lang w:val="en-US"/>
        </w:rPr>
        <w:fldChar w:fldCharType="separate"/>
      </w:r>
      <w:r w:rsidR="00F559F6" w:rsidRPr="004B3B88">
        <w:rPr>
          <w:noProof/>
          <w:color w:val="000000" w:themeColor="text1"/>
          <w:lang w:val="en-US"/>
        </w:rPr>
        <w:t>Zhou et al., 2023</w:t>
      </w:r>
      <w:r w:rsidR="00F559F6" w:rsidRPr="004B3B88">
        <w:rPr>
          <w:color w:val="000000" w:themeColor="text1"/>
          <w:lang w:val="en-US"/>
        </w:rPr>
        <w:fldChar w:fldCharType="end"/>
      </w:r>
      <w:r w:rsidR="00F559F6" w:rsidRPr="004B3B88">
        <w:rPr>
          <w:color w:val="000000" w:themeColor="text1"/>
          <w:lang w:val="en-US"/>
        </w:rPr>
        <w:t>.</w:t>
      </w:r>
    </w:p>
    <w:p w14:paraId="0DEE19AE" w14:textId="33C2E9FB" w:rsidR="00F559F6" w:rsidRPr="004B3B88" w:rsidRDefault="00F559F6" w:rsidP="00623D54">
      <w:pPr>
        <w:spacing w:line="480" w:lineRule="auto"/>
        <w:rPr>
          <w:color w:val="000000" w:themeColor="text1"/>
          <w:lang w:val="en-US"/>
        </w:rPr>
      </w:pPr>
      <w:r w:rsidRPr="004B3B88">
        <w:rPr>
          <w:color w:val="000000" w:themeColor="text1"/>
          <w:lang w:val="en-US"/>
        </w:rPr>
        <w:t xml:space="preserve">The amount of </w:t>
      </w:r>
      <w:r w:rsidR="00E44666" w:rsidRPr="004B3B88">
        <w:rPr>
          <w:color w:val="000000" w:themeColor="text1"/>
          <w:lang w:val="en-US"/>
        </w:rPr>
        <w:t>t</w:t>
      </w:r>
      <w:r w:rsidRPr="004B3B88">
        <w:rPr>
          <w:color w:val="000000" w:themeColor="text1"/>
          <w:lang w:val="en-US"/>
        </w:rPr>
        <w:t xml:space="preserve">DOC </w:t>
      </w:r>
      <w:r w:rsidR="00E44666" w:rsidRPr="004B3B88">
        <w:rPr>
          <w:color w:val="000000" w:themeColor="text1"/>
          <w:lang w:val="en-US"/>
        </w:rPr>
        <w:t xml:space="preserve">degraded </w:t>
      </w:r>
      <w:r w:rsidRPr="004B3B88">
        <w:rPr>
          <w:color w:val="000000" w:themeColor="text1"/>
          <w:lang w:val="en-US"/>
        </w:rPr>
        <w:t>and</w:t>
      </w:r>
      <w:r w:rsidR="00E44666" w:rsidRPr="004B3B88">
        <w:rPr>
          <w:color w:val="000000" w:themeColor="text1"/>
          <w:lang w:val="en-US"/>
        </w:rPr>
        <w:t xml:space="preserve"> the concentration of</w:t>
      </w:r>
      <w:r w:rsidRPr="004B3B88">
        <w:rPr>
          <w:color w:val="000000" w:themeColor="text1"/>
          <w:lang w:val="en-US"/>
        </w:rPr>
        <w:t xml:space="preserve"> CDOM </w:t>
      </w:r>
      <w:r w:rsidR="00E44666" w:rsidRPr="004B3B88">
        <w:rPr>
          <w:color w:val="000000" w:themeColor="text1"/>
          <w:lang w:val="en-US"/>
        </w:rPr>
        <w:t>decreased</w:t>
      </w:r>
      <w:r w:rsidRPr="004B3B88">
        <w:rPr>
          <w:color w:val="000000" w:themeColor="text1"/>
          <w:lang w:val="en-US"/>
        </w:rPr>
        <w:t xml:space="preserve"> from pure microbial processes between </w:t>
      </w:r>
      <w:r w:rsidR="006731C0" w:rsidRPr="004B3B88">
        <w:rPr>
          <w:color w:val="000000" w:themeColor="text1"/>
          <w:lang w:val="en-US"/>
        </w:rPr>
        <w:t>day</w:t>
      </w:r>
      <w:r w:rsidRPr="004B3B88">
        <w:rPr>
          <w:color w:val="000000" w:themeColor="text1"/>
          <w:lang w:val="en-US"/>
        </w:rPr>
        <w:t xml:space="preserve"> T-1 and T was calculated by:</w:t>
      </w:r>
    </w:p>
    <w:p w14:paraId="17C1C57A" w14:textId="7BFC3A8D" w:rsidR="00F559F6" w:rsidRPr="004B3B88" w:rsidRDefault="00FC1BD9" w:rsidP="00623D54">
      <w:pPr>
        <w:spacing w:line="480" w:lineRule="auto"/>
        <w:rPr>
          <w:color w:val="000000" w:themeColor="text1"/>
          <w:lang w:val="en-US"/>
        </w:rPr>
      </w:pPr>
      <m:oMathPara>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BDloss</m:t>
                  </m:r>
                </m:e>
                <m:sub>
                  <m:r>
                    <w:rPr>
                      <w:rFonts w:ascii="Cambria Math" w:hAnsi="Cambria Math"/>
                      <w:color w:val="000000" w:themeColor="text1"/>
                      <w:lang w:val="en-US"/>
                    </w:rPr>
                    <m:t>T-1</m:t>
                  </m:r>
                </m:sub>
              </m:sSub>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C</m:t>
                  </m:r>
                </m:e>
                <m:sub>
                  <m:r>
                    <w:rPr>
                      <w:rFonts w:ascii="Cambria Math" w:hAnsi="Cambria Math"/>
                      <w:color w:val="000000" w:themeColor="text1"/>
                      <w:lang w:val="en-US"/>
                    </w:rPr>
                    <m:t>T-1</m:t>
                  </m:r>
                </m:sub>
              </m:sSub>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C</m:t>
                  </m:r>
                </m:e>
                <m:sub>
                  <m:r>
                    <w:rPr>
                      <w:rFonts w:ascii="Cambria Math" w:hAnsi="Cambria Math"/>
                      <w:color w:val="000000" w:themeColor="text1"/>
                      <w:lang w:val="en-US"/>
                    </w:rPr>
                    <m:t>T-1</m:t>
                  </m:r>
                </m:sub>
              </m:sSub>
              <m:r>
                <w:rPr>
                  <w:rFonts w:ascii="Cambria Math" w:hAnsi="Cambria Math"/>
                  <w:color w:val="000000" w:themeColor="text1"/>
                  <w:lang w:val="en-US"/>
                </w:rPr>
                <m:t xml:space="preserve"> </m:t>
              </m:r>
              <m:sSup>
                <m:sSupPr>
                  <m:ctrlPr>
                    <w:rPr>
                      <w:rFonts w:ascii="Cambria Math" w:hAnsi="Cambria Math"/>
                      <w:i/>
                      <w:color w:val="000000" w:themeColor="text1"/>
                      <w:lang w:val="en-US"/>
                    </w:rPr>
                  </m:ctrlPr>
                </m:sSupPr>
                <m:e>
                  <m:r>
                    <w:rPr>
                      <w:rFonts w:ascii="Cambria Math" w:hAnsi="Cambria Math"/>
                      <w:color w:val="000000" w:themeColor="text1"/>
                      <w:lang w:val="en-US"/>
                    </w:rPr>
                    <m:t>e</m:t>
                  </m:r>
                </m:e>
                <m:sup>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k</m:t>
                      </m:r>
                    </m:e>
                    <m:sub>
                      <m:r>
                        <w:rPr>
                          <w:rFonts w:ascii="Cambria Math" w:hAnsi="Cambria Math"/>
                          <w:color w:val="000000" w:themeColor="text1"/>
                          <w:lang w:val="en-US"/>
                        </w:rPr>
                        <m:t>bio</m:t>
                      </m:r>
                    </m:sub>
                  </m:sSub>
                  <m:r>
                    <w:rPr>
                      <w:rFonts w:ascii="Cambria Math" w:hAnsi="Cambria Math"/>
                      <w:color w:val="000000" w:themeColor="text1"/>
                      <w:lang w:val="en-US"/>
                    </w:rPr>
                    <m:t xml:space="preserve"> </m:t>
                  </m:r>
                  <m:d>
                    <m:dPr>
                      <m:ctrlPr>
                        <w:rPr>
                          <w:rFonts w:ascii="Cambria Math" w:hAnsi="Cambria Math"/>
                          <w:i/>
                          <w:color w:val="000000" w:themeColor="text1"/>
                          <w:lang w:val="en-US"/>
                        </w:rPr>
                      </m:ctrlPr>
                    </m:dPr>
                    <m:e>
                      <m:r>
                        <w:rPr>
                          <w:rFonts w:ascii="Cambria Math" w:hAnsi="Cambria Math"/>
                          <w:color w:val="000000" w:themeColor="text1"/>
                          <w:lang w:val="en-US"/>
                        </w:rPr>
                        <m:t>T-</m:t>
                      </m:r>
                      <m:d>
                        <m:dPr>
                          <m:ctrlPr>
                            <w:rPr>
                              <w:rFonts w:ascii="Cambria Math" w:hAnsi="Cambria Math"/>
                              <w:i/>
                              <w:color w:val="000000" w:themeColor="text1"/>
                              <w:lang w:val="en-US"/>
                            </w:rPr>
                          </m:ctrlPr>
                        </m:dPr>
                        <m:e>
                          <m:r>
                            <w:rPr>
                              <w:rFonts w:ascii="Cambria Math" w:hAnsi="Cambria Math"/>
                              <w:color w:val="000000" w:themeColor="text1"/>
                              <w:lang w:val="en-US"/>
                            </w:rPr>
                            <m:t>T-1</m:t>
                          </m:r>
                        </m:e>
                      </m:d>
                    </m:e>
                  </m:d>
                </m:sup>
              </m:sSup>
              <m:r>
                <w:rPr>
                  <w:rFonts w:ascii="Cambria Math" w:hAnsi="Cambria Math"/>
                  <w:color w:val="000000" w:themeColor="text1"/>
                  <w:lang w:val="en-US"/>
                </w:rPr>
                <m:t>#Eq. S3</m:t>
              </m:r>
            </m:e>
          </m:eqArr>
        </m:oMath>
      </m:oMathPara>
    </w:p>
    <w:p w14:paraId="3FF72C60" w14:textId="7EE64591" w:rsidR="006731C0" w:rsidRPr="004B3B88" w:rsidRDefault="006731C0" w:rsidP="00623D54">
      <w:pPr>
        <w:spacing w:line="480" w:lineRule="auto"/>
        <w:rPr>
          <w:color w:val="000000" w:themeColor="text1"/>
          <w:lang w:val="en-US"/>
        </w:rPr>
      </w:pPr>
      <w:r w:rsidRPr="004B3B88">
        <w:rPr>
          <w:color w:val="000000" w:themeColor="text1"/>
          <w:lang w:val="en-US"/>
        </w:rPr>
        <w:lastRenderedPageBreak/>
        <w:t>where C</w:t>
      </w:r>
      <w:r w:rsidRPr="004B3B88">
        <w:rPr>
          <w:color w:val="000000" w:themeColor="text1"/>
          <w:vertAlign w:val="subscript"/>
          <w:lang w:val="en-US"/>
        </w:rPr>
        <w:t>T-1</w:t>
      </w:r>
      <w:r w:rsidRPr="004B3B88">
        <w:rPr>
          <w:color w:val="000000" w:themeColor="text1"/>
          <w:lang w:val="en-US"/>
        </w:rPr>
        <w:t xml:space="preserve"> is the amount of tDOC (mol) or the wavelength-specific absorption coefficient on day T-1 (m</w:t>
      </w:r>
      <w:r w:rsidRPr="004B3B88">
        <w:rPr>
          <w:color w:val="000000" w:themeColor="text1"/>
          <w:vertAlign w:val="superscript"/>
          <w:lang w:val="en-US"/>
        </w:rPr>
        <w:t>–1</w:t>
      </w:r>
      <w:r w:rsidRPr="004B3B88">
        <w:rPr>
          <w:color w:val="000000" w:themeColor="text1"/>
          <w:lang w:val="en-US"/>
        </w:rPr>
        <w:t>)</w:t>
      </w:r>
      <w:r w:rsidR="00E44666" w:rsidRPr="004B3B88">
        <w:rPr>
          <w:color w:val="000000" w:themeColor="text1"/>
          <w:lang w:val="en-US"/>
        </w:rPr>
        <w:t xml:space="preserve"> and </w:t>
      </w:r>
      <w:proofErr w:type="spellStart"/>
      <w:r w:rsidRPr="004B3B88">
        <w:rPr>
          <w:color w:val="000000" w:themeColor="text1"/>
          <w:lang w:val="en-US"/>
        </w:rPr>
        <w:t>k</w:t>
      </w:r>
      <w:r w:rsidRPr="004B3B88">
        <w:rPr>
          <w:color w:val="000000" w:themeColor="text1"/>
          <w:vertAlign w:val="subscript"/>
          <w:lang w:val="en-US"/>
        </w:rPr>
        <w:t>bio</w:t>
      </w:r>
      <w:proofErr w:type="spellEnd"/>
      <w:r w:rsidRPr="004B3B88">
        <w:rPr>
          <w:color w:val="000000" w:themeColor="text1"/>
          <w:lang w:val="en-US"/>
        </w:rPr>
        <w:t xml:space="preserve"> is the mean decay constants for biodegradation </w:t>
      </w:r>
      <w:r w:rsidR="00E44666" w:rsidRPr="004B3B88">
        <w:rPr>
          <w:color w:val="000000" w:themeColor="text1"/>
          <w:lang w:val="en-US"/>
        </w:rPr>
        <w:t xml:space="preserve">of tDOC or CDOM (250–700 nm) </w:t>
      </w:r>
      <w:r w:rsidRPr="004B3B88">
        <w:rPr>
          <w:color w:val="000000" w:themeColor="text1"/>
          <w:lang w:val="en-US"/>
        </w:rPr>
        <w:t>derived from laboratory incubations.</w:t>
      </w:r>
    </w:p>
    <w:p w14:paraId="578C91E2" w14:textId="2401AF1C" w:rsidR="00E44666" w:rsidRPr="004B3B88" w:rsidRDefault="00E44666" w:rsidP="00623D54">
      <w:pPr>
        <w:spacing w:line="480" w:lineRule="auto"/>
        <w:rPr>
          <w:color w:val="000000" w:themeColor="text1"/>
          <w:lang w:val="en-US"/>
        </w:rPr>
      </w:pPr>
      <w:r w:rsidRPr="004B3B88">
        <w:rPr>
          <w:color w:val="000000" w:themeColor="text1"/>
          <w:lang w:val="en-US"/>
        </w:rPr>
        <w:t>Then, the amount of tDOC or the concentration of CDOM on day T is estimated from:</w:t>
      </w:r>
    </w:p>
    <w:p w14:paraId="7E676E18" w14:textId="77777777" w:rsidR="00E44666" w:rsidRPr="004B3B88" w:rsidRDefault="00FC1BD9" w:rsidP="00623D54">
      <w:pPr>
        <w:spacing w:line="480" w:lineRule="auto"/>
        <w:rPr>
          <w:color w:val="000000" w:themeColor="text1"/>
          <w:lang w:val="en-US"/>
        </w:rPr>
      </w:pPr>
      <m:oMathPara>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C</m:t>
                  </m:r>
                </m:e>
                <m:sub>
                  <m:r>
                    <w:rPr>
                      <w:rFonts w:ascii="Cambria Math" w:hAnsi="Cambria Math"/>
                      <w:color w:val="000000" w:themeColor="text1"/>
                      <w:lang w:val="en-US"/>
                    </w:rPr>
                    <m:t>T</m:t>
                  </m:r>
                </m:sub>
              </m:sSub>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C</m:t>
                  </m:r>
                </m:e>
                <m:sub>
                  <m:r>
                    <w:rPr>
                      <w:rFonts w:ascii="Cambria Math" w:hAnsi="Cambria Math"/>
                      <w:color w:val="000000" w:themeColor="text1"/>
                      <w:lang w:val="en-US"/>
                    </w:rPr>
                    <m:t>T-1</m:t>
                  </m:r>
                </m:sub>
              </m:sSub>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PDloss</m:t>
                  </m:r>
                </m:e>
                <m:sub>
                  <m:r>
                    <w:rPr>
                      <w:rFonts w:ascii="Cambria Math" w:hAnsi="Cambria Math"/>
                      <w:color w:val="000000" w:themeColor="text1"/>
                      <w:lang w:val="en-US"/>
                    </w:rPr>
                    <m:t>T-1</m:t>
                  </m:r>
                </m:sub>
              </m:sSub>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BDloss</m:t>
                  </m:r>
                </m:e>
                <m:sub>
                  <m:r>
                    <w:rPr>
                      <w:rFonts w:ascii="Cambria Math" w:hAnsi="Cambria Math"/>
                      <w:color w:val="000000" w:themeColor="text1"/>
                      <w:lang w:val="en-US"/>
                    </w:rPr>
                    <m:t>T-1</m:t>
                  </m:r>
                </m:sub>
              </m:sSub>
              <m:r>
                <w:rPr>
                  <w:rFonts w:ascii="Cambria Math" w:hAnsi="Cambria Math"/>
                  <w:color w:val="000000" w:themeColor="text1"/>
                  <w:lang w:val="en-US"/>
                </w:rPr>
                <m:t>#Eq.S4</m:t>
              </m:r>
            </m:e>
          </m:eqArr>
        </m:oMath>
      </m:oMathPara>
    </w:p>
    <w:p w14:paraId="6B6D0939" w14:textId="383FB09E" w:rsidR="00E44666" w:rsidRPr="004B3B88" w:rsidRDefault="00E44666" w:rsidP="00623D54">
      <w:pPr>
        <w:spacing w:line="480" w:lineRule="auto"/>
        <w:rPr>
          <w:color w:val="000000" w:themeColor="text1"/>
          <w:lang w:val="en-US"/>
        </w:rPr>
      </w:pPr>
      <w:r w:rsidRPr="004B3B88">
        <w:rPr>
          <w:color w:val="000000" w:themeColor="text1"/>
          <w:lang w:val="en-US"/>
        </w:rPr>
        <w:t xml:space="preserve"> </w:t>
      </w:r>
    </w:p>
    <w:p w14:paraId="629D4CFB" w14:textId="77777777" w:rsidR="00E44666" w:rsidRPr="004B3B88" w:rsidRDefault="00E44666" w:rsidP="00623D54">
      <w:pPr>
        <w:spacing w:line="480" w:lineRule="auto"/>
        <w:rPr>
          <w:color w:val="000000" w:themeColor="text1"/>
          <w:lang w:val="en-US"/>
        </w:rPr>
      </w:pPr>
    </w:p>
    <w:p w14:paraId="3AA44540" w14:textId="297CF736" w:rsidR="00E44666" w:rsidRPr="004B3B88" w:rsidRDefault="00E44666" w:rsidP="00623D54">
      <w:pPr>
        <w:spacing w:line="480" w:lineRule="auto"/>
        <w:rPr>
          <w:color w:val="000000" w:themeColor="text1"/>
          <w:lang w:val="en-US"/>
        </w:rPr>
      </w:pPr>
      <w:r w:rsidRPr="004B3B88">
        <w:rPr>
          <w:color w:val="000000" w:themeColor="text1"/>
          <w:lang w:val="en-US"/>
        </w:rPr>
        <w:t xml:space="preserve">Because we attempt to reconstruct the tDOC remineralization over the residence time up to 2 years, the total tDOC </w:t>
      </w:r>
      <w:r w:rsidR="00B44E62" w:rsidRPr="004B3B88">
        <w:rPr>
          <w:color w:val="000000" w:themeColor="text1"/>
          <w:lang w:val="en-US"/>
        </w:rPr>
        <w:t>remineralization</w:t>
      </w:r>
      <w:r w:rsidRPr="004B3B88">
        <w:rPr>
          <w:color w:val="000000" w:themeColor="text1"/>
          <w:lang w:val="en-US"/>
        </w:rPr>
        <w:t xml:space="preserve"> from PD</w:t>
      </w:r>
      <w:r w:rsidR="00B44E62" w:rsidRPr="004B3B88">
        <w:rPr>
          <w:color w:val="000000" w:themeColor="text1"/>
          <w:lang w:val="en-US"/>
        </w:rPr>
        <w:t xml:space="preserve"> (</w:t>
      </w:r>
      <w:proofErr w:type="spellStart"/>
      <w:r w:rsidR="00B44E62" w:rsidRPr="004B3B88">
        <w:rPr>
          <w:color w:val="000000" w:themeColor="text1"/>
          <w:lang w:val="en-US"/>
        </w:rPr>
        <w:t>REM</w:t>
      </w:r>
      <w:r w:rsidR="00B44E62" w:rsidRPr="004B3B88">
        <w:rPr>
          <w:color w:val="000000" w:themeColor="text1"/>
          <w:vertAlign w:val="subscript"/>
          <w:lang w:val="en-US"/>
        </w:rPr>
        <w:t>photo</w:t>
      </w:r>
      <w:proofErr w:type="spellEnd"/>
      <w:r w:rsidR="00B44E62" w:rsidRPr="004B3B88">
        <w:rPr>
          <w:color w:val="000000" w:themeColor="text1"/>
          <w:lang w:val="en-US"/>
        </w:rPr>
        <w:t>)</w:t>
      </w:r>
      <w:r w:rsidRPr="004B3B88">
        <w:rPr>
          <w:color w:val="000000" w:themeColor="text1"/>
          <w:lang w:val="en-US"/>
        </w:rPr>
        <w:t>, BD</w:t>
      </w:r>
      <w:r w:rsidR="00B44E62" w:rsidRPr="004B3B88">
        <w:rPr>
          <w:color w:val="000000" w:themeColor="text1"/>
          <w:lang w:val="en-US"/>
        </w:rPr>
        <w:t xml:space="preserve"> (</w:t>
      </w:r>
      <w:proofErr w:type="spellStart"/>
      <w:r w:rsidR="00B44E62" w:rsidRPr="004B3B88">
        <w:rPr>
          <w:color w:val="000000" w:themeColor="text1"/>
          <w:lang w:val="en-US"/>
        </w:rPr>
        <w:t>REM</w:t>
      </w:r>
      <w:r w:rsidR="00B44E62" w:rsidRPr="004B3B88">
        <w:rPr>
          <w:color w:val="000000" w:themeColor="text1"/>
          <w:vertAlign w:val="subscript"/>
          <w:lang w:val="en-US"/>
        </w:rPr>
        <w:t>bio</w:t>
      </w:r>
      <w:proofErr w:type="spellEnd"/>
      <w:r w:rsidR="00B44E62" w:rsidRPr="004B3B88">
        <w:rPr>
          <w:color w:val="000000" w:themeColor="text1"/>
          <w:lang w:val="en-US"/>
        </w:rPr>
        <w:t>)</w:t>
      </w:r>
      <w:r w:rsidRPr="004B3B88">
        <w:rPr>
          <w:color w:val="000000" w:themeColor="text1"/>
          <w:lang w:val="en-US"/>
        </w:rPr>
        <w:t xml:space="preserve"> and </w:t>
      </w:r>
      <w:proofErr w:type="gramStart"/>
      <w:r w:rsidRPr="004B3B88">
        <w:rPr>
          <w:color w:val="000000" w:themeColor="text1"/>
          <w:lang w:val="en-US"/>
        </w:rPr>
        <w:t>both of the processes</w:t>
      </w:r>
      <w:proofErr w:type="gramEnd"/>
      <w:r w:rsidRPr="004B3B88">
        <w:rPr>
          <w:color w:val="000000" w:themeColor="text1"/>
          <w:lang w:val="en-US"/>
        </w:rPr>
        <w:t xml:space="preserve"> </w:t>
      </w:r>
      <w:r w:rsidR="00B44E62" w:rsidRPr="004B3B88">
        <w:rPr>
          <w:color w:val="000000" w:themeColor="text1"/>
          <w:lang w:val="en-US"/>
        </w:rPr>
        <w:t>was obtained by summing up the corresponding daily tDOC removal from day 0 to day 730</w:t>
      </w:r>
      <w:r w:rsidR="002F7DCD" w:rsidRPr="004B3B88">
        <w:rPr>
          <w:color w:val="000000" w:themeColor="text1"/>
          <w:lang w:val="en-US"/>
        </w:rPr>
        <w:t>:</w:t>
      </w:r>
    </w:p>
    <w:p w14:paraId="283021C3" w14:textId="4F01993F" w:rsidR="002F7DCD" w:rsidRPr="004B3B88" w:rsidRDefault="00FC1BD9" w:rsidP="00623D54">
      <w:pPr>
        <w:spacing w:line="480" w:lineRule="auto"/>
        <w:rPr>
          <w:color w:val="000000" w:themeColor="text1"/>
          <w:lang w:val="en-US"/>
        </w:rPr>
      </w:pPr>
      <m:oMathPara>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REM</m:t>
                  </m:r>
                </m:e>
                <m:sub>
                  <m:r>
                    <w:rPr>
                      <w:rFonts w:ascii="Cambria Math" w:hAnsi="Cambria Math"/>
                      <w:color w:val="000000" w:themeColor="text1"/>
                      <w:lang w:val="en-US"/>
                    </w:rPr>
                    <m:t>photo</m:t>
                  </m:r>
                </m:sub>
              </m:sSub>
              <m:r>
                <w:rPr>
                  <w:rFonts w:ascii="Cambria Math" w:hAnsi="Cambria Math"/>
                  <w:color w:val="000000" w:themeColor="text1"/>
                  <w:lang w:val="en-US"/>
                </w:rPr>
                <m:t>=</m:t>
              </m:r>
              <m:nary>
                <m:naryPr>
                  <m:limLoc m:val="subSup"/>
                  <m:ctrlPr>
                    <w:rPr>
                      <w:rFonts w:ascii="Cambria Math" w:hAnsi="Cambria Math"/>
                      <w:i/>
                      <w:color w:val="000000" w:themeColor="text1"/>
                      <w:lang w:val="en-US"/>
                    </w:rPr>
                  </m:ctrlPr>
                </m:naryPr>
                <m:sub>
                  <m:r>
                    <w:rPr>
                      <w:rFonts w:ascii="Cambria Math" w:hAnsi="Cambria Math"/>
                      <w:color w:val="000000" w:themeColor="text1"/>
                      <w:lang w:val="en-US"/>
                    </w:rPr>
                    <m:t>0d</m:t>
                  </m:r>
                </m:sub>
                <m:sup>
                  <m:r>
                    <w:rPr>
                      <w:rFonts w:ascii="Cambria Math" w:hAnsi="Cambria Math"/>
                      <w:color w:val="000000" w:themeColor="text1"/>
                      <w:lang w:val="en-US"/>
                    </w:rPr>
                    <m:t>730d</m:t>
                  </m:r>
                </m:sup>
                <m:e>
                  <m:r>
                    <w:rPr>
                      <w:rFonts w:ascii="Cambria Math" w:hAnsi="Cambria Math"/>
                      <w:color w:val="000000" w:themeColor="text1"/>
                      <w:lang w:val="en-US"/>
                    </w:rPr>
                    <m:t>PDloss</m:t>
                  </m:r>
                  <m:d>
                    <m:dPr>
                      <m:ctrlPr>
                        <w:rPr>
                          <w:rFonts w:ascii="Cambria Math" w:hAnsi="Cambria Math"/>
                          <w:i/>
                          <w:color w:val="000000" w:themeColor="text1"/>
                          <w:lang w:val="en-US"/>
                        </w:rPr>
                      </m:ctrlPr>
                    </m:dPr>
                    <m:e>
                      <m:r>
                        <w:rPr>
                          <w:rFonts w:ascii="Cambria Math" w:hAnsi="Cambria Math"/>
                          <w:color w:val="000000" w:themeColor="text1"/>
                          <w:lang w:val="en-US"/>
                        </w:rPr>
                        <m:t>t</m:t>
                      </m:r>
                    </m:e>
                  </m:d>
                </m:e>
              </m:nary>
              <m:r>
                <w:rPr>
                  <w:rFonts w:ascii="Cambria Math" w:hAnsi="Cambria Math"/>
                  <w:color w:val="000000" w:themeColor="text1"/>
                  <w:lang w:val="en-US"/>
                </w:rPr>
                <m:t>dt#Eq.S5</m:t>
              </m:r>
            </m:e>
          </m:eqArr>
        </m:oMath>
      </m:oMathPara>
    </w:p>
    <w:p w14:paraId="4C2EF551" w14:textId="69948A9B" w:rsidR="002F7DCD" w:rsidRPr="004B3B88" w:rsidRDefault="00FC1BD9" w:rsidP="00623D54">
      <w:pPr>
        <w:spacing w:line="480" w:lineRule="auto"/>
        <w:rPr>
          <w:color w:val="000000" w:themeColor="text1"/>
          <w:lang w:val="en-US"/>
        </w:rPr>
      </w:pPr>
      <m:oMathPara>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REM</m:t>
                  </m:r>
                </m:e>
                <m:sub>
                  <m:r>
                    <w:rPr>
                      <w:rFonts w:ascii="Cambria Math" w:hAnsi="Cambria Math"/>
                      <w:color w:val="000000" w:themeColor="text1"/>
                      <w:lang w:val="en-US"/>
                    </w:rPr>
                    <m:t>bio</m:t>
                  </m:r>
                </m:sub>
              </m:sSub>
              <m:r>
                <w:rPr>
                  <w:rFonts w:ascii="Cambria Math" w:hAnsi="Cambria Math"/>
                  <w:color w:val="000000" w:themeColor="text1"/>
                  <w:lang w:val="en-US"/>
                </w:rPr>
                <m:t>=</m:t>
              </m:r>
              <m:nary>
                <m:naryPr>
                  <m:limLoc m:val="subSup"/>
                  <m:ctrlPr>
                    <w:rPr>
                      <w:rFonts w:ascii="Cambria Math" w:hAnsi="Cambria Math"/>
                      <w:i/>
                      <w:color w:val="000000" w:themeColor="text1"/>
                      <w:lang w:val="en-US"/>
                    </w:rPr>
                  </m:ctrlPr>
                </m:naryPr>
                <m:sub>
                  <m:r>
                    <w:rPr>
                      <w:rFonts w:ascii="Cambria Math" w:hAnsi="Cambria Math"/>
                      <w:color w:val="000000" w:themeColor="text1"/>
                      <w:lang w:val="en-US"/>
                    </w:rPr>
                    <m:t>0d</m:t>
                  </m:r>
                </m:sub>
                <m:sup>
                  <m:r>
                    <w:rPr>
                      <w:rFonts w:ascii="Cambria Math" w:hAnsi="Cambria Math"/>
                      <w:color w:val="000000" w:themeColor="text1"/>
                      <w:lang w:val="en-US"/>
                    </w:rPr>
                    <m:t>730d</m:t>
                  </m:r>
                </m:sup>
                <m:e>
                  <m:r>
                    <w:rPr>
                      <w:rFonts w:ascii="Cambria Math" w:hAnsi="Cambria Math"/>
                      <w:color w:val="000000" w:themeColor="text1"/>
                      <w:lang w:val="en-US"/>
                    </w:rPr>
                    <m:t>BDloss</m:t>
                  </m:r>
                  <m:d>
                    <m:dPr>
                      <m:ctrlPr>
                        <w:rPr>
                          <w:rFonts w:ascii="Cambria Math" w:hAnsi="Cambria Math"/>
                          <w:i/>
                          <w:color w:val="000000" w:themeColor="text1"/>
                          <w:lang w:val="en-US"/>
                        </w:rPr>
                      </m:ctrlPr>
                    </m:dPr>
                    <m:e>
                      <m:r>
                        <w:rPr>
                          <w:rFonts w:ascii="Cambria Math" w:hAnsi="Cambria Math"/>
                          <w:color w:val="000000" w:themeColor="text1"/>
                          <w:lang w:val="en-US"/>
                        </w:rPr>
                        <m:t>t</m:t>
                      </m:r>
                    </m:e>
                  </m:d>
                </m:e>
              </m:nary>
              <m:r>
                <w:rPr>
                  <w:rFonts w:ascii="Cambria Math" w:hAnsi="Cambria Math"/>
                  <w:color w:val="000000" w:themeColor="text1"/>
                  <w:lang w:val="en-US"/>
                </w:rPr>
                <m:t>dt#Eq.S6</m:t>
              </m:r>
            </m:e>
          </m:eqArr>
        </m:oMath>
      </m:oMathPara>
    </w:p>
    <w:p w14:paraId="5752FA4E" w14:textId="7C842986" w:rsidR="00F559F6" w:rsidRPr="004B3B88" w:rsidRDefault="00B44E62" w:rsidP="00623D54">
      <w:pPr>
        <w:spacing w:line="480" w:lineRule="auto"/>
        <w:rPr>
          <w:color w:val="000000" w:themeColor="text1"/>
          <w:sz w:val="28"/>
          <w:szCs w:val="28"/>
          <w:lang w:val="en-US"/>
        </w:rPr>
      </w:pPr>
      <w:r w:rsidRPr="004B3B88">
        <w:rPr>
          <w:color w:val="000000" w:themeColor="text1"/>
          <w:sz w:val="28"/>
          <w:szCs w:val="28"/>
          <w:lang w:val="en-US"/>
        </w:rPr>
        <w:t>S1.1.2 Model simulation o</w:t>
      </w:r>
      <w:r w:rsidR="00136FB8">
        <w:rPr>
          <w:color w:val="000000" w:themeColor="text1"/>
          <w:sz w:val="28"/>
          <w:szCs w:val="28"/>
          <w:lang w:val="en-US"/>
        </w:rPr>
        <w:t>f</w:t>
      </w:r>
      <w:r w:rsidRPr="004B3B88">
        <w:rPr>
          <w:color w:val="000000" w:themeColor="text1"/>
          <w:sz w:val="28"/>
          <w:szCs w:val="28"/>
          <w:lang w:val="en-US"/>
        </w:rPr>
        <w:t xml:space="preserve"> </w:t>
      </w:r>
      <w:r w:rsidR="00595599">
        <w:rPr>
          <w:color w:val="000000" w:themeColor="text1"/>
          <w:sz w:val="28"/>
          <w:szCs w:val="28"/>
          <w:lang w:val="en-US"/>
        </w:rPr>
        <w:t>photodegradation and photo-influenced biodegradation</w:t>
      </w:r>
    </w:p>
    <w:p w14:paraId="45CFDE15" w14:textId="384598E4" w:rsidR="00B44E62" w:rsidRPr="004B3B88" w:rsidRDefault="00B44E62" w:rsidP="00B44E62">
      <w:pPr>
        <w:spacing w:line="480" w:lineRule="auto"/>
        <w:rPr>
          <w:color w:val="000000" w:themeColor="text1"/>
          <w:lang w:val="en-US"/>
        </w:rPr>
      </w:pPr>
      <w:r w:rsidRPr="004B3B88">
        <w:rPr>
          <w:color w:val="000000" w:themeColor="text1"/>
          <w:lang w:val="en-US"/>
        </w:rPr>
        <w:t>The amount of DOC and CDOM removed from photodegradation between day T-1 and T (PDloss</w:t>
      </w:r>
      <w:r w:rsidRPr="004B3B88">
        <w:rPr>
          <w:color w:val="000000" w:themeColor="text1"/>
          <w:vertAlign w:val="subscript"/>
          <w:lang w:val="en-US"/>
        </w:rPr>
        <w:t>T-1</w:t>
      </w:r>
      <w:r w:rsidRPr="004B3B88">
        <w:rPr>
          <w:color w:val="000000" w:themeColor="text1"/>
          <w:lang w:val="en-US"/>
        </w:rPr>
        <w:t>) was calculated as described above.</w:t>
      </w:r>
    </w:p>
    <w:p w14:paraId="79AA7DB1" w14:textId="589986D1" w:rsidR="00043F81" w:rsidRPr="004B3B88" w:rsidRDefault="00043F81" w:rsidP="00043F81">
      <w:pPr>
        <w:spacing w:line="480" w:lineRule="auto"/>
        <w:rPr>
          <w:color w:val="000000" w:themeColor="text1"/>
          <w:lang w:val="en-US"/>
        </w:rPr>
      </w:pPr>
      <w:r w:rsidRPr="004B3B88">
        <w:rPr>
          <w:color w:val="000000" w:themeColor="text1"/>
          <w:lang w:val="en-US"/>
        </w:rPr>
        <w:t xml:space="preserve">The amount of tDOC degraded </w:t>
      </w:r>
      <w:r w:rsidR="002F7DCD" w:rsidRPr="004B3B88">
        <w:rPr>
          <w:color w:val="000000" w:themeColor="text1"/>
          <w:lang w:val="en-US"/>
        </w:rPr>
        <w:t xml:space="preserve">and the concentration of CDOM decreased </w:t>
      </w:r>
      <w:r w:rsidRPr="004B3B88">
        <w:rPr>
          <w:color w:val="000000" w:themeColor="text1"/>
          <w:lang w:val="en-US"/>
        </w:rPr>
        <w:t>from photo-influenced biodegradation between day T-1 and T was calculated by:</w:t>
      </w:r>
    </w:p>
    <w:p w14:paraId="69EC491D" w14:textId="5FF1EAAB" w:rsidR="00B44E62" w:rsidRPr="004B3B88" w:rsidRDefault="00FC1BD9" w:rsidP="00B44E62">
      <w:pPr>
        <w:spacing w:line="480" w:lineRule="auto"/>
        <w:rPr>
          <w:color w:val="000000" w:themeColor="text1"/>
          <w:lang w:val="en-US"/>
        </w:rPr>
      </w:pPr>
      <m:oMathPara>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PIBloss</m:t>
                  </m:r>
                </m:e>
                <m:sub>
                  <m:r>
                    <w:rPr>
                      <w:rFonts w:ascii="Cambria Math" w:hAnsi="Cambria Math"/>
                      <w:color w:val="000000" w:themeColor="text1"/>
                      <w:lang w:val="en-US"/>
                    </w:rPr>
                    <m:t>T-1</m:t>
                  </m:r>
                </m:sub>
              </m:sSub>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C</m:t>
                  </m:r>
                </m:e>
                <m:sub>
                  <m:r>
                    <w:rPr>
                      <w:rFonts w:ascii="Cambria Math" w:hAnsi="Cambria Math"/>
                      <w:color w:val="000000" w:themeColor="text1"/>
                      <w:lang w:val="en-US"/>
                    </w:rPr>
                    <m:t>T-1</m:t>
                  </m:r>
                </m:sub>
              </m:sSub>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C</m:t>
                  </m:r>
                </m:e>
                <m:sub>
                  <m:r>
                    <w:rPr>
                      <w:rFonts w:ascii="Cambria Math" w:hAnsi="Cambria Math"/>
                      <w:color w:val="000000" w:themeColor="text1"/>
                      <w:lang w:val="en-US"/>
                    </w:rPr>
                    <m:t>T-1</m:t>
                  </m:r>
                </m:sub>
              </m:sSub>
              <m:r>
                <w:rPr>
                  <w:rFonts w:ascii="Cambria Math" w:hAnsi="Cambria Math"/>
                  <w:color w:val="000000" w:themeColor="text1"/>
                  <w:lang w:val="en-US"/>
                </w:rPr>
                <m:t xml:space="preserve"> </m:t>
              </m:r>
              <m:sSup>
                <m:sSupPr>
                  <m:ctrlPr>
                    <w:rPr>
                      <w:rFonts w:ascii="Cambria Math" w:hAnsi="Cambria Math"/>
                      <w:i/>
                      <w:color w:val="000000" w:themeColor="text1"/>
                      <w:lang w:val="en-US"/>
                    </w:rPr>
                  </m:ctrlPr>
                </m:sSupPr>
                <m:e>
                  <m:r>
                    <w:rPr>
                      <w:rFonts w:ascii="Cambria Math" w:hAnsi="Cambria Math"/>
                      <w:color w:val="000000" w:themeColor="text1"/>
                      <w:lang w:val="en-US"/>
                    </w:rPr>
                    <m:t>e</m:t>
                  </m:r>
                </m:e>
                <m:sup>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k</m:t>
                      </m:r>
                    </m:e>
                    <m:sub>
                      <m:r>
                        <w:rPr>
                          <w:rFonts w:ascii="Cambria Math" w:hAnsi="Cambria Math"/>
                          <w:color w:val="000000" w:themeColor="text1"/>
                          <w:lang w:val="en-US"/>
                        </w:rPr>
                        <m:t>PIB</m:t>
                      </m:r>
                    </m:sub>
                  </m:sSub>
                  <m:r>
                    <w:rPr>
                      <w:rFonts w:ascii="Cambria Math" w:hAnsi="Cambria Math"/>
                      <w:color w:val="000000" w:themeColor="text1"/>
                      <w:lang w:val="en-US"/>
                    </w:rPr>
                    <m:t xml:space="preserve"> </m:t>
                  </m:r>
                  <m:d>
                    <m:dPr>
                      <m:ctrlPr>
                        <w:rPr>
                          <w:rFonts w:ascii="Cambria Math" w:hAnsi="Cambria Math"/>
                          <w:i/>
                          <w:color w:val="000000" w:themeColor="text1"/>
                          <w:lang w:val="en-US"/>
                        </w:rPr>
                      </m:ctrlPr>
                    </m:dPr>
                    <m:e>
                      <m:r>
                        <w:rPr>
                          <w:rFonts w:ascii="Cambria Math" w:hAnsi="Cambria Math"/>
                          <w:color w:val="000000" w:themeColor="text1"/>
                          <w:lang w:val="en-US"/>
                        </w:rPr>
                        <m:t>T-</m:t>
                      </m:r>
                      <m:d>
                        <m:dPr>
                          <m:ctrlPr>
                            <w:rPr>
                              <w:rFonts w:ascii="Cambria Math" w:hAnsi="Cambria Math"/>
                              <w:i/>
                              <w:color w:val="000000" w:themeColor="text1"/>
                              <w:lang w:val="en-US"/>
                            </w:rPr>
                          </m:ctrlPr>
                        </m:dPr>
                        <m:e>
                          <m:r>
                            <w:rPr>
                              <w:rFonts w:ascii="Cambria Math" w:hAnsi="Cambria Math"/>
                              <w:color w:val="000000" w:themeColor="text1"/>
                              <w:lang w:val="en-US"/>
                            </w:rPr>
                            <m:t>T-1</m:t>
                          </m:r>
                        </m:e>
                      </m:d>
                    </m:e>
                  </m:d>
                </m:sup>
              </m:sSup>
              <m:r>
                <w:rPr>
                  <w:rFonts w:ascii="Cambria Math" w:hAnsi="Cambria Math"/>
                  <w:color w:val="000000" w:themeColor="text1"/>
                  <w:lang w:val="en-US"/>
                </w:rPr>
                <m:t>#Eq. S7</m:t>
              </m:r>
            </m:e>
          </m:eqArr>
        </m:oMath>
      </m:oMathPara>
    </w:p>
    <w:p w14:paraId="180409A0" w14:textId="09EF059F" w:rsidR="002F7DCD" w:rsidRPr="004B3B88" w:rsidRDefault="002F7DCD" w:rsidP="00B44E62">
      <w:pPr>
        <w:spacing w:line="480" w:lineRule="auto"/>
        <w:rPr>
          <w:color w:val="000000" w:themeColor="text1"/>
          <w:lang w:val="en-US"/>
        </w:rPr>
      </w:pPr>
      <w:r w:rsidRPr="004B3B88">
        <w:rPr>
          <w:color w:val="000000" w:themeColor="text1"/>
          <w:lang w:val="en-US"/>
        </w:rPr>
        <w:t>where C</w:t>
      </w:r>
      <w:r w:rsidRPr="004B3B88">
        <w:rPr>
          <w:color w:val="000000" w:themeColor="text1"/>
          <w:vertAlign w:val="subscript"/>
          <w:lang w:val="en-US"/>
        </w:rPr>
        <w:t>T-1</w:t>
      </w:r>
      <w:r w:rsidRPr="004B3B88">
        <w:rPr>
          <w:color w:val="000000" w:themeColor="text1"/>
          <w:lang w:val="en-US"/>
        </w:rPr>
        <w:t xml:space="preserve"> is the amount of tDOC (mol) or the wavelength-specific absorption coefficient on day T-1 (m</w:t>
      </w:r>
      <w:r w:rsidRPr="004B3B88">
        <w:rPr>
          <w:color w:val="000000" w:themeColor="text1"/>
          <w:vertAlign w:val="superscript"/>
          <w:lang w:val="en-US"/>
        </w:rPr>
        <w:t>–1</w:t>
      </w:r>
      <w:r w:rsidRPr="004B3B88">
        <w:rPr>
          <w:color w:val="000000" w:themeColor="text1"/>
          <w:lang w:val="en-US"/>
        </w:rPr>
        <w:t xml:space="preserve">), </w:t>
      </w:r>
      <w:proofErr w:type="spellStart"/>
      <w:r w:rsidRPr="004B3B88">
        <w:rPr>
          <w:color w:val="000000" w:themeColor="text1"/>
          <w:lang w:val="en-US"/>
        </w:rPr>
        <w:t>k</w:t>
      </w:r>
      <w:r w:rsidRPr="004B3B88">
        <w:rPr>
          <w:color w:val="000000" w:themeColor="text1"/>
          <w:vertAlign w:val="subscript"/>
          <w:lang w:val="en-US"/>
        </w:rPr>
        <w:t>PIB</w:t>
      </w:r>
      <w:r w:rsidR="00F94331" w:rsidRPr="004B3B88">
        <w:rPr>
          <w:color w:val="000000" w:themeColor="text1"/>
          <w:vertAlign w:val="subscript"/>
          <w:lang w:val="en-US"/>
        </w:rPr>
        <w:t>-tDOC</w:t>
      </w:r>
      <w:proofErr w:type="spellEnd"/>
      <w:r w:rsidRPr="004B3B88">
        <w:rPr>
          <w:color w:val="000000" w:themeColor="text1"/>
          <w:lang w:val="en-US"/>
        </w:rPr>
        <w:t xml:space="preserve"> </w:t>
      </w:r>
      <w:r w:rsidR="00BA4721" w:rsidRPr="004B3B88">
        <w:rPr>
          <w:color w:val="000000" w:themeColor="text1"/>
          <w:lang w:val="en-US"/>
        </w:rPr>
        <w:t xml:space="preserve">on day T </w:t>
      </w:r>
      <w:r w:rsidRPr="004B3B88">
        <w:rPr>
          <w:color w:val="000000" w:themeColor="text1"/>
          <w:lang w:val="en-US"/>
        </w:rPr>
        <w:t>was calculated from its linear relationship with DOC-</w:t>
      </w:r>
      <w:r w:rsidRPr="004B3B88">
        <w:rPr>
          <w:color w:val="000000" w:themeColor="text1"/>
          <w:lang w:val="en-US"/>
        </w:rPr>
        <w:lastRenderedPageBreak/>
        <w:t>normalized photon absorption</w:t>
      </w:r>
      <w:r w:rsidR="00BA4721" w:rsidRPr="004B3B88">
        <w:rPr>
          <w:color w:val="000000" w:themeColor="text1"/>
          <w:lang w:val="en-US"/>
        </w:rPr>
        <w:t xml:space="preserve"> between 300–440 nm </w:t>
      </w:r>
      <w:r w:rsidR="00FE689B" w:rsidRPr="004B3B88">
        <w:rPr>
          <w:color w:val="000000" w:themeColor="text1"/>
          <w:lang w:val="en-US"/>
        </w:rPr>
        <w:t>(AP</w:t>
      </w:r>
      <w:r w:rsidR="00FE689B" w:rsidRPr="004B3B88">
        <w:rPr>
          <w:color w:val="000000" w:themeColor="text1"/>
          <w:vertAlign w:val="subscript"/>
          <w:lang w:val="en-US"/>
        </w:rPr>
        <w:t>300–440</w:t>
      </w:r>
      <w:r w:rsidR="00FE689B" w:rsidRPr="004B3B88">
        <w:rPr>
          <w:color w:val="000000" w:themeColor="text1"/>
          <w:lang w:val="en-US"/>
        </w:rPr>
        <w:t>/DOC</w:t>
      </w:r>
      <w:r w:rsidR="00FE689B" w:rsidRPr="004B3B88">
        <w:rPr>
          <w:color w:val="000000" w:themeColor="text1"/>
          <w:vertAlign w:val="subscript"/>
          <w:lang w:val="en-US"/>
        </w:rPr>
        <w:t>0</w:t>
      </w:r>
      <w:r w:rsidR="00FE689B" w:rsidRPr="004B3B88">
        <w:rPr>
          <w:color w:val="000000" w:themeColor="text1"/>
          <w:lang w:val="en-US"/>
        </w:rPr>
        <w:t xml:space="preserve">, mol photons </w:t>
      </w:r>
      <w:r w:rsidR="00FE689B" w:rsidRPr="004B3B88">
        <w:rPr>
          <w:color w:val="000000" w:themeColor="text1"/>
          <w:lang w:val="en-US"/>
        </w:rPr>
        <w:sym w:font="Symbol" w:char="F020"/>
      </w:r>
      <w:r w:rsidR="00FE689B" w:rsidRPr="004B3B88">
        <w:rPr>
          <w:color w:val="000000" w:themeColor="text1"/>
          <w:lang w:val="en-US"/>
        </w:rPr>
        <w:sym w:font="Symbol" w:char="F06D"/>
      </w:r>
      <w:r w:rsidR="00FE689B" w:rsidRPr="004B3B88">
        <w:rPr>
          <w:color w:val="000000" w:themeColor="text1"/>
          <w:lang w:val="en-US"/>
        </w:rPr>
        <w:t>mol</w:t>
      </w:r>
      <w:r w:rsidR="00FE689B" w:rsidRPr="004B3B88">
        <w:rPr>
          <w:color w:val="000000" w:themeColor="text1"/>
          <w:vertAlign w:val="superscript"/>
          <w:lang w:val="en-US"/>
        </w:rPr>
        <w:t>–1</w:t>
      </w:r>
      <w:r w:rsidR="00FE689B" w:rsidRPr="004B3B88">
        <w:rPr>
          <w:color w:val="000000" w:themeColor="text1"/>
          <w:lang w:val="en-US"/>
        </w:rPr>
        <w:t xml:space="preserve"> C) </w:t>
      </w:r>
      <w:r w:rsidR="00BA4721" w:rsidRPr="004B3B88">
        <w:rPr>
          <w:color w:val="000000" w:themeColor="text1"/>
          <w:lang w:val="en-US"/>
        </w:rPr>
        <w:t xml:space="preserve">from day T-1 </w:t>
      </w:r>
      <w:r w:rsidRPr="004B3B88">
        <w:rPr>
          <w:color w:val="000000" w:themeColor="text1"/>
          <w:lang w:val="en-US"/>
        </w:rPr>
        <w:t>as shown in Fig. 6 in the main manuscript</w:t>
      </w:r>
      <w:r w:rsidR="00BA4721" w:rsidRPr="004B3B88">
        <w:rPr>
          <w:color w:val="000000" w:themeColor="text1"/>
          <w:lang w:val="en-US"/>
        </w:rPr>
        <w:t>:</w:t>
      </w:r>
    </w:p>
    <w:p w14:paraId="1484DFCA" w14:textId="70F3D18A" w:rsidR="002F7DCD" w:rsidRPr="004B3B88" w:rsidRDefault="00FC1BD9" w:rsidP="00B44E62">
      <w:pPr>
        <w:spacing w:line="480" w:lineRule="auto"/>
        <w:rPr>
          <w:color w:val="000000" w:themeColor="text1"/>
          <w:lang w:val="en-US"/>
        </w:rPr>
      </w:pPr>
      <m:oMathPara>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k</m:t>
                  </m:r>
                </m:e>
                <m:sub>
                  <m:r>
                    <w:rPr>
                      <w:rFonts w:ascii="Cambria Math" w:hAnsi="Cambria Math"/>
                      <w:color w:val="000000" w:themeColor="text1"/>
                      <w:lang w:val="en-US"/>
                    </w:rPr>
                    <m:t>PI</m:t>
                  </m:r>
                  <m:sSub>
                    <m:sSubPr>
                      <m:ctrlPr>
                        <w:rPr>
                          <w:rFonts w:ascii="Cambria Math" w:hAnsi="Cambria Math"/>
                          <w:i/>
                          <w:color w:val="000000" w:themeColor="text1"/>
                          <w:lang w:val="en-US"/>
                        </w:rPr>
                      </m:ctrlPr>
                    </m:sSubPr>
                    <m:e>
                      <m:r>
                        <w:rPr>
                          <w:rFonts w:ascii="Cambria Math" w:hAnsi="Cambria Math"/>
                          <w:color w:val="000000" w:themeColor="text1"/>
                          <w:lang w:val="en-US"/>
                        </w:rPr>
                        <m:t>B</m:t>
                      </m:r>
                    </m:e>
                    <m:sub>
                      <m:r>
                        <w:rPr>
                          <w:rFonts w:ascii="Cambria Math" w:hAnsi="Cambria Math"/>
                          <w:color w:val="000000" w:themeColor="text1"/>
                          <w:lang w:val="en-US"/>
                        </w:rPr>
                        <m:t>DOC</m:t>
                      </m:r>
                    </m:sub>
                  </m:sSub>
                </m:sub>
              </m:sSub>
              <m:r>
                <w:rPr>
                  <w:rFonts w:ascii="Cambria Math" w:hAnsi="Cambria Math"/>
                  <w:color w:val="000000" w:themeColor="text1"/>
                  <w:lang w:val="en-US"/>
                </w:rPr>
                <m:t xml:space="preserve">(T)=0.47 </m:t>
              </m:r>
              <m:sSub>
                <m:sSubPr>
                  <m:ctrlPr>
                    <w:rPr>
                      <w:rFonts w:ascii="Cambria Math" w:hAnsi="Cambria Math"/>
                      <w:i/>
                      <w:color w:val="000000" w:themeColor="text1"/>
                      <w:lang w:val="en-US"/>
                    </w:rPr>
                  </m:ctrlPr>
                </m:sSubPr>
                <m:e>
                  <m:r>
                    <w:rPr>
                      <w:rFonts w:ascii="Cambria Math" w:hAnsi="Cambria Math"/>
                      <w:color w:val="000000" w:themeColor="text1"/>
                      <w:lang w:val="en-US"/>
                    </w:rPr>
                    <m:t>AP</m:t>
                  </m:r>
                </m:e>
                <m:sub>
                  <m:r>
                    <w:rPr>
                      <w:rFonts w:ascii="Cambria Math" w:hAnsi="Cambria Math"/>
                      <w:color w:val="000000" w:themeColor="text1"/>
                      <w:lang w:val="en-US"/>
                    </w:rPr>
                    <m:t>300-440</m:t>
                  </m:r>
                </m:sub>
              </m:sSub>
              <m:r>
                <w:rPr>
                  <w:rFonts w:ascii="Cambria Math" w:hAnsi="Cambria Math"/>
                  <w:color w:val="000000" w:themeColor="text1"/>
                  <w:lang w:val="en-US"/>
                </w:rPr>
                <m:t>(T-1)/</m:t>
              </m:r>
              <m:sSub>
                <m:sSubPr>
                  <m:ctrlPr>
                    <w:rPr>
                      <w:rFonts w:ascii="Cambria Math" w:hAnsi="Cambria Math"/>
                      <w:i/>
                      <w:color w:val="000000" w:themeColor="text1"/>
                      <w:lang w:val="en-US"/>
                    </w:rPr>
                  </m:ctrlPr>
                </m:sSubPr>
                <m:e>
                  <m:r>
                    <w:rPr>
                      <w:rFonts w:ascii="Cambria Math" w:hAnsi="Cambria Math"/>
                      <w:color w:val="000000" w:themeColor="text1"/>
                      <w:lang w:val="en-US"/>
                    </w:rPr>
                    <m:t>tDOC</m:t>
                  </m:r>
                </m:e>
                <m:sub>
                  <m:r>
                    <w:rPr>
                      <w:rFonts w:ascii="Cambria Math" w:hAnsi="Cambria Math"/>
                      <w:color w:val="000000" w:themeColor="text1"/>
                      <w:lang w:val="en-US"/>
                    </w:rPr>
                    <m:t>0</m:t>
                  </m:r>
                </m:sub>
              </m:sSub>
              <m:r>
                <w:rPr>
                  <w:rFonts w:ascii="Cambria Math" w:hAnsi="Cambria Math"/>
                  <w:color w:val="000000" w:themeColor="text1"/>
                  <w:lang w:val="en-US"/>
                </w:rPr>
                <m:t>+0.00044#Eq. S8</m:t>
              </m:r>
            </m:e>
          </m:eqArr>
        </m:oMath>
      </m:oMathPara>
    </w:p>
    <w:p w14:paraId="34B8CE58" w14:textId="25569F88" w:rsidR="00B44E62" w:rsidRPr="004B3B88" w:rsidRDefault="00E168EC" w:rsidP="00623D54">
      <w:pPr>
        <w:spacing w:line="480" w:lineRule="auto"/>
        <w:rPr>
          <w:color w:val="000000" w:themeColor="text1"/>
          <w:lang w:val="en-US"/>
        </w:rPr>
      </w:pPr>
      <w:r w:rsidRPr="004B3B88">
        <w:rPr>
          <w:color w:val="000000" w:themeColor="text1"/>
          <w:lang w:val="en-US"/>
        </w:rPr>
        <w:t xml:space="preserve">The photons absorbed during day T-1 was calculated </w:t>
      </w:r>
      <w:r w:rsidR="004C2427" w:rsidRPr="004B3B88">
        <w:rPr>
          <w:color w:val="000000" w:themeColor="text1"/>
          <w:lang w:val="en-US"/>
        </w:rPr>
        <w:t xml:space="preserve">following the details of absorbed photon dose during photodegradation but applying the wavelength range of 300–440 nm </w:t>
      </w:r>
      <w:r w:rsidR="004C2427" w:rsidRPr="004B3B88">
        <w:rPr>
          <w:color w:val="000000" w:themeColor="text1"/>
          <w:lang w:val="en-US"/>
        </w:rPr>
        <w:fldChar w:fldCharType="begin"/>
      </w:r>
      <w:r w:rsidR="004C2427" w:rsidRPr="004B3B88">
        <w:rPr>
          <w:color w:val="000000" w:themeColor="text1"/>
          <w:lang w:val="en-US"/>
        </w:rPr>
        <w:instrText xml:space="preserve"> ADDIN EN.CITE &lt;EndNote&gt;&lt;Cite&gt;&lt;Author&gt;Zhou&lt;/Author&gt;&lt;Year&gt;2023&lt;/Year&gt;&lt;RecNum&gt;634&lt;/RecNum&gt;&lt;DisplayText&gt;(Zhou et al., 2023)&lt;/DisplayText&gt;&lt;record&gt;&lt;rec-number&gt;634&lt;/rec-number&gt;&lt;foreign-keys&gt;&lt;key app="EN" db-id="zwaed0a2r5exxpef52axewxmtvvxvx2w0ff0" timestamp="1702889173"&gt;634&lt;/key&gt;&lt;/foreign-keys&gt;&lt;ref-type name="Journal Article"&gt;17&lt;/ref-type&gt;&lt;contributors&gt;&lt;authors&gt;&lt;author&gt;Zhou, Yongli&lt;/author&gt;&lt;author&gt;Müller, Moritz&lt;/author&gt;&lt;author&gt;Cherukuru, Nagur&lt;/author&gt;&lt;author&gt;Martin, Patrick&lt;/author&gt;&lt;/authors&gt;&lt;/contributors&gt;&lt;titles&gt;&lt;title&gt;Quantifying Photodegradation of Peatland-Derived Dissolved Organic Carbon in the Coastal Ocean of Southeast Asia&lt;/title&gt;&lt;secondary-title&gt;Journal of Geophysical Research: Oceans&lt;/secondary-title&gt;&lt;/titles&gt;&lt;periodical&gt;&lt;full-title&gt;Journal of Geophysical Research: Oceans&lt;/full-title&gt;&lt;/periodical&gt;&lt;pages&gt;e2023JC019741&lt;/pages&gt;&lt;volume&gt;128&lt;/volume&gt;&lt;number&gt;12&lt;/number&gt;&lt;dates&gt;&lt;year&gt;2023&lt;/year&gt;&lt;/dates&gt;&lt;isbn&gt;2169-9275&lt;/isbn&gt;&lt;urls&gt;&lt;related-urls&gt;&lt;url&gt;https://agupubs.onlinelibrary.wiley.com/doi/abs/10.1029/2023JC019741&lt;/url&gt;&lt;/related-urls&gt;&lt;/urls&gt;&lt;electronic-resource-num&gt;https://doi.org/10.1029/2023JC019741&lt;/electronic-resource-num&gt;&lt;/record&gt;&lt;/Cite&gt;&lt;/EndNote&gt;</w:instrText>
      </w:r>
      <w:r w:rsidR="004C2427" w:rsidRPr="004B3B88">
        <w:rPr>
          <w:color w:val="000000" w:themeColor="text1"/>
          <w:lang w:val="en-US"/>
        </w:rPr>
        <w:fldChar w:fldCharType="separate"/>
      </w:r>
      <w:r w:rsidR="004C2427" w:rsidRPr="004B3B88">
        <w:rPr>
          <w:noProof/>
          <w:color w:val="000000" w:themeColor="text1"/>
          <w:lang w:val="en-US"/>
        </w:rPr>
        <w:t>(Zhou et al., 2023)</w:t>
      </w:r>
      <w:r w:rsidR="004C2427" w:rsidRPr="004B3B88">
        <w:rPr>
          <w:color w:val="000000" w:themeColor="text1"/>
          <w:lang w:val="en-US"/>
        </w:rPr>
        <w:fldChar w:fldCharType="end"/>
      </w:r>
      <w:r w:rsidR="004C2427" w:rsidRPr="004B3B88">
        <w:rPr>
          <w:color w:val="000000" w:themeColor="text1"/>
          <w:lang w:val="en-US"/>
        </w:rPr>
        <w:t>.</w:t>
      </w:r>
      <w:r w:rsidR="00B53877" w:rsidRPr="004B3B88">
        <w:rPr>
          <w:color w:val="000000" w:themeColor="text1"/>
          <w:lang w:val="en-US"/>
        </w:rPr>
        <w:t xml:space="preserve"> tDOC</w:t>
      </w:r>
      <w:r w:rsidR="00B53877" w:rsidRPr="004B3B88">
        <w:rPr>
          <w:color w:val="000000" w:themeColor="text1"/>
          <w:vertAlign w:val="subscript"/>
          <w:lang w:val="en-US"/>
        </w:rPr>
        <w:t>0</w:t>
      </w:r>
      <w:r w:rsidR="00B53877" w:rsidRPr="004B3B88">
        <w:rPr>
          <w:color w:val="000000" w:themeColor="text1"/>
          <w:lang w:val="en-US"/>
        </w:rPr>
        <w:t xml:space="preserve"> is the initial amount of tDOC estimated from the two-endmember mixing model as model input (see S1.2).</w:t>
      </w:r>
    </w:p>
    <w:p w14:paraId="5949DA99" w14:textId="56E1E9D4" w:rsidR="0062414E" w:rsidRPr="004B3B88" w:rsidRDefault="0062414E" w:rsidP="00623D54">
      <w:pPr>
        <w:spacing w:line="480" w:lineRule="auto"/>
        <w:rPr>
          <w:color w:val="000000" w:themeColor="text1"/>
          <w:lang w:val="en-US"/>
        </w:rPr>
      </w:pPr>
      <w:r w:rsidRPr="004B3B88">
        <w:rPr>
          <w:color w:val="000000" w:themeColor="text1"/>
          <w:lang w:val="en-US"/>
        </w:rPr>
        <w:t>Then, the tDOC removed from photo-influenced biodegradation can be expressed as:</w:t>
      </w:r>
    </w:p>
    <w:p w14:paraId="737240C0" w14:textId="1E07E8B0" w:rsidR="0062414E" w:rsidRPr="004B3B88" w:rsidRDefault="00FC1BD9" w:rsidP="00623D54">
      <w:pPr>
        <w:spacing w:line="480" w:lineRule="auto"/>
        <w:rPr>
          <w:color w:val="000000" w:themeColor="text1"/>
          <w:lang w:val="en-US"/>
        </w:rPr>
      </w:pPr>
      <m:oMathPara>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REM</m:t>
                  </m:r>
                </m:e>
                <m:sub>
                  <m:r>
                    <w:rPr>
                      <w:rFonts w:ascii="Cambria Math" w:hAnsi="Cambria Math"/>
                      <w:color w:val="000000" w:themeColor="text1"/>
                      <w:lang w:val="en-US"/>
                    </w:rPr>
                    <m:t>P+B</m:t>
                  </m:r>
                </m:sub>
              </m:sSub>
              <m:r>
                <w:rPr>
                  <w:rFonts w:ascii="Cambria Math" w:hAnsi="Cambria Math"/>
                  <w:color w:val="000000" w:themeColor="text1"/>
                  <w:lang w:val="en-US"/>
                </w:rPr>
                <m:t>=</m:t>
              </m:r>
              <m:nary>
                <m:naryPr>
                  <m:limLoc m:val="subSup"/>
                  <m:ctrlPr>
                    <w:rPr>
                      <w:rFonts w:ascii="Cambria Math" w:hAnsi="Cambria Math"/>
                      <w:i/>
                      <w:color w:val="000000" w:themeColor="text1"/>
                      <w:lang w:val="en-US"/>
                    </w:rPr>
                  </m:ctrlPr>
                </m:naryPr>
                <m:sub>
                  <m:r>
                    <w:rPr>
                      <w:rFonts w:ascii="Cambria Math" w:hAnsi="Cambria Math"/>
                      <w:color w:val="000000" w:themeColor="text1"/>
                      <w:lang w:val="en-US"/>
                    </w:rPr>
                    <m:t>0d</m:t>
                  </m:r>
                </m:sub>
                <m:sup>
                  <m:r>
                    <w:rPr>
                      <w:rFonts w:ascii="Cambria Math" w:hAnsi="Cambria Math"/>
                      <w:color w:val="000000" w:themeColor="text1"/>
                      <w:lang w:val="en-US"/>
                    </w:rPr>
                    <m:t>730d</m:t>
                  </m:r>
                </m:sup>
                <m:e>
                  <m:r>
                    <w:rPr>
                      <w:rFonts w:ascii="Cambria Math" w:hAnsi="Cambria Math"/>
                      <w:color w:val="000000" w:themeColor="text1"/>
                      <w:lang w:val="en-US"/>
                    </w:rPr>
                    <m:t>PIBloss</m:t>
                  </m:r>
                  <m:d>
                    <m:dPr>
                      <m:ctrlPr>
                        <w:rPr>
                          <w:rFonts w:ascii="Cambria Math" w:hAnsi="Cambria Math"/>
                          <w:i/>
                          <w:color w:val="000000" w:themeColor="text1"/>
                          <w:lang w:val="en-US"/>
                        </w:rPr>
                      </m:ctrlPr>
                    </m:dPr>
                    <m:e>
                      <m:r>
                        <w:rPr>
                          <w:rFonts w:ascii="Cambria Math" w:hAnsi="Cambria Math"/>
                          <w:color w:val="000000" w:themeColor="text1"/>
                          <w:lang w:val="en-US"/>
                        </w:rPr>
                        <m:t>t</m:t>
                      </m:r>
                    </m:e>
                  </m:d>
                </m:e>
              </m:nary>
              <m:r>
                <w:rPr>
                  <w:rFonts w:ascii="Cambria Math" w:hAnsi="Cambria Math"/>
                  <w:color w:val="000000" w:themeColor="text1"/>
                  <w:lang w:val="en-US"/>
                </w:rPr>
                <m:t>dt#Eq.S9</m:t>
              </m:r>
            </m:e>
          </m:eqArr>
        </m:oMath>
      </m:oMathPara>
    </w:p>
    <w:p w14:paraId="060B588D" w14:textId="29FB59EA" w:rsidR="00F94331" w:rsidRPr="004B3B88" w:rsidRDefault="00F94331" w:rsidP="00623D54">
      <w:pPr>
        <w:spacing w:line="480" w:lineRule="auto"/>
        <w:rPr>
          <w:color w:val="000000" w:themeColor="text1"/>
          <w:lang w:val="en-US"/>
        </w:rPr>
      </w:pPr>
      <w:r w:rsidRPr="004B3B88">
        <w:rPr>
          <w:color w:val="000000" w:themeColor="text1"/>
          <w:lang w:val="en-US"/>
        </w:rPr>
        <w:t xml:space="preserve">Because the photo-influenced biodegradation also contains the degradation from pure </w:t>
      </w:r>
      <w:proofErr w:type="spellStart"/>
      <w:r w:rsidRPr="004B3B88">
        <w:rPr>
          <w:color w:val="000000" w:themeColor="text1"/>
          <w:lang w:val="en-US"/>
        </w:rPr>
        <w:t>micrbial</w:t>
      </w:r>
      <w:proofErr w:type="spellEnd"/>
      <w:r w:rsidRPr="004B3B88">
        <w:rPr>
          <w:color w:val="000000" w:themeColor="text1"/>
          <w:lang w:val="en-US"/>
        </w:rPr>
        <w:t xml:space="preserve"> processes, the net enhanced effect of prior irradiation (</w:t>
      </w:r>
      <w:proofErr w:type="spellStart"/>
      <w:r w:rsidRPr="004B3B88">
        <w:rPr>
          <w:color w:val="000000" w:themeColor="text1"/>
          <w:lang w:val="en-US"/>
        </w:rPr>
        <w:t>REM</w:t>
      </w:r>
      <w:r w:rsidRPr="004B3B88">
        <w:rPr>
          <w:color w:val="000000" w:themeColor="text1"/>
          <w:vertAlign w:val="subscript"/>
          <w:lang w:val="en-US"/>
        </w:rPr>
        <w:t>netP+B</w:t>
      </w:r>
      <w:proofErr w:type="spellEnd"/>
      <w:r w:rsidRPr="004B3B88">
        <w:rPr>
          <w:color w:val="000000" w:themeColor="text1"/>
          <w:lang w:val="en-US"/>
        </w:rPr>
        <w:t>) was calculated by:</w:t>
      </w:r>
    </w:p>
    <w:p w14:paraId="4A203AD0" w14:textId="4C4D2842" w:rsidR="00F94331" w:rsidRPr="004B3B88" w:rsidRDefault="00FC1BD9" w:rsidP="00623D54">
      <w:pPr>
        <w:spacing w:line="480" w:lineRule="auto"/>
        <w:rPr>
          <w:color w:val="000000" w:themeColor="text1"/>
          <w:lang w:val="en-US"/>
        </w:rPr>
      </w:pPr>
      <m:oMathPara>
        <m:oMath>
          <m:eqArr>
            <m:eqArrPr>
              <m:maxDist m:val="1"/>
              <m:ctrlPr>
                <w:rPr>
                  <w:rFonts w:ascii="Cambria Math" w:hAnsi="Cambria Math"/>
                  <w:i/>
                  <w:color w:val="000000" w:themeColor="text1"/>
                  <w:lang w:val="en-US"/>
                </w:rPr>
              </m:ctrlPr>
            </m:eqArrPr>
            <m:e>
              <m:sSub>
                <m:sSubPr>
                  <m:ctrlPr>
                    <w:rPr>
                      <w:rFonts w:ascii="Cambria Math" w:hAnsi="Cambria Math"/>
                      <w:i/>
                      <w:color w:val="000000" w:themeColor="text1"/>
                      <w:lang w:val="en-US"/>
                    </w:rPr>
                  </m:ctrlPr>
                </m:sSubPr>
                <m:e>
                  <m:r>
                    <w:rPr>
                      <w:rFonts w:ascii="Cambria Math" w:hAnsi="Cambria Math"/>
                      <w:color w:val="000000" w:themeColor="text1"/>
                      <w:lang w:val="en-US"/>
                    </w:rPr>
                    <m:t>REM</m:t>
                  </m:r>
                </m:e>
                <m:sub>
                  <m:r>
                    <w:rPr>
                      <w:rFonts w:ascii="Cambria Math" w:hAnsi="Cambria Math"/>
                      <w:color w:val="000000" w:themeColor="text1"/>
                      <w:lang w:val="en-US"/>
                    </w:rPr>
                    <m:t>netP+B</m:t>
                  </m:r>
                </m:sub>
              </m:sSub>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hint="eastAsia"/>
                      <w:color w:val="000000" w:themeColor="text1"/>
                      <w:lang w:val="en-US"/>
                    </w:rPr>
                    <m:t>REM</m:t>
                  </m:r>
                </m:e>
                <m:sub>
                  <m:r>
                    <w:rPr>
                      <w:rFonts w:ascii="Cambria Math" w:hAnsi="Cambria Math"/>
                      <w:color w:val="000000" w:themeColor="text1"/>
                      <w:lang w:val="en-US"/>
                    </w:rPr>
                    <m:t>P+B</m:t>
                  </m:r>
                </m:sub>
              </m:sSub>
              <m:r>
                <w:rPr>
                  <w:rFonts w:ascii="Cambria Math" w:hAnsi="Cambria Math"/>
                  <w:color w:val="000000" w:themeColor="text1"/>
                  <w:lang w:val="en-US"/>
                </w:rPr>
                <m:t>-</m:t>
              </m:r>
              <m:sSub>
                <m:sSubPr>
                  <m:ctrlPr>
                    <w:rPr>
                      <w:rFonts w:ascii="Cambria Math" w:hAnsi="Cambria Math"/>
                      <w:i/>
                      <w:color w:val="000000" w:themeColor="text1"/>
                      <w:lang w:val="en-US"/>
                    </w:rPr>
                  </m:ctrlPr>
                </m:sSubPr>
                <m:e>
                  <m:r>
                    <w:rPr>
                      <w:rFonts w:ascii="Cambria Math" w:hAnsi="Cambria Math"/>
                      <w:color w:val="000000" w:themeColor="text1"/>
                      <w:lang w:val="en-US"/>
                    </w:rPr>
                    <m:t>REM</m:t>
                  </m:r>
                </m:e>
                <m:sub>
                  <m:r>
                    <w:rPr>
                      <w:rFonts w:ascii="Cambria Math" w:hAnsi="Cambria Math"/>
                      <w:color w:val="000000" w:themeColor="text1"/>
                      <w:lang w:val="en-US"/>
                    </w:rPr>
                    <m:t>bio</m:t>
                  </m:r>
                </m:sub>
              </m:sSub>
              <m:r>
                <w:rPr>
                  <w:rFonts w:ascii="Cambria Math" w:hAnsi="Cambria Math"/>
                  <w:color w:val="000000" w:themeColor="text1"/>
                  <w:lang w:val="en-US"/>
                </w:rPr>
                <m:t>#Eq. S10</m:t>
              </m:r>
            </m:e>
          </m:eqArr>
        </m:oMath>
      </m:oMathPara>
    </w:p>
    <w:p w14:paraId="400E6ACC" w14:textId="71DCE7C8" w:rsidR="0062414E" w:rsidRPr="004B3B88" w:rsidRDefault="0062414E" w:rsidP="00623D54">
      <w:pPr>
        <w:spacing w:line="480" w:lineRule="auto"/>
        <w:rPr>
          <w:color w:val="000000" w:themeColor="text1"/>
          <w:lang w:val="en-US"/>
        </w:rPr>
      </w:pPr>
      <w:r w:rsidRPr="004B3B88">
        <w:rPr>
          <w:color w:val="000000" w:themeColor="text1"/>
          <w:lang w:val="en-US"/>
        </w:rPr>
        <w:t xml:space="preserve">However, as there was no photo-enhanced effect for CDOM biodegradation, </w:t>
      </w:r>
      <w:proofErr w:type="spellStart"/>
      <w:r w:rsidRPr="004B3B88">
        <w:rPr>
          <w:color w:val="000000" w:themeColor="text1"/>
          <w:lang w:val="en-US"/>
        </w:rPr>
        <w:t>k</w:t>
      </w:r>
      <w:r w:rsidRPr="004B3B88">
        <w:rPr>
          <w:color w:val="000000" w:themeColor="text1"/>
          <w:vertAlign w:val="subscript"/>
          <w:lang w:val="en-US"/>
        </w:rPr>
        <w:t>PIB</w:t>
      </w:r>
      <w:proofErr w:type="spellEnd"/>
      <w:r w:rsidR="00F94331" w:rsidRPr="004B3B88">
        <w:rPr>
          <w:color w:val="000000" w:themeColor="text1"/>
          <w:vertAlign w:val="subscript"/>
          <w:lang w:val="en-US"/>
        </w:rPr>
        <w:t>-CDOM</w:t>
      </w:r>
      <w:r w:rsidRPr="004B3B88">
        <w:rPr>
          <w:color w:val="000000" w:themeColor="text1"/>
          <w:lang w:val="en-US"/>
        </w:rPr>
        <w:t xml:space="preserve"> was </w:t>
      </w:r>
      <w:r w:rsidR="00F94331" w:rsidRPr="004B3B88">
        <w:rPr>
          <w:color w:val="000000" w:themeColor="text1"/>
          <w:lang w:val="en-US"/>
        </w:rPr>
        <w:t xml:space="preserve">thus entirely attributed to pure microbial processes, i.e., equal to </w:t>
      </w:r>
      <w:proofErr w:type="spellStart"/>
      <w:r w:rsidR="00F94331" w:rsidRPr="004B3B88">
        <w:rPr>
          <w:color w:val="000000" w:themeColor="text1"/>
          <w:lang w:val="en-US"/>
        </w:rPr>
        <w:t>k</w:t>
      </w:r>
      <w:r w:rsidR="00F94331" w:rsidRPr="004B3B88">
        <w:rPr>
          <w:color w:val="000000" w:themeColor="text1"/>
          <w:vertAlign w:val="subscript"/>
          <w:lang w:val="en-US"/>
        </w:rPr>
        <w:t>bio</w:t>
      </w:r>
      <w:proofErr w:type="spellEnd"/>
      <w:r w:rsidR="00F94331" w:rsidRPr="004B3B88">
        <w:rPr>
          <w:color w:val="000000" w:themeColor="text1"/>
          <w:vertAlign w:val="subscript"/>
          <w:lang w:val="en-US"/>
        </w:rPr>
        <w:t>-CDOM</w:t>
      </w:r>
      <w:r w:rsidR="00F94331" w:rsidRPr="004B3B88">
        <w:rPr>
          <w:color w:val="000000" w:themeColor="text1"/>
          <w:lang w:val="en-US"/>
        </w:rPr>
        <w:t>.</w:t>
      </w:r>
    </w:p>
    <w:p w14:paraId="2CCD9976" w14:textId="46B2F234" w:rsidR="00170716" w:rsidRPr="004B3B88" w:rsidRDefault="00170716" w:rsidP="008A1DA2">
      <w:pPr>
        <w:spacing w:line="480" w:lineRule="auto"/>
        <w:rPr>
          <w:color w:val="000000" w:themeColor="text1"/>
          <w:sz w:val="28"/>
          <w:szCs w:val="28"/>
          <w:lang w:val="en-US"/>
        </w:rPr>
      </w:pPr>
      <w:r w:rsidRPr="004B3B88">
        <w:rPr>
          <w:color w:val="000000" w:themeColor="text1"/>
          <w:sz w:val="28"/>
          <w:szCs w:val="28"/>
          <w:lang w:val="en-US"/>
        </w:rPr>
        <w:t>S1.</w:t>
      </w:r>
      <w:r w:rsidR="00B53877" w:rsidRPr="004B3B88">
        <w:rPr>
          <w:color w:val="000000" w:themeColor="text1"/>
          <w:sz w:val="28"/>
          <w:szCs w:val="28"/>
          <w:lang w:val="en-US"/>
        </w:rPr>
        <w:t>2</w:t>
      </w:r>
      <w:r w:rsidRPr="004B3B88">
        <w:rPr>
          <w:color w:val="000000" w:themeColor="text1"/>
          <w:sz w:val="28"/>
          <w:szCs w:val="28"/>
          <w:lang w:val="en-US"/>
        </w:rPr>
        <w:t xml:space="preserve"> Model </w:t>
      </w:r>
      <w:r w:rsidRPr="004B3B88">
        <w:rPr>
          <w:rFonts w:hint="eastAsia"/>
          <w:color w:val="000000" w:themeColor="text1"/>
          <w:sz w:val="28"/>
          <w:szCs w:val="28"/>
          <w:lang w:val="en-US"/>
        </w:rPr>
        <w:t>input</w:t>
      </w:r>
    </w:p>
    <w:p w14:paraId="21A6A588" w14:textId="379B8EE7" w:rsidR="00623D54" w:rsidRPr="004B3B88" w:rsidRDefault="00891E4C" w:rsidP="00623D54">
      <w:pPr>
        <w:spacing w:line="480" w:lineRule="auto"/>
        <w:rPr>
          <w:color w:val="000000" w:themeColor="text1"/>
          <w:lang w:val="en-US"/>
        </w:rPr>
      </w:pPr>
      <w:r w:rsidRPr="004B3B88">
        <w:rPr>
          <w:color w:val="000000" w:themeColor="text1"/>
          <w:lang w:val="en-US"/>
        </w:rPr>
        <w:t xml:space="preserve">The hourly above-water solar irradiance for each month from Jan 2019 to Dec 2021 was obtained from the Tropospheric Ultraviolet and Visible Radiation Model (TUV model, National Center for Atmospheric Research, US), and then was converted to the irradiance right below the water surface following </w:t>
      </w:r>
      <w:r w:rsidRPr="004B3B88">
        <w:rPr>
          <w:color w:val="000000" w:themeColor="text1"/>
          <w:lang w:val="en-US"/>
        </w:rPr>
        <w:fldChar w:fldCharType="begin"/>
      </w:r>
      <w:r w:rsidRPr="004B3B88">
        <w:rPr>
          <w:color w:val="000000" w:themeColor="text1"/>
          <w:lang w:val="en-US"/>
        </w:rPr>
        <w:instrText xml:space="preserve"> ADDIN EN.CITE &lt;EndNote&gt;&lt;Cite AuthorYear="1"&gt;&lt;Author&gt;Fichot&lt;/Author&gt;&lt;Year&gt;2010&lt;/Year&gt;&lt;RecNum&gt;631&lt;/RecNum&gt;&lt;DisplayText&gt;Fichot and Miller, 2010&lt;/DisplayText&gt;&lt;record&gt;&lt;rec-number&gt;631&lt;/rec-number&gt;&lt;foreign-keys&gt;&lt;key app="EN" db-id="zwaed0a2r5exxpef52axewxmtvvxvx2w0ff0" timestamp="1702528468"&gt;631&lt;/key&gt;&lt;/foreign-keys&gt;&lt;ref-type name="Journal Article"&gt;17&lt;/ref-type&gt;&lt;contributors&gt;&lt;authors&gt;&lt;author&gt;Fichot, Cédric G.&lt;/author&gt;&lt;author&gt;Miller, William L.&lt;/author&gt;&lt;/authors&gt;&lt;/contributors&gt;&lt;titles&gt;&lt;title&gt;An approach to quantify depth-resolved marine photochemical fluxes using remote sensing: Application to carbon monoxide (CO) photoproduction&lt;/title&gt;&lt;secondary-title&gt;Remote Sensing of Environment&lt;/secondary-title&gt;&lt;/titles&gt;&lt;periodical&gt;&lt;full-title&gt;Remote Sensing of Environment&lt;/full-title&gt;&lt;/periodical&gt;&lt;pages&gt;1363-1377&lt;/pages&gt;&lt;volume&gt;114&lt;/volume&gt;&lt;number&gt;7&lt;/number&gt;&lt;keywords&gt;&lt;keyword&gt;UV radiation&lt;/keyword&gt;&lt;keyword&gt;Marine photochemistry&lt;/keyword&gt;&lt;keyword&gt;Photoproduction rate&lt;/keyword&gt;&lt;keyword&gt;Diffuse attenuation coefficient&lt;/keyword&gt;&lt;keyword&gt;Ocean color&lt;/keyword&gt;&lt;keyword&gt;Chromophoric dissolved organic matter&lt;/keyword&gt;&lt;keyword&gt;Apparent quantum yield&lt;/keyword&gt;&lt;keyword&gt;Carbon monoxide&lt;/keyword&gt;&lt;keyword&gt;SeaWiFS&lt;/keyword&gt;&lt;keyword&gt;TOMS&lt;/keyword&gt;&lt;/keywords&gt;&lt;dates&gt;&lt;year&gt;2010&lt;/year&gt;&lt;pub-dates&gt;&lt;date&gt;2010/07/15/&lt;/date&gt;&lt;/pub-dates&gt;&lt;/dates&gt;&lt;isbn&gt;0034-4257&lt;/isbn&gt;&lt;urls&gt;&lt;related-urls&gt;&lt;url&gt;https://www.sciencedirect.com/science/article/pii/S0034425710000507&lt;/url&gt;&lt;/related-urls&gt;&lt;/urls&gt;&lt;electronic-resource-num&gt;https://doi.org/10.1016/j.rse.2010.01.019&lt;/electronic-resource-num&gt;&lt;/record&gt;&lt;/Cite&gt;&lt;/EndNote&gt;</w:instrText>
      </w:r>
      <w:r w:rsidRPr="004B3B88">
        <w:rPr>
          <w:color w:val="000000" w:themeColor="text1"/>
          <w:lang w:val="en-US"/>
        </w:rPr>
        <w:fldChar w:fldCharType="separate"/>
      </w:r>
      <w:r w:rsidRPr="004B3B88">
        <w:rPr>
          <w:noProof/>
          <w:color w:val="000000" w:themeColor="text1"/>
          <w:lang w:val="en-US"/>
        </w:rPr>
        <w:t>Fichot and Miller, 2010</w:t>
      </w:r>
      <w:r w:rsidRPr="004B3B88">
        <w:rPr>
          <w:color w:val="000000" w:themeColor="text1"/>
          <w:lang w:val="en-US"/>
        </w:rPr>
        <w:fldChar w:fldCharType="end"/>
      </w:r>
      <w:r w:rsidRPr="004B3B88">
        <w:rPr>
          <w:color w:val="000000" w:themeColor="text1"/>
          <w:lang w:val="en-US"/>
        </w:rPr>
        <w:t xml:space="preserve">. </w:t>
      </w:r>
      <w:r w:rsidR="00B53877" w:rsidRPr="004B3B88">
        <w:rPr>
          <w:color w:val="000000" w:themeColor="text1"/>
          <w:lang w:val="en-US"/>
        </w:rPr>
        <w:t xml:space="preserve">The mean water depth in the Southern Malacca Strait is 19.7 m based on GEBCO bathymetry </w:t>
      </w:r>
      <w:r w:rsidR="00B53877" w:rsidRPr="004B3B88">
        <w:rPr>
          <w:color w:val="000000" w:themeColor="text1"/>
          <w:lang w:val="en-US"/>
        </w:rPr>
        <w:fldChar w:fldCharType="begin"/>
      </w:r>
      <w:r w:rsidR="00B53877" w:rsidRPr="004B3B88">
        <w:rPr>
          <w:color w:val="000000" w:themeColor="text1"/>
          <w:lang w:val="en-US"/>
        </w:rPr>
        <w:instrText xml:space="preserve"> ADDIN EN.CITE &lt;EndNote&gt;&lt;Cite&gt;&lt;Author&gt;Gebco Bathymetric Compilation Group&lt;/Author&gt;&lt;Year&gt;2020&lt;/Year&gt;&lt;RecNum&gt;637&lt;/RecNum&gt;&lt;DisplayText&gt;(Gebco Bathymetric Compilation Group, 2020)&lt;/DisplayText&gt;&lt;record&gt;&lt;rec-number&gt;637&lt;/rec-number&gt;&lt;foreign-keys&gt;&lt;key app="EN" db-id="zwaed0a2r5exxpef52axewxmtvvxvx2w0ff0" timestamp="1703513201"&gt;637&lt;/key&gt;&lt;/foreign-keys&gt;&lt;ref-type name="Dataset"&gt;59&lt;/ref-type&gt;&lt;contributors&gt;&lt;authors&gt;&lt;author&gt;Gebco Bathymetric Compilation Group, &lt;/author&gt;&lt;/authors&gt;&lt;/contributors&gt;&lt;titles&gt;&lt;title&gt;The GEBCO_2020 Grid - a continuous terrain model of the global oceans and land&lt;/title&gt;&lt;/titles&gt;&lt;keywords&gt;&lt;keyword&gt;World&lt;/keyword&gt;&lt;keyword&gt;Bathymetry and Elevation&lt;/keyword&gt;&lt;/keywords&gt;&lt;dates&gt;&lt;year&gt;2020&lt;/year&gt;&lt;pub-dates&gt;&lt;date&gt;2020/04/28/10:58&lt;/date&gt;&lt;/pub-dates&gt;&lt;/dates&gt;&lt;publisher&gt;British Oceanographic Data Centre, National Oceanography Centre, NERC, UK&lt;/publisher&gt;&lt;urls&gt;&lt;/urls&gt;&lt;electronic-resource-num&gt;doi:10.5285/a29c5465-b138-234d-e053-6c86abc040b9&lt;/electronic-resource-num&gt;&lt;language&gt;en&lt;/language&gt;&lt;/record&gt;&lt;/Cite&gt;&lt;/EndNote&gt;</w:instrText>
      </w:r>
      <w:r w:rsidR="00B53877" w:rsidRPr="004B3B88">
        <w:rPr>
          <w:color w:val="000000" w:themeColor="text1"/>
          <w:lang w:val="en-US"/>
        </w:rPr>
        <w:fldChar w:fldCharType="separate"/>
      </w:r>
      <w:r w:rsidR="00B53877" w:rsidRPr="004B3B88">
        <w:rPr>
          <w:noProof/>
          <w:color w:val="000000" w:themeColor="text1"/>
          <w:lang w:val="en-US"/>
        </w:rPr>
        <w:t>(Gebco Bathymetric Compilation Group, 2020)</w:t>
      </w:r>
      <w:r w:rsidR="00B53877" w:rsidRPr="004B3B88">
        <w:rPr>
          <w:color w:val="000000" w:themeColor="text1"/>
          <w:lang w:val="en-US"/>
        </w:rPr>
        <w:fldChar w:fldCharType="end"/>
      </w:r>
      <w:r w:rsidR="00B53877" w:rsidRPr="004B3B88">
        <w:rPr>
          <w:color w:val="000000" w:themeColor="text1"/>
          <w:lang w:val="en-US"/>
        </w:rPr>
        <w:t xml:space="preserve">. The initial values (i.e., the tDOC concentration and CDOM absorption on day 0) were calculated </w:t>
      </w:r>
      <w:r w:rsidR="00636A1A" w:rsidRPr="004B3B88">
        <w:rPr>
          <w:color w:val="000000" w:themeColor="text1"/>
          <w:lang w:val="en-US"/>
        </w:rPr>
        <w:t xml:space="preserve">using </w:t>
      </w:r>
      <w:r w:rsidR="00B53877" w:rsidRPr="004B3B88">
        <w:rPr>
          <w:rFonts w:hint="eastAsia"/>
          <w:color w:val="000000" w:themeColor="text1"/>
          <w:lang w:val="en-US"/>
        </w:rPr>
        <w:t>t</w:t>
      </w:r>
      <w:r w:rsidR="00B53877" w:rsidRPr="004B3B88">
        <w:rPr>
          <w:color w:val="000000" w:themeColor="text1"/>
          <w:lang w:val="en-US"/>
        </w:rPr>
        <w:t xml:space="preserve">he </w:t>
      </w:r>
      <w:r w:rsidR="00636A1A" w:rsidRPr="004B3B88">
        <w:rPr>
          <w:color w:val="000000" w:themeColor="text1"/>
          <w:lang w:val="en-US"/>
        </w:rPr>
        <w:t xml:space="preserve">same </w:t>
      </w:r>
      <w:r w:rsidR="00B53877" w:rsidRPr="004B3B88">
        <w:rPr>
          <w:color w:val="000000" w:themeColor="text1"/>
          <w:lang w:val="en-US"/>
        </w:rPr>
        <w:t xml:space="preserve">two-endmember mixing model </w:t>
      </w:r>
      <w:r w:rsidR="00636A1A" w:rsidRPr="004B3B88">
        <w:rPr>
          <w:color w:val="000000" w:themeColor="text1"/>
          <w:lang w:val="en-US"/>
        </w:rPr>
        <w:t xml:space="preserve">as </w:t>
      </w:r>
      <w:r w:rsidR="00636A1A" w:rsidRPr="004B3B88">
        <w:rPr>
          <w:color w:val="000000" w:themeColor="text1"/>
          <w:lang w:val="en-US"/>
        </w:rPr>
        <w:fldChar w:fldCharType="begin"/>
      </w:r>
      <w:r w:rsidR="00636A1A" w:rsidRPr="004B3B88">
        <w:rPr>
          <w:color w:val="000000" w:themeColor="text1"/>
          <w:lang w:val="en-US"/>
        </w:rPr>
        <w:instrText xml:space="preserve"> ADDIN EN.CITE &lt;EndNote&gt;&lt;Cite AuthorYear="1"&gt;&lt;Author&gt;Zhou&lt;/Author&gt;&lt;Year&gt;2023&lt;/Year&gt;&lt;RecNum&gt;634&lt;/RecNum&gt;&lt;DisplayText&gt;Zhou et al., 2023&lt;/DisplayText&gt;&lt;record&gt;&lt;rec-number&gt;634&lt;/rec-number&gt;&lt;foreign-keys&gt;&lt;key app="EN" db-id="zwaed0a2r5exxpef52axewxmtvvxvx2w0ff0" timestamp="1702889173"&gt;634&lt;/key&gt;&lt;/foreign-keys&gt;&lt;ref-type name="Journal Article"&gt;17&lt;/ref-type&gt;&lt;contributors&gt;&lt;authors&gt;&lt;author&gt;Zhou, Yongli&lt;/author&gt;&lt;author&gt;Müller, Moritz&lt;/author&gt;&lt;author&gt;Cherukuru, Nagur&lt;/author&gt;&lt;author&gt;Martin, Patrick&lt;/author&gt;&lt;/authors&gt;&lt;/contributors&gt;&lt;titles&gt;&lt;title&gt;Quantifying Photodegradation of Peatland-Derived Dissolved Organic Carbon in the Coastal Ocean of Southeast Asia&lt;/title&gt;&lt;secondary-title&gt;Journal of Geophysical Research: Oceans&lt;/secondary-title&gt;&lt;/titles&gt;&lt;periodical&gt;&lt;full-title&gt;Journal of Geophysical Research: Oceans&lt;/full-title&gt;&lt;/periodical&gt;&lt;pages&gt;e2023JC019741&lt;/pages&gt;&lt;volume&gt;128&lt;/volume&gt;&lt;number&gt;12&lt;/number&gt;&lt;dates&gt;&lt;year&gt;2023&lt;/year&gt;&lt;/dates&gt;&lt;isbn&gt;2169-9275&lt;/isbn&gt;&lt;urls&gt;&lt;related-urls&gt;&lt;url&gt;https://agupubs.onlinelibrary.wiley.com/doi/abs/10.1029/2023JC019741&lt;/url&gt;&lt;/related-urls&gt;&lt;/urls&gt;&lt;electronic-resource-num&gt;https://doi.org/10.1029/2023JC019741&lt;/electronic-resource-num&gt;&lt;/record&gt;&lt;/Cite&gt;&lt;/EndNote&gt;</w:instrText>
      </w:r>
      <w:r w:rsidR="00636A1A" w:rsidRPr="004B3B88">
        <w:rPr>
          <w:color w:val="000000" w:themeColor="text1"/>
          <w:lang w:val="en-US"/>
        </w:rPr>
        <w:fldChar w:fldCharType="separate"/>
      </w:r>
      <w:r w:rsidR="00636A1A" w:rsidRPr="004B3B88">
        <w:rPr>
          <w:noProof/>
          <w:color w:val="000000" w:themeColor="text1"/>
          <w:lang w:val="en-US"/>
        </w:rPr>
        <w:t xml:space="preserve">Zhou </w:t>
      </w:r>
      <w:r w:rsidR="00636A1A" w:rsidRPr="004B3B88">
        <w:rPr>
          <w:noProof/>
          <w:color w:val="000000" w:themeColor="text1"/>
          <w:lang w:val="en-US"/>
        </w:rPr>
        <w:lastRenderedPageBreak/>
        <w:t>et al., 2023</w:t>
      </w:r>
      <w:r w:rsidR="00636A1A" w:rsidRPr="004B3B88">
        <w:rPr>
          <w:color w:val="000000" w:themeColor="text1"/>
          <w:lang w:val="en-US"/>
        </w:rPr>
        <w:fldChar w:fldCharType="end"/>
      </w:r>
      <w:r w:rsidR="00636A1A" w:rsidRPr="004B3B88">
        <w:rPr>
          <w:color w:val="000000" w:themeColor="text1"/>
          <w:lang w:val="en-US"/>
        </w:rPr>
        <w:t xml:space="preserve"> with </w:t>
      </w:r>
      <w:r w:rsidR="005D3284" w:rsidRPr="004B3B88">
        <w:rPr>
          <w:color w:val="000000" w:themeColor="text1"/>
          <w:lang w:val="en-US"/>
        </w:rPr>
        <w:t xml:space="preserve">riverine </w:t>
      </w:r>
      <w:r w:rsidR="00636A1A" w:rsidRPr="004B3B88">
        <w:rPr>
          <w:color w:val="000000" w:themeColor="text1"/>
          <w:lang w:val="en-US"/>
        </w:rPr>
        <w:t xml:space="preserve">endmember </w:t>
      </w:r>
      <w:r w:rsidR="00033DB3" w:rsidRPr="004B3B88">
        <w:rPr>
          <w:color w:val="000000" w:themeColor="text1"/>
          <w:lang w:val="en-US"/>
        </w:rPr>
        <w:t>values</w:t>
      </w:r>
      <w:r w:rsidR="00636A1A" w:rsidRPr="004B3B88">
        <w:rPr>
          <w:color w:val="000000" w:themeColor="text1"/>
          <w:lang w:val="en-US"/>
        </w:rPr>
        <w:t xml:space="preserve"> from </w:t>
      </w:r>
      <w:r w:rsidR="00636A1A" w:rsidRPr="004B3B88">
        <w:rPr>
          <w:color w:val="000000" w:themeColor="text1"/>
          <w:lang w:val="en-US"/>
        </w:rPr>
        <w:fldChar w:fldCharType="begin"/>
      </w:r>
      <w:r w:rsidR="00636A1A" w:rsidRPr="004B3B88">
        <w:rPr>
          <w:color w:val="000000" w:themeColor="text1"/>
          <w:lang w:val="en-US"/>
        </w:rPr>
        <w:instrText xml:space="preserve"> ADDIN EN.CITE &lt;EndNote&gt;&lt;Cite AuthorYear="1"&gt;&lt;Author&gt;Wit&lt;/Author&gt;&lt;Year&gt;2018&lt;/Year&gt;&lt;RecNum&gt;243&lt;/RecNum&gt;&lt;DisplayText&gt;Wit et al., 2018&lt;/DisplayText&gt;&lt;record&gt;&lt;rec-number&gt;243&lt;/rec-number&gt;&lt;foreign-keys&gt;&lt;key app="EN" db-id="zwaed0a2r5exxpef52axewxmtvvxvx2w0ff0" timestamp="1614310319"&gt;243&lt;/key&gt;&lt;/foreign-keys&gt;&lt;ref-type name="Journal Article"&gt;17&lt;/ref-type&gt;&lt;contributors&gt;&lt;authors&gt;&lt;author&gt;Wit, Francisca&lt;/author&gt;&lt;author&gt;Rixen, Tim&lt;/author&gt;&lt;author&gt;Baum, Antje&lt;/author&gt;&lt;author&gt;Pranowo, Widodo S.&lt;/author&gt;&lt;author&gt;Hutahaean, Andreas A.&lt;/author&gt;&lt;/authors&gt;&lt;/contributors&gt;&lt;titles&gt;&lt;title&gt;The Invisible Carbon Footprint as a hidden impact of peatland degradation inducing marine carbonate dissolution in Sumatra, Indonesia&lt;/title&gt;&lt;secondary-title&gt;Scientific Reports&lt;/secondary-title&gt;&lt;/titles&gt;&lt;periodical&gt;&lt;full-title&gt;Scientific Reports&lt;/full-title&gt;&lt;/periodical&gt;&lt;pages&gt;17403&lt;/pages&gt;&lt;volume&gt;8&lt;/volume&gt;&lt;number&gt;1&lt;/number&gt;&lt;dates&gt;&lt;year&gt;2018&lt;/year&gt;&lt;pub-dates&gt;&lt;date&gt;2018/11/27&lt;/date&gt;&lt;/pub-dates&gt;&lt;/dates&gt;&lt;isbn&gt;2045-2322&lt;/isbn&gt;&lt;urls&gt;&lt;related-urls&gt;&lt;url&gt;https://doi.org/10.1038/s41598-018-35769-7&lt;/url&gt;&lt;/related-urls&gt;&lt;/urls&gt;&lt;electronic-resource-num&gt;10.1038/s41598-018-35769-7&lt;/electronic-resource-num&gt;&lt;/record&gt;&lt;/Cite&gt;&lt;/EndNote&gt;</w:instrText>
      </w:r>
      <w:r w:rsidR="00636A1A" w:rsidRPr="004B3B88">
        <w:rPr>
          <w:color w:val="000000" w:themeColor="text1"/>
          <w:lang w:val="en-US"/>
        </w:rPr>
        <w:fldChar w:fldCharType="separate"/>
      </w:r>
      <w:r w:rsidR="00636A1A" w:rsidRPr="004B3B88">
        <w:rPr>
          <w:noProof/>
          <w:color w:val="000000" w:themeColor="text1"/>
          <w:lang w:val="en-US"/>
        </w:rPr>
        <w:t>Wit et al., 2018</w:t>
      </w:r>
      <w:r w:rsidR="00636A1A" w:rsidRPr="004B3B88">
        <w:rPr>
          <w:color w:val="000000" w:themeColor="text1"/>
          <w:lang w:val="en-US"/>
        </w:rPr>
        <w:fldChar w:fldCharType="end"/>
      </w:r>
      <w:r w:rsidR="00636A1A" w:rsidRPr="004B3B88">
        <w:rPr>
          <w:color w:val="000000" w:themeColor="text1"/>
          <w:lang w:val="en-US"/>
        </w:rPr>
        <w:t xml:space="preserve"> (</w:t>
      </w:r>
      <w:r w:rsidR="00033DB3" w:rsidRPr="004B3B88">
        <w:rPr>
          <w:color w:val="000000" w:themeColor="text1"/>
          <w:lang w:val="en-US"/>
        </w:rPr>
        <w:t xml:space="preserve">tDOC concentration = </w:t>
      </w:r>
      <w:r w:rsidR="005D3284" w:rsidRPr="004B3B88">
        <w:rPr>
          <w:color w:val="000000" w:themeColor="text1"/>
          <w:lang w:val="en-US"/>
        </w:rPr>
        <w:t>890</w:t>
      </w:r>
      <w:r w:rsidR="005D3284" w:rsidRPr="004B3B88">
        <w:rPr>
          <w:color w:val="000000" w:themeColor="text1"/>
          <w:lang w:val="en-US"/>
        </w:rPr>
        <w:sym w:font="Symbol" w:char="F020"/>
      </w:r>
      <w:r w:rsidR="005D3284" w:rsidRPr="004B3B88">
        <w:rPr>
          <w:color w:val="000000" w:themeColor="text1"/>
          <w:lang w:val="en-US"/>
        </w:rPr>
        <w:sym w:font="Symbol" w:char="F06D"/>
      </w:r>
      <w:r w:rsidR="005D3284" w:rsidRPr="004B3B88">
        <w:rPr>
          <w:color w:val="000000" w:themeColor="text1"/>
          <w:lang w:val="en-US"/>
        </w:rPr>
        <w:t>M</w:t>
      </w:r>
      <w:r w:rsidR="00033DB3" w:rsidRPr="004B3B88">
        <w:rPr>
          <w:color w:val="000000" w:themeColor="text1"/>
          <w:lang w:val="en-US"/>
        </w:rPr>
        <w:t>, a</w:t>
      </w:r>
      <w:r w:rsidR="00033DB3" w:rsidRPr="004B3B88">
        <w:rPr>
          <w:color w:val="000000" w:themeColor="text1"/>
          <w:vertAlign w:val="subscript"/>
          <w:lang w:val="en-US"/>
        </w:rPr>
        <w:t>350</w:t>
      </w:r>
      <w:r w:rsidR="00033DB3" w:rsidRPr="004B3B88">
        <w:rPr>
          <w:color w:val="000000" w:themeColor="text1"/>
          <w:lang w:val="en-US"/>
        </w:rPr>
        <w:t xml:space="preserve"> = 5.6 m</w:t>
      </w:r>
      <w:r w:rsidR="00033DB3" w:rsidRPr="004B3B88">
        <w:rPr>
          <w:color w:val="000000" w:themeColor="text1"/>
          <w:vertAlign w:val="superscript"/>
          <w:lang w:val="en-US"/>
        </w:rPr>
        <w:t>–1</w:t>
      </w:r>
      <w:r w:rsidR="00636A1A" w:rsidRPr="004B3B88">
        <w:rPr>
          <w:color w:val="000000" w:themeColor="text1"/>
          <w:lang w:val="en-US"/>
        </w:rPr>
        <w:t>)</w:t>
      </w:r>
      <w:r w:rsidR="00033DB3" w:rsidRPr="004B3B88">
        <w:rPr>
          <w:color w:val="000000" w:themeColor="text1"/>
          <w:lang w:val="en-US"/>
        </w:rPr>
        <w:t>, which simulating the salinity of 29 when river water mixed with marine water (salinity 33).</w:t>
      </w:r>
      <w:r w:rsidR="00636A1A" w:rsidRPr="004B3B88">
        <w:rPr>
          <w:color w:val="000000" w:themeColor="text1"/>
          <w:lang w:val="en-US"/>
        </w:rPr>
        <w:t xml:space="preserve"> </w:t>
      </w:r>
      <w:r w:rsidR="00B53877" w:rsidRPr="004B3B88">
        <w:rPr>
          <w:color w:val="000000" w:themeColor="text1"/>
          <w:lang w:val="en-US"/>
        </w:rPr>
        <w:t>The light attenuation coefficient</w:t>
      </w:r>
      <w:r w:rsidR="00A4716D" w:rsidRPr="004B3B88">
        <w:rPr>
          <w:color w:val="000000" w:themeColor="text1"/>
          <w:lang w:val="en-US"/>
        </w:rPr>
        <w:t xml:space="preserve"> in the water column</w:t>
      </w:r>
      <w:r w:rsidR="00B53877" w:rsidRPr="004B3B88">
        <w:rPr>
          <w:color w:val="000000" w:themeColor="text1"/>
          <w:lang w:val="en-US"/>
        </w:rPr>
        <w:t xml:space="preserve"> was calculated following </w:t>
      </w:r>
      <w:r w:rsidR="00B53877" w:rsidRPr="004B3B88">
        <w:rPr>
          <w:color w:val="000000" w:themeColor="text1"/>
          <w:lang w:val="en-US"/>
        </w:rPr>
        <w:fldChar w:fldCharType="begin"/>
      </w:r>
      <w:r w:rsidR="00B53877" w:rsidRPr="004B3B88">
        <w:rPr>
          <w:color w:val="000000" w:themeColor="text1"/>
          <w:lang w:val="en-US"/>
        </w:rPr>
        <w:instrText xml:space="preserve"> ADDIN EN.CITE &lt;EndNote&gt;&lt;Cite AuthorYear="1"&gt;&lt;Author&gt;Zhou&lt;/Author&gt;&lt;Year&gt;2023&lt;/Year&gt;&lt;RecNum&gt;634&lt;/RecNum&gt;&lt;DisplayText&gt;Zhou et al., 2023&lt;/DisplayText&gt;&lt;record&gt;&lt;rec-number&gt;634&lt;/rec-number&gt;&lt;foreign-keys&gt;&lt;key app="EN" db-id="zwaed0a2r5exxpef52axewxmtvvxvx2w0ff0" timestamp="1702889173"&gt;634&lt;/key&gt;&lt;/foreign-keys&gt;&lt;ref-type name="Journal Article"&gt;17&lt;/ref-type&gt;&lt;contributors&gt;&lt;authors&gt;&lt;author&gt;Zhou, Yongli&lt;/author&gt;&lt;author&gt;Müller, Moritz&lt;/author&gt;&lt;author&gt;Cherukuru, Nagur&lt;/author&gt;&lt;author&gt;Martin, Patrick&lt;/author&gt;&lt;/authors&gt;&lt;/contributors&gt;&lt;titles&gt;&lt;title&gt;Quantifying Photodegradation of Peatland-Derived Dissolved Organic Carbon in the Coastal Ocean of Southeast Asia&lt;/title&gt;&lt;secondary-title&gt;Journal of Geophysical Research: Oceans&lt;/secondary-title&gt;&lt;/titles&gt;&lt;periodical&gt;&lt;full-title&gt;Journal of Geophysical Research: Oceans&lt;/full-title&gt;&lt;/periodical&gt;&lt;pages&gt;e2023JC019741&lt;/pages&gt;&lt;volume&gt;128&lt;/volume&gt;&lt;number&gt;12&lt;/number&gt;&lt;dates&gt;&lt;year&gt;2023&lt;/year&gt;&lt;/dates&gt;&lt;isbn&gt;2169-9275&lt;/isbn&gt;&lt;urls&gt;&lt;related-urls&gt;&lt;url&gt;https://agupubs.onlinelibrary.wiley.com/doi/abs/10.1029/2023JC019741&lt;/url&gt;&lt;/related-urls&gt;&lt;/urls&gt;&lt;electronic-resource-num&gt;https://doi.org/10.1029/2023JC019741&lt;/electronic-resource-num&gt;&lt;/record&gt;&lt;/Cite&gt;&lt;/EndNote&gt;</w:instrText>
      </w:r>
      <w:r w:rsidR="00B53877" w:rsidRPr="004B3B88">
        <w:rPr>
          <w:color w:val="000000" w:themeColor="text1"/>
          <w:lang w:val="en-US"/>
        </w:rPr>
        <w:fldChar w:fldCharType="separate"/>
      </w:r>
      <w:r w:rsidR="00B53877" w:rsidRPr="004B3B88">
        <w:rPr>
          <w:noProof/>
          <w:color w:val="000000" w:themeColor="text1"/>
          <w:lang w:val="en-US"/>
        </w:rPr>
        <w:t>Zhou et al., 2023</w:t>
      </w:r>
      <w:r w:rsidR="00B53877" w:rsidRPr="004B3B88">
        <w:rPr>
          <w:color w:val="000000" w:themeColor="text1"/>
          <w:lang w:val="en-US"/>
        </w:rPr>
        <w:fldChar w:fldCharType="end"/>
      </w:r>
      <w:r w:rsidR="00B53877" w:rsidRPr="004B3B88">
        <w:rPr>
          <w:color w:val="000000" w:themeColor="text1"/>
          <w:lang w:val="en-US"/>
        </w:rPr>
        <w:t xml:space="preserve"> based on </w:t>
      </w:r>
      <w:r w:rsidR="00A4716D" w:rsidRPr="004B3B88">
        <w:rPr>
          <w:color w:val="000000" w:themeColor="text1"/>
          <w:lang w:val="en-US"/>
        </w:rPr>
        <w:t xml:space="preserve">CDOM and water absorption, and in-situ measurements of particulate absorption and backscattering by </w:t>
      </w:r>
      <w:r w:rsidR="00A4716D" w:rsidRPr="004B3B88">
        <w:rPr>
          <w:color w:val="000000" w:themeColor="text1"/>
          <w:lang w:val="en-US"/>
        </w:rPr>
        <w:fldChar w:fldCharType="begin"/>
      </w:r>
      <w:r w:rsidR="00A4716D" w:rsidRPr="004B3B88">
        <w:rPr>
          <w:color w:val="000000" w:themeColor="text1"/>
          <w:lang w:val="en-US"/>
        </w:rPr>
        <w:instrText xml:space="preserve"> ADDIN EN.CITE &lt;EndNote&gt;&lt;Cite AuthorYear="1"&gt;&lt;Author&gt;Martin&lt;/Author&gt;&lt;Year&gt;2021&lt;/Year&gt;&lt;RecNum&gt;333&lt;/RecNum&gt;&lt;DisplayText&gt;Martin et al., 2021&lt;/DisplayText&gt;&lt;record&gt;&lt;rec-number&gt;333&lt;/rec-number&gt;&lt;foreign-keys&gt;&lt;key app="EN" db-id="zwaed0a2r5exxpef52axewxmtvvxvx2w0ff0" timestamp="1634025718"&gt;333&lt;/key&gt;&lt;/foreign-keys&gt;&lt;ref-type name="Journal Article"&gt;17&lt;/ref-type&gt;&lt;contributors&gt;&lt;authors&gt;&lt;author&gt;Martin, P.&lt;/author&gt;&lt;author&gt;Sanwlani, N.&lt;/author&gt;&lt;author&gt;Lee, T. W. Q.&lt;/author&gt;&lt;author&gt;Wong, J. M. C.&lt;/author&gt;&lt;author&gt;Chang, K. Y. W.&lt;/author&gt;&lt;author&gt;Wong, E. W. S.&lt;/author&gt;&lt;author&gt;Liew, S. C.&lt;/author&gt;&lt;/authors&gt;&lt;/contributors&gt;&lt;titles&gt;&lt;title&gt;Dissolved organic matter from tropical peatlands reduces shelf sea light availability in the Singapore Strait, Southeast Asia&lt;/title&gt;&lt;secondary-title&gt;Marine Ecology Progress Series&lt;/secondary-title&gt;&lt;/titles&gt;&lt;periodical&gt;&lt;full-title&gt;Marine Ecology Progress Series&lt;/full-title&gt;&lt;/periodical&gt;&lt;pages&gt;89-109&lt;/pages&gt;&lt;volume&gt;672&lt;/volume&gt;&lt;dates&gt;&lt;year&gt;2021&lt;/year&gt;&lt;/dates&gt;&lt;urls&gt;&lt;related-urls&gt;&lt;url&gt;https://www.int-res.com/abstracts/meps/v672/p89-109/&lt;/url&gt;&lt;/related-urls&gt;&lt;/urls&gt;&lt;/record&gt;&lt;/Cite&gt;&lt;/EndNote&gt;</w:instrText>
      </w:r>
      <w:r w:rsidR="00A4716D" w:rsidRPr="004B3B88">
        <w:rPr>
          <w:color w:val="000000" w:themeColor="text1"/>
          <w:lang w:val="en-US"/>
        </w:rPr>
        <w:fldChar w:fldCharType="separate"/>
      </w:r>
      <w:r w:rsidR="00A4716D" w:rsidRPr="004B3B88">
        <w:rPr>
          <w:noProof/>
          <w:color w:val="000000" w:themeColor="text1"/>
          <w:lang w:val="en-US"/>
        </w:rPr>
        <w:t>Martin et al., 2021</w:t>
      </w:r>
      <w:r w:rsidR="00A4716D" w:rsidRPr="004B3B88">
        <w:rPr>
          <w:color w:val="000000" w:themeColor="text1"/>
          <w:lang w:val="en-US"/>
        </w:rPr>
        <w:fldChar w:fldCharType="end"/>
      </w:r>
      <w:r w:rsidR="00A4716D" w:rsidRPr="004B3B88">
        <w:rPr>
          <w:color w:val="000000" w:themeColor="text1"/>
          <w:lang w:val="en-US"/>
        </w:rPr>
        <w:t>.</w:t>
      </w:r>
    </w:p>
    <w:p w14:paraId="026B06B7" w14:textId="77777777" w:rsidR="00DA6E66" w:rsidRPr="004B3B88" w:rsidRDefault="00DA6E66" w:rsidP="004762CB">
      <w:pPr>
        <w:spacing w:line="480" w:lineRule="auto"/>
        <w:rPr>
          <w:color w:val="000000" w:themeColor="text1"/>
          <w:lang w:val="en-US"/>
        </w:rPr>
      </w:pPr>
    </w:p>
    <w:p w14:paraId="057DDB08" w14:textId="1C391C75" w:rsidR="003958ED" w:rsidRPr="004B3B88" w:rsidRDefault="000658E8" w:rsidP="003958ED">
      <w:pPr>
        <w:keepNext/>
        <w:jc w:val="center"/>
        <w:rPr>
          <w:color w:val="000000" w:themeColor="text1"/>
        </w:rPr>
      </w:pPr>
      <w:r w:rsidRPr="004B3B88">
        <w:rPr>
          <w:noProof/>
          <w:color w:val="000000" w:themeColor="text1"/>
        </w:rPr>
        <w:drawing>
          <wp:inline distT="0" distB="0" distL="0" distR="0" wp14:anchorId="560576AA" wp14:editId="2666D681">
            <wp:extent cx="4609707" cy="2898107"/>
            <wp:effectExtent l="0" t="0" r="635" b="0"/>
            <wp:docPr id="9129871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987184" name="Picture 3"/>
                    <pic:cNvPicPr/>
                  </pic:nvPicPr>
                  <pic:blipFill>
                    <a:blip r:embed="rId8"/>
                    <a:stretch>
                      <a:fillRect/>
                    </a:stretch>
                  </pic:blipFill>
                  <pic:spPr>
                    <a:xfrm>
                      <a:off x="0" y="0"/>
                      <a:ext cx="4630863" cy="2911408"/>
                    </a:xfrm>
                    <a:prstGeom prst="rect">
                      <a:avLst/>
                    </a:prstGeom>
                  </pic:spPr>
                </pic:pic>
              </a:graphicData>
            </a:graphic>
          </wp:inline>
        </w:drawing>
      </w:r>
    </w:p>
    <w:p w14:paraId="0C0A5D21" w14:textId="3617B79F" w:rsidR="007D2156" w:rsidRPr="004B3B88" w:rsidRDefault="003958ED" w:rsidP="00614D69">
      <w:pPr>
        <w:pStyle w:val="Caption"/>
        <w:jc w:val="both"/>
        <w:rPr>
          <w:i w:val="0"/>
          <w:iCs w:val="0"/>
          <w:color w:val="000000" w:themeColor="text1"/>
          <w:sz w:val="22"/>
          <w:szCs w:val="22"/>
          <w:lang w:val="en-US"/>
        </w:rPr>
      </w:pPr>
      <w:r w:rsidRPr="004B3B88">
        <w:rPr>
          <w:i w:val="0"/>
          <w:iCs w:val="0"/>
          <w:color w:val="000000" w:themeColor="text1"/>
          <w:sz w:val="22"/>
          <w:szCs w:val="22"/>
        </w:rPr>
        <w:t xml:space="preserve">Figure </w:t>
      </w:r>
      <w:r w:rsidR="004B3B88">
        <w:rPr>
          <w:i w:val="0"/>
          <w:iCs w:val="0"/>
          <w:color w:val="000000" w:themeColor="text1"/>
          <w:sz w:val="22"/>
          <w:szCs w:val="22"/>
        </w:rPr>
        <w:t>S</w:t>
      </w:r>
      <w:r w:rsidRPr="004B3B88">
        <w:rPr>
          <w:i w:val="0"/>
          <w:iCs w:val="0"/>
          <w:color w:val="000000" w:themeColor="text1"/>
          <w:sz w:val="22"/>
          <w:szCs w:val="22"/>
        </w:rPr>
        <w:fldChar w:fldCharType="begin"/>
      </w:r>
      <w:r w:rsidRPr="004B3B88">
        <w:rPr>
          <w:i w:val="0"/>
          <w:iCs w:val="0"/>
          <w:color w:val="000000" w:themeColor="text1"/>
          <w:sz w:val="22"/>
          <w:szCs w:val="22"/>
        </w:rPr>
        <w:instrText xml:space="preserve"> SEQ Figure \* ARABIC </w:instrText>
      </w:r>
      <w:r w:rsidRPr="004B3B88">
        <w:rPr>
          <w:i w:val="0"/>
          <w:iCs w:val="0"/>
          <w:color w:val="000000" w:themeColor="text1"/>
          <w:sz w:val="22"/>
          <w:szCs w:val="22"/>
        </w:rPr>
        <w:fldChar w:fldCharType="separate"/>
      </w:r>
      <w:r w:rsidR="00FC1BD9">
        <w:rPr>
          <w:i w:val="0"/>
          <w:iCs w:val="0"/>
          <w:noProof/>
          <w:color w:val="000000" w:themeColor="text1"/>
          <w:sz w:val="22"/>
          <w:szCs w:val="22"/>
        </w:rPr>
        <w:t>1</w:t>
      </w:r>
      <w:r w:rsidRPr="004B3B88">
        <w:rPr>
          <w:i w:val="0"/>
          <w:iCs w:val="0"/>
          <w:color w:val="000000" w:themeColor="text1"/>
          <w:sz w:val="22"/>
          <w:szCs w:val="22"/>
        </w:rPr>
        <w:fldChar w:fldCharType="end"/>
      </w:r>
      <w:r w:rsidRPr="004B3B88">
        <w:rPr>
          <w:i w:val="0"/>
          <w:iCs w:val="0"/>
          <w:color w:val="000000" w:themeColor="text1"/>
          <w:sz w:val="22"/>
          <w:szCs w:val="22"/>
        </w:rPr>
        <w:t xml:space="preserve">. </w:t>
      </w:r>
      <w:r w:rsidR="00C71504" w:rsidRPr="004B3B88">
        <w:rPr>
          <w:i w:val="0"/>
          <w:iCs w:val="0"/>
          <w:color w:val="000000" w:themeColor="text1"/>
          <w:sz w:val="22"/>
          <w:szCs w:val="22"/>
        </w:rPr>
        <w:t>Regional map and the sampling locations.</w:t>
      </w:r>
    </w:p>
    <w:p w14:paraId="0EBD4A8A" w14:textId="77777777" w:rsidR="00686175" w:rsidRPr="004B3B88" w:rsidRDefault="00686175" w:rsidP="007D2156">
      <w:pPr>
        <w:rPr>
          <w:color w:val="000000" w:themeColor="text1"/>
          <w:lang w:val="en-US"/>
        </w:rPr>
      </w:pPr>
    </w:p>
    <w:p w14:paraId="4E55E0BC" w14:textId="77777777" w:rsidR="00686175" w:rsidRPr="004B3B88" w:rsidRDefault="00686175" w:rsidP="007D2156">
      <w:pPr>
        <w:rPr>
          <w:color w:val="000000" w:themeColor="text1"/>
          <w:lang w:val="en-US"/>
        </w:rPr>
      </w:pPr>
    </w:p>
    <w:p w14:paraId="0C3C937C" w14:textId="7CA43147" w:rsidR="00DF3EDA" w:rsidRPr="004B3B88" w:rsidRDefault="008D62C0" w:rsidP="00DF3EDA">
      <w:pPr>
        <w:keepNext/>
        <w:jc w:val="center"/>
        <w:rPr>
          <w:color w:val="000000" w:themeColor="text1"/>
        </w:rPr>
      </w:pPr>
      <w:r>
        <w:rPr>
          <w:noProof/>
          <w:color w:val="000000" w:themeColor="text1"/>
        </w:rPr>
        <w:drawing>
          <wp:inline distT="0" distB="0" distL="0" distR="0" wp14:anchorId="420372A5" wp14:editId="6F81994D">
            <wp:extent cx="3400419" cy="2683740"/>
            <wp:effectExtent l="0" t="0" r="3810" b="0"/>
            <wp:docPr id="2143279879" name="Picture 2" descr="A graph of a graph of a wa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279879" name="Picture 2" descr="A graph of a graph of a wave&#10;&#10;Description automatically generated with medium confidence"/>
                    <pic:cNvPicPr/>
                  </pic:nvPicPr>
                  <pic:blipFill>
                    <a:blip r:embed="rId9"/>
                    <a:stretch>
                      <a:fillRect/>
                    </a:stretch>
                  </pic:blipFill>
                  <pic:spPr>
                    <a:xfrm>
                      <a:off x="0" y="0"/>
                      <a:ext cx="3416230" cy="2696219"/>
                    </a:xfrm>
                    <a:prstGeom prst="rect">
                      <a:avLst/>
                    </a:prstGeom>
                  </pic:spPr>
                </pic:pic>
              </a:graphicData>
            </a:graphic>
          </wp:inline>
        </w:drawing>
      </w:r>
    </w:p>
    <w:p w14:paraId="77706DB3" w14:textId="2991D367" w:rsidR="008F0BB4" w:rsidRPr="008D62C0" w:rsidRDefault="00DF3EDA" w:rsidP="008D62C0">
      <w:pPr>
        <w:pStyle w:val="Caption"/>
        <w:jc w:val="both"/>
        <w:rPr>
          <w:i w:val="0"/>
          <w:iCs w:val="0"/>
          <w:color w:val="000000" w:themeColor="text1"/>
          <w:sz w:val="22"/>
          <w:szCs w:val="22"/>
          <w:lang w:val="en-US"/>
        </w:rPr>
      </w:pPr>
      <w:r w:rsidRPr="004B3B88">
        <w:rPr>
          <w:i w:val="0"/>
          <w:iCs w:val="0"/>
          <w:color w:val="000000" w:themeColor="text1"/>
          <w:sz w:val="22"/>
          <w:szCs w:val="22"/>
        </w:rPr>
        <w:t xml:space="preserve">Figure </w:t>
      </w:r>
      <w:r w:rsidR="004B3B88">
        <w:rPr>
          <w:i w:val="0"/>
          <w:iCs w:val="0"/>
          <w:color w:val="000000" w:themeColor="text1"/>
          <w:sz w:val="22"/>
          <w:szCs w:val="22"/>
        </w:rPr>
        <w:t>S</w:t>
      </w:r>
      <w:r w:rsidRPr="004B3B88">
        <w:rPr>
          <w:i w:val="0"/>
          <w:iCs w:val="0"/>
          <w:color w:val="000000" w:themeColor="text1"/>
          <w:sz w:val="22"/>
          <w:szCs w:val="22"/>
        </w:rPr>
        <w:fldChar w:fldCharType="begin"/>
      </w:r>
      <w:r w:rsidRPr="004B3B88">
        <w:rPr>
          <w:i w:val="0"/>
          <w:iCs w:val="0"/>
          <w:color w:val="000000" w:themeColor="text1"/>
          <w:sz w:val="22"/>
          <w:szCs w:val="22"/>
        </w:rPr>
        <w:instrText xml:space="preserve"> SEQ Figure \* ARABIC </w:instrText>
      </w:r>
      <w:r w:rsidRPr="004B3B88">
        <w:rPr>
          <w:i w:val="0"/>
          <w:iCs w:val="0"/>
          <w:color w:val="000000" w:themeColor="text1"/>
          <w:sz w:val="22"/>
          <w:szCs w:val="22"/>
        </w:rPr>
        <w:fldChar w:fldCharType="separate"/>
      </w:r>
      <w:r w:rsidR="00FC1BD9">
        <w:rPr>
          <w:i w:val="0"/>
          <w:iCs w:val="0"/>
          <w:noProof/>
          <w:color w:val="000000" w:themeColor="text1"/>
          <w:sz w:val="22"/>
          <w:szCs w:val="22"/>
        </w:rPr>
        <w:t>2</w:t>
      </w:r>
      <w:r w:rsidRPr="004B3B88">
        <w:rPr>
          <w:i w:val="0"/>
          <w:iCs w:val="0"/>
          <w:color w:val="000000" w:themeColor="text1"/>
          <w:sz w:val="22"/>
          <w:szCs w:val="22"/>
        </w:rPr>
        <w:fldChar w:fldCharType="end"/>
      </w:r>
      <w:r w:rsidRPr="004B3B88">
        <w:rPr>
          <w:i w:val="0"/>
          <w:iCs w:val="0"/>
          <w:color w:val="000000" w:themeColor="text1"/>
          <w:sz w:val="22"/>
          <w:szCs w:val="22"/>
        </w:rPr>
        <w:t>.</w:t>
      </w:r>
      <w:r w:rsidR="00A963AD" w:rsidRPr="004B3B88">
        <w:rPr>
          <w:i w:val="0"/>
          <w:iCs w:val="0"/>
          <w:color w:val="000000" w:themeColor="text1"/>
          <w:sz w:val="22"/>
          <w:szCs w:val="22"/>
        </w:rPr>
        <w:t xml:space="preserve"> </w:t>
      </w:r>
      <w:r w:rsidRPr="004B3B88">
        <w:rPr>
          <w:i w:val="0"/>
          <w:iCs w:val="0"/>
          <w:color w:val="000000" w:themeColor="text1"/>
          <w:sz w:val="22"/>
          <w:szCs w:val="22"/>
          <w:lang w:val="en-US"/>
        </w:rPr>
        <w:t>Comparison of the DOC and CDOM for Maludam water freshly collected and stored in cold and dark environment for 3 years.</w:t>
      </w:r>
    </w:p>
    <w:p w14:paraId="365F844F" w14:textId="77777777" w:rsidR="00F32B88" w:rsidRDefault="00F32B88" w:rsidP="007D2156">
      <w:pPr>
        <w:rPr>
          <w:color w:val="000000" w:themeColor="text1"/>
          <w:lang w:val="en-US"/>
        </w:rPr>
      </w:pPr>
    </w:p>
    <w:p w14:paraId="2390C443" w14:textId="77777777" w:rsidR="00F42CC1" w:rsidRPr="004B3B88" w:rsidRDefault="00F42CC1" w:rsidP="00F42CC1">
      <w:pPr>
        <w:keepNext/>
        <w:jc w:val="center"/>
        <w:rPr>
          <w:color w:val="000000" w:themeColor="text1"/>
        </w:rPr>
      </w:pPr>
      <w:r>
        <w:rPr>
          <w:noProof/>
          <w:color w:val="000000" w:themeColor="text1"/>
        </w:rPr>
        <w:drawing>
          <wp:inline distT="0" distB="0" distL="0" distR="0" wp14:anchorId="5CF1840D" wp14:editId="3863D65E">
            <wp:extent cx="2804044" cy="2560579"/>
            <wp:effectExtent l="0" t="0" r="3175" b="5080"/>
            <wp:docPr id="2129735771" name="Picture 1" descr="A graph of a line with numbers and a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735771" name="Picture 1" descr="A graph of a line with numbers and a chart&#10;&#10;Description automatically generated with medium confidence"/>
                    <pic:cNvPicPr/>
                  </pic:nvPicPr>
                  <pic:blipFill>
                    <a:blip r:embed="rId10"/>
                    <a:stretch>
                      <a:fillRect/>
                    </a:stretch>
                  </pic:blipFill>
                  <pic:spPr>
                    <a:xfrm>
                      <a:off x="0" y="0"/>
                      <a:ext cx="2804044" cy="2560579"/>
                    </a:xfrm>
                    <a:prstGeom prst="rect">
                      <a:avLst/>
                    </a:prstGeom>
                  </pic:spPr>
                </pic:pic>
              </a:graphicData>
            </a:graphic>
          </wp:inline>
        </w:drawing>
      </w:r>
    </w:p>
    <w:p w14:paraId="03C5F916" w14:textId="04D056CB" w:rsidR="00F42CC1" w:rsidRDefault="00F42CC1" w:rsidP="00F42CC1">
      <w:pPr>
        <w:pStyle w:val="Caption"/>
        <w:jc w:val="both"/>
        <w:rPr>
          <w:i w:val="0"/>
          <w:iCs w:val="0"/>
          <w:color w:val="000000" w:themeColor="text1"/>
          <w:sz w:val="22"/>
          <w:szCs w:val="22"/>
        </w:rPr>
      </w:pPr>
      <w:r w:rsidRPr="004B3B88">
        <w:rPr>
          <w:i w:val="0"/>
          <w:iCs w:val="0"/>
          <w:color w:val="000000" w:themeColor="text1"/>
          <w:sz w:val="22"/>
          <w:szCs w:val="22"/>
        </w:rPr>
        <w:t xml:space="preserve">Figure </w:t>
      </w:r>
      <w:r>
        <w:rPr>
          <w:i w:val="0"/>
          <w:iCs w:val="0"/>
          <w:color w:val="000000" w:themeColor="text1"/>
          <w:sz w:val="22"/>
          <w:szCs w:val="22"/>
        </w:rPr>
        <w:t>S</w:t>
      </w:r>
      <w:r w:rsidRPr="004B3B88">
        <w:rPr>
          <w:i w:val="0"/>
          <w:iCs w:val="0"/>
          <w:color w:val="000000" w:themeColor="text1"/>
          <w:sz w:val="22"/>
          <w:szCs w:val="22"/>
        </w:rPr>
        <w:fldChar w:fldCharType="begin"/>
      </w:r>
      <w:r w:rsidRPr="004B3B88">
        <w:rPr>
          <w:i w:val="0"/>
          <w:iCs w:val="0"/>
          <w:color w:val="000000" w:themeColor="text1"/>
          <w:sz w:val="22"/>
          <w:szCs w:val="22"/>
        </w:rPr>
        <w:instrText xml:space="preserve"> SEQ Figure \* ARABIC </w:instrText>
      </w:r>
      <w:r w:rsidRPr="004B3B88">
        <w:rPr>
          <w:i w:val="0"/>
          <w:iCs w:val="0"/>
          <w:color w:val="000000" w:themeColor="text1"/>
          <w:sz w:val="22"/>
          <w:szCs w:val="22"/>
        </w:rPr>
        <w:fldChar w:fldCharType="separate"/>
      </w:r>
      <w:r w:rsidR="00FC1BD9">
        <w:rPr>
          <w:i w:val="0"/>
          <w:iCs w:val="0"/>
          <w:noProof/>
          <w:color w:val="000000" w:themeColor="text1"/>
          <w:sz w:val="22"/>
          <w:szCs w:val="22"/>
        </w:rPr>
        <w:t>3</w:t>
      </w:r>
      <w:r w:rsidRPr="004B3B88">
        <w:rPr>
          <w:i w:val="0"/>
          <w:iCs w:val="0"/>
          <w:color w:val="000000" w:themeColor="text1"/>
          <w:sz w:val="22"/>
          <w:szCs w:val="22"/>
        </w:rPr>
        <w:fldChar w:fldCharType="end"/>
      </w:r>
      <w:r w:rsidRPr="004B3B88">
        <w:rPr>
          <w:i w:val="0"/>
          <w:iCs w:val="0"/>
          <w:color w:val="000000" w:themeColor="text1"/>
          <w:sz w:val="22"/>
          <w:szCs w:val="22"/>
        </w:rPr>
        <w:t xml:space="preserve">. Comparison of measured DOC loss to the predicted values from the optimization process of parameters for spectrally resolved AQY. </w:t>
      </w:r>
      <w:r>
        <w:rPr>
          <w:i w:val="0"/>
          <w:iCs w:val="0"/>
          <w:color w:val="000000" w:themeColor="text1"/>
          <w:sz w:val="22"/>
          <w:szCs w:val="22"/>
        </w:rPr>
        <w:t>The</w:t>
      </w:r>
      <w:r w:rsidRPr="004B3B88">
        <w:rPr>
          <w:i w:val="0"/>
          <w:iCs w:val="0"/>
          <w:color w:val="000000" w:themeColor="text1"/>
          <w:sz w:val="22"/>
          <w:szCs w:val="22"/>
        </w:rPr>
        <w:t xml:space="preserve"> high consistency validated the optimized AQY spectra</w:t>
      </w:r>
      <w:r>
        <w:rPr>
          <w:i w:val="0"/>
          <w:iCs w:val="0"/>
          <w:color w:val="000000" w:themeColor="text1"/>
          <w:sz w:val="22"/>
          <w:szCs w:val="22"/>
        </w:rPr>
        <w:t xml:space="preserve"> obtained from timeseries photodegradation.</w:t>
      </w:r>
    </w:p>
    <w:p w14:paraId="4CDD48A0" w14:textId="77777777" w:rsidR="00F32B88" w:rsidRPr="003E3D89" w:rsidRDefault="00F32B88" w:rsidP="007D2156">
      <w:pPr>
        <w:rPr>
          <w:color w:val="000000" w:themeColor="text1"/>
        </w:rPr>
      </w:pPr>
    </w:p>
    <w:p w14:paraId="606AD1A6" w14:textId="77777777" w:rsidR="00F32B88" w:rsidRDefault="00F32B88" w:rsidP="007D2156">
      <w:pPr>
        <w:rPr>
          <w:color w:val="000000" w:themeColor="text1"/>
          <w:lang w:val="en-US"/>
        </w:rPr>
      </w:pPr>
    </w:p>
    <w:p w14:paraId="12EC8CD4" w14:textId="77777777" w:rsidR="00F32B88" w:rsidRDefault="00F32B88" w:rsidP="007D2156">
      <w:pPr>
        <w:rPr>
          <w:color w:val="000000" w:themeColor="text1"/>
          <w:lang w:val="en-US"/>
        </w:rPr>
      </w:pPr>
    </w:p>
    <w:p w14:paraId="5D759DAF" w14:textId="77777777" w:rsidR="00FB2815" w:rsidRPr="004B3B88" w:rsidRDefault="00FB2815" w:rsidP="00FB2815">
      <w:pPr>
        <w:keepNext/>
        <w:rPr>
          <w:color w:val="000000" w:themeColor="text1"/>
        </w:rPr>
      </w:pPr>
      <w:r w:rsidRPr="004B3B88">
        <w:rPr>
          <w:b/>
          <w:bCs/>
          <w:noProof/>
          <w:color w:val="000000" w:themeColor="text1"/>
        </w:rPr>
        <w:drawing>
          <wp:inline distT="0" distB="0" distL="0" distR="0" wp14:anchorId="21E2B7D5" wp14:editId="31E61C43">
            <wp:extent cx="5731510" cy="2865755"/>
            <wp:effectExtent l="0" t="0" r="0" b="4445"/>
            <wp:docPr id="1039549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549263" name="Picture 1"/>
                    <pic:cNvPicPr/>
                  </pic:nvPicPr>
                  <pic:blipFill>
                    <a:blip r:embed="rId11"/>
                    <a:stretch>
                      <a:fillRect/>
                    </a:stretch>
                  </pic:blipFill>
                  <pic:spPr>
                    <a:xfrm>
                      <a:off x="0" y="0"/>
                      <a:ext cx="5731510" cy="2865755"/>
                    </a:xfrm>
                    <a:prstGeom prst="rect">
                      <a:avLst/>
                    </a:prstGeom>
                  </pic:spPr>
                </pic:pic>
              </a:graphicData>
            </a:graphic>
          </wp:inline>
        </w:drawing>
      </w:r>
    </w:p>
    <w:p w14:paraId="195AAB94" w14:textId="14EEA034" w:rsidR="008F0BB4" w:rsidRPr="003E3D89" w:rsidRDefault="00FB2815" w:rsidP="007D2156">
      <w:pPr>
        <w:rPr>
          <w:color w:val="000000" w:themeColor="text1"/>
          <w:sz w:val="22"/>
          <w:szCs w:val="22"/>
          <w:lang w:val="en-US"/>
        </w:rPr>
      </w:pPr>
      <w:r w:rsidRPr="004B3B88">
        <w:rPr>
          <w:color w:val="000000" w:themeColor="text1"/>
          <w:sz w:val="22"/>
          <w:szCs w:val="22"/>
        </w:rPr>
        <w:t xml:space="preserve">Figure </w:t>
      </w:r>
      <w:r>
        <w:rPr>
          <w:color w:val="000000" w:themeColor="text1"/>
          <w:sz w:val="22"/>
          <w:szCs w:val="22"/>
        </w:rPr>
        <w:t>S</w:t>
      </w:r>
      <w:r w:rsidRPr="004B3B88">
        <w:rPr>
          <w:color w:val="000000" w:themeColor="text1"/>
          <w:sz w:val="22"/>
          <w:szCs w:val="22"/>
        </w:rPr>
        <w:fldChar w:fldCharType="begin"/>
      </w:r>
      <w:r w:rsidRPr="004B3B88">
        <w:rPr>
          <w:color w:val="000000" w:themeColor="text1"/>
          <w:sz w:val="22"/>
          <w:szCs w:val="22"/>
        </w:rPr>
        <w:instrText xml:space="preserve"> SEQ Figure \* ARABIC </w:instrText>
      </w:r>
      <w:r w:rsidRPr="004B3B88">
        <w:rPr>
          <w:color w:val="000000" w:themeColor="text1"/>
          <w:sz w:val="22"/>
          <w:szCs w:val="22"/>
        </w:rPr>
        <w:fldChar w:fldCharType="separate"/>
      </w:r>
      <w:r w:rsidR="00FC1BD9">
        <w:rPr>
          <w:noProof/>
          <w:color w:val="000000" w:themeColor="text1"/>
          <w:sz w:val="22"/>
          <w:szCs w:val="22"/>
        </w:rPr>
        <w:t>4</w:t>
      </w:r>
      <w:r w:rsidRPr="004B3B88">
        <w:rPr>
          <w:color w:val="000000" w:themeColor="text1"/>
          <w:sz w:val="22"/>
          <w:szCs w:val="22"/>
        </w:rPr>
        <w:fldChar w:fldCharType="end"/>
      </w:r>
      <w:r w:rsidRPr="004B3B88">
        <w:rPr>
          <w:color w:val="000000" w:themeColor="text1"/>
          <w:sz w:val="22"/>
          <w:szCs w:val="22"/>
        </w:rPr>
        <w:t>. The comparison between decay constants for terrestrial a</w:t>
      </w:r>
      <w:r w:rsidRPr="004B3B88">
        <w:rPr>
          <w:color w:val="000000" w:themeColor="text1"/>
          <w:sz w:val="22"/>
          <w:szCs w:val="22"/>
          <w:vertAlign w:val="subscript"/>
        </w:rPr>
        <w:t>350</w:t>
      </w:r>
      <w:r w:rsidRPr="004B3B88">
        <w:rPr>
          <w:color w:val="000000" w:themeColor="text1"/>
          <w:sz w:val="22"/>
          <w:szCs w:val="22"/>
        </w:rPr>
        <w:t xml:space="preserve"> during photo-influenced biodegradation (</w:t>
      </w:r>
      <w:r w:rsidRPr="003E3D89">
        <w:rPr>
          <w:i/>
          <w:iCs/>
          <w:color w:val="000000" w:themeColor="text1"/>
          <w:sz w:val="22"/>
          <w:szCs w:val="22"/>
        </w:rPr>
        <w:t>k</w:t>
      </w:r>
      <w:r w:rsidRPr="004B3B88">
        <w:rPr>
          <w:color w:val="000000" w:themeColor="text1"/>
          <w:sz w:val="22"/>
          <w:szCs w:val="22"/>
          <w:vertAlign w:val="subscript"/>
          <w:lang w:val="en-US"/>
        </w:rPr>
        <w:t>P</w:t>
      </w:r>
      <w:r>
        <w:rPr>
          <w:color w:val="000000" w:themeColor="text1"/>
          <w:sz w:val="22"/>
          <w:szCs w:val="22"/>
          <w:vertAlign w:val="subscript"/>
          <w:lang w:val="en-US"/>
        </w:rPr>
        <w:t>&amp;</w:t>
      </w:r>
      <w:r w:rsidRPr="004B3B88">
        <w:rPr>
          <w:color w:val="000000" w:themeColor="text1"/>
          <w:sz w:val="22"/>
          <w:szCs w:val="22"/>
          <w:vertAlign w:val="subscript"/>
          <w:lang w:val="en-US"/>
        </w:rPr>
        <w:t>B-a350</w:t>
      </w:r>
      <w:r w:rsidRPr="004B3B88">
        <w:rPr>
          <w:color w:val="000000" w:themeColor="text1"/>
          <w:sz w:val="22"/>
          <w:szCs w:val="22"/>
        </w:rPr>
        <w:t>)</w:t>
      </w:r>
      <w:r w:rsidRPr="004B3B88">
        <w:rPr>
          <w:rFonts w:hint="eastAsia"/>
          <w:color w:val="000000" w:themeColor="text1"/>
          <w:sz w:val="22"/>
          <w:szCs w:val="22"/>
        </w:rPr>
        <w:t xml:space="preserve"> </w:t>
      </w:r>
      <w:r w:rsidRPr="004B3B88">
        <w:rPr>
          <w:color w:val="000000" w:themeColor="text1"/>
          <w:sz w:val="22"/>
          <w:szCs w:val="22"/>
        </w:rPr>
        <w:t xml:space="preserve">and the prior photons absorbed after DOC normalization. There was no specific trend of </w:t>
      </w:r>
      <w:r w:rsidRPr="003E3D89">
        <w:rPr>
          <w:i/>
          <w:iCs/>
          <w:color w:val="000000" w:themeColor="text1"/>
          <w:sz w:val="22"/>
          <w:szCs w:val="22"/>
        </w:rPr>
        <w:t>k</w:t>
      </w:r>
      <w:r w:rsidRPr="004B3B88">
        <w:rPr>
          <w:color w:val="000000" w:themeColor="text1"/>
          <w:sz w:val="22"/>
          <w:szCs w:val="22"/>
          <w:vertAlign w:val="subscript"/>
          <w:lang w:val="en-US"/>
        </w:rPr>
        <w:t>P</w:t>
      </w:r>
      <w:r>
        <w:rPr>
          <w:color w:val="000000" w:themeColor="text1"/>
          <w:sz w:val="22"/>
          <w:szCs w:val="22"/>
          <w:vertAlign w:val="subscript"/>
          <w:lang w:val="en-US"/>
        </w:rPr>
        <w:t>&amp;</w:t>
      </w:r>
      <w:r w:rsidRPr="004B3B88">
        <w:rPr>
          <w:color w:val="000000" w:themeColor="text1"/>
          <w:sz w:val="22"/>
          <w:szCs w:val="22"/>
          <w:vertAlign w:val="subscript"/>
          <w:lang w:val="en-US"/>
        </w:rPr>
        <w:t>B-a350</w:t>
      </w:r>
      <w:r w:rsidRPr="004B3B88">
        <w:rPr>
          <w:color w:val="000000" w:themeColor="text1"/>
          <w:sz w:val="22"/>
          <w:szCs w:val="22"/>
          <w:lang w:val="en-US"/>
        </w:rPr>
        <w:t xml:space="preserve"> along with the amount of photons absorbed in advance.</w:t>
      </w:r>
    </w:p>
    <w:p w14:paraId="1ACF198E" w14:textId="77777777" w:rsidR="00D15AD5" w:rsidRPr="004B3B88" w:rsidRDefault="00485FF6" w:rsidP="00D15AD5">
      <w:pPr>
        <w:keepNext/>
        <w:jc w:val="center"/>
        <w:rPr>
          <w:color w:val="000000" w:themeColor="text1"/>
        </w:rPr>
      </w:pPr>
      <w:r w:rsidRPr="004B3B88">
        <w:rPr>
          <w:noProof/>
          <w:color w:val="000000" w:themeColor="text1"/>
          <w:lang w:val="en-US"/>
        </w:rPr>
        <w:lastRenderedPageBreak/>
        <w:drawing>
          <wp:inline distT="0" distB="0" distL="0" distR="0" wp14:anchorId="762F430A" wp14:editId="2A2958D1">
            <wp:extent cx="4318780" cy="5693738"/>
            <wp:effectExtent l="0" t="0" r="0" b="0"/>
            <wp:docPr id="387300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300237" name="Picture 1"/>
                    <pic:cNvPicPr/>
                  </pic:nvPicPr>
                  <pic:blipFill>
                    <a:blip r:embed="rId12"/>
                    <a:stretch>
                      <a:fillRect/>
                    </a:stretch>
                  </pic:blipFill>
                  <pic:spPr>
                    <a:xfrm>
                      <a:off x="0" y="0"/>
                      <a:ext cx="4318780" cy="5693738"/>
                    </a:xfrm>
                    <a:prstGeom prst="rect">
                      <a:avLst/>
                    </a:prstGeom>
                  </pic:spPr>
                </pic:pic>
              </a:graphicData>
            </a:graphic>
          </wp:inline>
        </w:drawing>
      </w:r>
    </w:p>
    <w:p w14:paraId="34D59FC7" w14:textId="1B2AC396" w:rsidR="00485FF6" w:rsidRPr="004B3B88" w:rsidRDefault="00D15AD5" w:rsidP="007F0D39">
      <w:pPr>
        <w:pStyle w:val="Caption"/>
        <w:jc w:val="both"/>
        <w:rPr>
          <w:i w:val="0"/>
          <w:iCs w:val="0"/>
          <w:color w:val="000000" w:themeColor="text1"/>
          <w:sz w:val="22"/>
          <w:szCs w:val="22"/>
          <w:lang w:val="en-US"/>
        </w:rPr>
      </w:pPr>
      <w:r w:rsidRPr="004B3B88">
        <w:rPr>
          <w:i w:val="0"/>
          <w:iCs w:val="0"/>
          <w:color w:val="000000" w:themeColor="text1"/>
          <w:sz w:val="22"/>
          <w:szCs w:val="22"/>
        </w:rPr>
        <w:t xml:space="preserve">Figure </w:t>
      </w:r>
      <w:r w:rsidR="004B3B88">
        <w:rPr>
          <w:i w:val="0"/>
          <w:iCs w:val="0"/>
          <w:color w:val="000000" w:themeColor="text1"/>
          <w:sz w:val="22"/>
          <w:szCs w:val="22"/>
        </w:rPr>
        <w:t>S</w:t>
      </w:r>
      <w:r w:rsidRPr="004B3B88">
        <w:rPr>
          <w:i w:val="0"/>
          <w:iCs w:val="0"/>
          <w:color w:val="000000" w:themeColor="text1"/>
          <w:sz w:val="22"/>
          <w:szCs w:val="22"/>
        </w:rPr>
        <w:fldChar w:fldCharType="begin"/>
      </w:r>
      <w:r w:rsidRPr="004B3B88">
        <w:rPr>
          <w:i w:val="0"/>
          <w:iCs w:val="0"/>
          <w:color w:val="000000" w:themeColor="text1"/>
          <w:sz w:val="22"/>
          <w:szCs w:val="22"/>
        </w:rPr>
        <w:instrText xml:space="preserve"> SEQ Figure \* ARABIC </w:instrText>
      </w:r>
      <w:r w:rsidRPr="004B3B88">
        <w:rPr>
          <w:i w:val="0"/>
          <w:iCs w:val="0"/>
          <w:color w:val="000000" w:themeColor="text1"/>
          <w:sz w:val="22"/>
          <w:szCs w:val="22"/>
        </w:rPr>
        <w:fldChar w:fldCharType="separate"/>
      </w:r>
      <w:r w:rsidR="00FC1BD9">
        <w:rPr>
          <w:i w:val="0"/>
          <w:iCs w:val="0"/>
          <w:noProof/>
          <w:color w:val="000000" w:themeColor="text1"/>
          <w:sz w:val="22"/>
          <w:szCs w:val="22"/>
        </w:rPr>
        <w:t>5</w:t>
      </w:r>
      <w:r w:rsidRPr="004B3B88">
        <w:rPr>
          <w:i w:val="0"/>
          <w:iCs w:val="0"/>
          <w:color w:val="000000" w:themeColor="text1"/>
          <w:sz w:val="22"/>
          <w:szCs w:val="22"/>
        </w:rPr>
        <w:fldChar w:fldCharType="end"/>
      </w:r>
      <w:r w:rsidRPr="004B3B88">
        <w:rPr>
          <w:i w:val="0"/>
          <w:iCs w:val="0"/>
          <w:color w:val="000000" w:themeColor="text1"/>
          <w:sz w:val="22"/>
          <w:szCs w:val="22"/>
        </w:rPr>
        <w:t>. Comparison between obtaining</w:t>
      </w:r>
      <w:r w:rsidR="007F0D39" w:rsidRPr="004B3B88">
        <w:rPr>
          <w:i w:val="0"/>
          <w:iCs w:val="0"/>
          <w:color w:val="000000" w:themeColor="text1"/>
          <w:sz w:val="22"/>
          <w:szCs w:val="22"/>
        </w:rPr>
        <w:t xml:space="preserve"> biodegradation</w:t>
      </w:r>
      <w:r w:rsidRPr="004B3B88">
        <w:rPr>
          <w:i w:val="0"/>
          <w:iCs w:val="0"/>
          <w:color w:val="000000" w:themeColor="text1"/>
          <w:sz w:val="22"/>
          <w:szCs w:val="22"/>
        </w:rPr>
        <w:t xml:space="preserve"> decay rates</w:t>
      </w:r>
      <w:r w:rsidR="007F0D39" w:rsidRPr="004B3B88">
        <w:rPr>
          <w:i w:val="0"/>
          <w:iCs w:val="0"/>
          <w:color w:val="000000" w:themeColor="text1"/>
          <w:sz w:val="22"/>
          <w:szCs w:val="22"/>
        </w:rPr>
        <w:t xml:space="preserve"> (</w:t>
      </w:r>
      <w:proofErr w:type="spellStart"/>
      <w:r w:rsidR="007F0D39" w:rsidRPr="004B3B88">
        <w:rPr>
          <w:i w:val="0"/>
          <w:iCs w:val="0"/>
          <w:color w:val="000000" w:themeColor="text1"/>
          <w:sz w:val="22"/>
          <w:szCs w:val="22"/>
        </w:rPr>
        <w:t>k</w:t>
      </w:r>
      <w:r w:rsidR="007F0D39" w:rsidRPr="004B3B88">
        <w:rPr>
          <w:i w:val="0"/>
          <w:iCs w:val="0"/>
          <w:color w:val="000000" w:themeColor="text1"/>
          <w:sz w:val="22"/>
          <w:szCs w:val="22"/>
          <w:vertAlign w:val="subscript"/>
        </w:rPr>
        <w:t>bio</w:t>
      </w:r>
      <w:proofErr w:type="spellEnd"/>
      <w:r w:rsidR="007F0D39" w:rsidRPr="004B3B88">
        <w:rPr>
          <w:i w:val="0"/>
          <w:iCs w:val="0"/>
          <w:color w:val="000000" w:themeColor="text1"/>
          <w:sz w:val="22"/>
          <w:szCs w:val="22"/>
        </w:rPr>
        <w:t>)</w:t>
      </w:r>
      <w:r w:rsidRPr="004B3B88">
        <w:rPr>
          <w:i w:val="0"/>
          <w:iCs w:val="0"/>
          <w:color w:val="000000" w:themeColor="text1"/>
          <w:sz w:val="22"/>
          <w:szCs w:val="22"/>
        </w:rPr>
        <w:t xml:space="preserve"> for </w:t>
      </w:r>
      <w:proofErr w:type="spellStart"/>
      <w:r w:rsidRPr="004B3B88">
        <w:rPr>
          <w:i w:val="0"/>
          <w:iCs w:val="0"/>
          <w:color w:val="000000" w:themeColor="text1"/>
          <w:sz w:val="22"/>
          <w:szCs w:val="22"/>
        </w:rPr>
        <w:t>tDOC</w:t>
      </w:r>
      <w:proofErr w:type="spellEnd"/>
      <w:r w:rsidRPr="004B3B88">
        <w:rPr>
          <w:i w:val="0"/>
          <w:iCs w:val="0"/>
          <w:color w:val="000000" w:themeColor="text1"/>
          <w:sz w:val="22"/>
          <w:szCs w:val="22"/>
        </w:rPr>
        <w:t xml:space="preserve"> and</w:t>
      </w:r>
      <w:r w:rsidR="009F1532">
        <w:rPr>
          <w:i w:val="0"/>
          <w:iCs w:val="0"/>
          <w:color w:val="000000" w:themeColor="text1"/>
          <w:sz w:val="22"/>
          <w:szCs w:val="22"/>
        </w:rPr>
        <w:t xml:space="preserve"> terrestrial</w:t>
      </w:r>
      <w:r w:rsidRPr="004B3B88">
        <w:rPr>
          <w:i w:val="0"/>
          <w:iCs w:val="0"/>
          <w:color w:val="000000" w:themeColor="text1"/>
          <w:sz w:val="22"/>
          <w:szCs w:val="22"/>
        </w:rPr>
        <w:t xml:space="preserve"> a</w:t>
      </w:r>
      <w:r w:rsidRPr="004B3B88">
        <w:rPr>
          <w:i w:val="0"/>
          <w:iCs w:val="0"/>
          <w:color w:val="000000" w:themeColor="text1"/>
          <w:sz w:val="22"/>
          <w:szCs w:val="22"/>
          <w:vertAlign w:val="subscript"/>
        </w:rPr>
        <w:t>350</w:t>
      </w:r>
      <w:r w:rsidRPr="004B3B88">
        <w:rPr>
          <w:i w:val="0"/>
          <w:iCs w:val="0"/>
          <w:color w:val="000000" w:themeColor="text1"/>
          <w:sz w:val="22"/>
          <w:szCs w:val="22"/>
        </w:rPr>
        <w:t xml:space="preserve"> from </w:t>
      </w:r>
      <w:r w:rsidR="007F0D39" w:rsidRPr="004B3B88">
        <w:rPr>
          <w:i w:val="0"/>
          <w:iCs w:val="0"/>
          <w:color w:val="000000" w:themeColor="text1"/>
          <w:sz w:val="22"/>
          <w:szCs w:val="22"/>
        </w:rPr>
        <w:t>1</w:t>
      </w:r>
      <w:r w:rsidRPr="004B3B88">
        <w:rPr>
          <w:i w:val="0"/>
          <w:iCs w:val="0"/>
          <w:color w:val="000000" w:themeColor="text1"/>
          <w:sz w:val="22"/>
          <w:szCs w:val="22"/>
        </w:rPr>
        <w:t xml:space="preserve">-component </w:t>
      </w:r>
      <w:r w:rsidR="007F0D39" w:rsidRPr="004B3B88">
        <w:rPr>
          <w:i w:val="0"/>
          <w:iCs w:val="0"/>
          <w:color w:val="000000" w:themeColor="text1"/>
          <w:sz w:val="22"/>
          <w:szCs w:val="22"/>
        </w:rPr>
        <w:t>exponential fit</w:t>
      </w:r>
      <w:r w:rsidRPr="004B3B88">
        <w:rPr>
          <w:i w:val="0"/>
          <w:iCs w:val="0"/>
          <w:color w:val="000000" w:themeColor="text1"/>
          <w:sz w:val="22"/>
          <w:szCs w:val="22"/>
        </w:rPr>
        <w:t xml:space="preserve"> using</w:t>
      </w:r>
      <w:r w:rsidR="007F0D39" w:rsidRPr="004B3B88">
        <w:rPr>
          <w:i w:val="0"/>
          <w:iCs w:val="0"/>
          <w:color w:val="000000" w:themeColor="text1"/>
          <w:sz w:val="22"/>
          <w:szCs w:val="22"/>
        </w:rPr>
        <w:t xml:space="preserve"> only long-term experimental data (from 50–100 days onwards) and from 2-component exponential fit using the entire experimental data. </w:t>
      </w:r>
      <w:r w:rsidR="0058659F">
        <w:rPr>
          <w:i w:val="0"/>
          <w:iCs w:val="0"/>
          <w:color w:val="000000" w:themeColor="text1"/>
          <w:sz w:val="22"/>
          <w:szCs w:val="22"/>
        </w:rPr>
        <w:t xml:space="preserve">The concentration of </w:t>
      </w:r>
      <w:proofErr w:type="spellStart"/>
      <w:r w:rsidR="0058659F">
        <w:rPr>
          <w:i w:val="0"/>
          <w:iCs w:val="0"/>
          <w:color w:val="000000" w:themeColor="text1"/>
          <w:sz w:val="22"/>
          <w:szCs w:val="22"/>
        </w:rPr>
        <w:t>tDOC</w:t>
      </w:r>
      <w:proofErr w:type="spellEnd"/>
      <w:r w:rsidR="0058659F">
        <w:rPr>
          <w:i w:val="0"/>
          <w:iCs w:val="0"/>
          <w:color w:val="000000" w:themeColor="text1"/>
          <w:sz w:val="22"/>
          <w:szCs w:val="22"/>
        </w:rPr>
        <w:t xml:space="preserve"> and </w:t>
      </w:r>
      <w:r w:rsidR="003703CD">
        <w:rPr>
          <w:i w:val="0"/>
          <w:iCs w:val="0"/>
          <w:color w:val="000000" w:themeColor="text1"/>
          <w:sz w:val="22"/>
          <w:szCs w:val="22"/>
        </w:rPr>
        <w:t xml:space="preserve">terrestrial CDOM was calculated by </w:t>
      </w:r>
      <w:r w:rsidR="003703CD" w:rsidRPr="003703CD">
        <w:rPr>
          <w:i w:val="0"/>
          <w:iCs w:val="0"/>
          <w:color w:val="000000" w:themeColor="text1"/>
          <w:sz w:val="22"/>
          <w:szCs w:val="22"/>
        </w:rPr>
        <w:t>subtracting the pure seawater control data</w:t>
      </w:r>
      <w:r w:rsidR="003703CD">
        <w:rPr>
          <w:i w:val="0"/>
          <w:iCs w:val="0"/>
          <w:color w:val="000000" w:themeColor="text1"/>
          <w:sz w:val="22"/>
          <w:szCs w:val="22"/>
        </w:rPr>
        <w:t xml:space="preserve"> </w:t>
      </w:r>
      <w:r w:rsidR="000A3EDD">
        <w:rPr>
          <w:i w:val="0"/>
          <w:iCs w:val="0"/>
          <w:color w:val="000000" w:themeColor="text1"/>
          <w:sz w:val="22"/>
          <w:szCs w:val="22"/>
        </w:rPr>
        <w:t xml:space="preserve">from the biodegradation with </w:t>
      </w:r>
      <w:r w:rsidR="007467B9">
        <w:rPr>
          <w:i w:val="0"/>
          <w:iCs w:val="0"/>
          <w:color w:val="000000" w:themeColor="text1"/>
          <w:sz w:val="22"/>
          <w:szCs w:val="22"/>
        </w:rPr>
        <w:t>river-seawater mixture</w:t>
      </w:r>
      <w:r w:rsidR="00411929">
        <w:rPr>
          <w:i w:val="0"/>
          <w:iCs w:val="0"/>
          <w:color w:val="000000" w:themeColor="text1"/>
          <w:sz w:val="22"/>
          <w:szCs w:val="22"/>
        </w:rPr>
        <w:t xml:space="preserve"> (</w:t>
      </w:r>
      <w:r w:rsidR="00B503C8">
        <w:rPr>
          <w:i w:val="0"/>
          <w:iCs w:val="0"/>
          <w:color w:val="000000" w:themeColor="text1"/>
          <w:sz w:val="22"/>
          <w:szCs w:val="22"/>
        </w:rPr>
        <w:t>see Methods)</w:t>
      </w:r>
      <w:r w:rsidR="000A3EDD">
        <w:rPr>
          <w:i w:val="0"/>
          <w:iCs w:val="0"/>
          <w:color w:val="000000" w:themeColor="text1"/>
          <w:sz w:val="22"/>
          <w:szCs w:val="22"/>
        </w:rPr>
        <w:t xml:space="preserve">. </w:t>
      </w:r>
      <w:r w:rsidR="007F0D39" w:rsidRPr="004B3B88">
        <w:rPr>
          <w:i w:val="0"/>
          <w:iCs w:val="0"/>
          <w:color w:val="000000" w:themeColor="text1"/>
          <w:sz w:val="22"/>
          <w:szCs w:val="22"/>
        </w:rPr>
        <w:t>The statistical information of 2-comp fit are provided in Table S1 and shows that the proportion of the initial fast lost fraction is fairly small.</w:t>
      </w:r>
    </w:p>
    <w:p w14:paraId="238A6DC4" w14:textId="77777777" w:rsidR="00485FF6" w:rsidRPr="004B3B88" w:rsidRDefault="00485FF6" w:rsidP="007D2156">
      <w:pPr>
        <w:rPr>
          <w:color w:val="000000" w:themeColor="text1"/>
          <w:lang w:val="en-US"/>
        </w:rPr>
      </w:pPr>
    </w:p>
    <w:p w14:paraId="27100632" w14:textId="77777777" w:rsidR="00485FF6" w:rsidRDefault="00485FF6" w:rsidP="007D2156">
      <w:pPr>
        <w:rPr>
          <w:color w:val="000000" w:themeColor="text1"/>
          <w:lang w:val="en-US"/>
        </w:rPr>
      </w:pPr>
    </w:p>
    <w:p w14:paraId="46B57C0B" w14:textId="77777777" w:rsidR="00AF4264" w:rsidRDefault="00AF4264" w:rsidP="007D2156">
      <w:pPr>
        <w:rPr>
          <w:color w:val="000000" w:themeColor="text1"/>
        </w:rPr>
      </w:pPr>
    </w:p>
    <w:p w14:paraId="085E3DAA" w14:textId="77777777" w:rsidR="00AF4264" w:rsidRPr="00AF4264" w:rsidRDefault="00AF4264" w:rsidP="007D2156">
      <w:pPr>
        <w:rPr>
          <w:color w:val="000000" w:themeColor="text1"/>
        </w:rPr>
      </w:pPr>
    </w:p>
    <w:p w14:paraId="5104D6E3" w14:textId="77777777" w:rsidR="007F613F" w:rsidRPr="004B3B88" w:rsidRDefault="007F613F" w:rsidP="007F613F">
      <w:pPr>
        <w:rPr>
          <w:color w:val="000000" w:themeColor="text1"/>
          <w:lang w:val="en-US"/>
        </w:rPr>
      </w:pPr>
    </w:p>
    <w:p w14:paraId="2F5F6EC5" w14:textId="77777777" w:rsidR="007F613F" w:rsidRDefault="007F613F" w:rsidP="007F613F">
      <w:pPr>
        <w:rPr>
          <w:color w:val="000000" w:themeColor="text1"/>
        </w:rPr>
      </w:pPr>
    </w:p>
    <w:p w14:paraId="6E4AC7F7" w14:textId="77777777" w:rsidR="007F613F" w:rsidRPr="007F613F" w:rsidRDefault="007F613F" w:rsidP="007F613F"/>
    <w:p w14:paraId="5CB91590" w14:textId="77777777" w:rsidR="00686175" w:rsidRDefault="00686175" w:rsidP="007D2156">
      <w:pPr>
        <w:rPr>
          <w:color w:val="000000" w:themeColor="text1"/>
          <w:lang w:val="en-US"/>
        </w:rPr>
      </w:pPr>
    </w:p>
    <w:p w14:paraId="6CD8A67A" w14:textId="77777777" w:rsidR="001C5AD9" w:rsidRDefault="001C5AD9" w:rsidP="007D2156">
      <w:pPr>
        <w:rPr>
          <w:color w:val="000000" w:themeColor="text1"/>
          <w:lang w:val="en-US"/>
        </w:rPr>
      </w:pPr>
    </w:p>
    <w:p w14:paraId="53A44BAF" w14:textId="77777777" w:rsidR="007F613F" w:rsidRPr="004B3B88" w:rsidRDefault="007F613F" w:rsidP="007D2156">
      <w:pPr>
        <w:rPr>
          <w:color w:val="000000" w:themeColor="text1"/>
          <w:lang w:val="en-US"/>
        </w:rPr>
      </w:pPr>
    </w:p>
    <w:p w14:paraId="5E821B22" w14:textId="71AA782F" w:rsidR="0052410C" w:rsidRPr="004B3B88" w:rsidRDefault="0052410C" w:rsidP="0052410C">
      <w:pPr>
        <w:pStyle w:val="Caption"/>
        <w:keepNext/>
        <w:rPr>
          <w:i w:val="0"/>
          <w:iCs w:val="0"/>
          <w:color w:val="000000" w:themeColor="text1"/>
          <w:sz w:val="22"/>
          <w:szCs w:val="22"/>
        </w:rPr>
      </w:pPr>
      <w:r w:rsidRPr="004B3B88">
        <w:rPr>
          <w:i w:val="0"/>
          <w:iCs w:val="0"/>
          <w:color w:val="000000" w:themeColor="text1"/>
          <w:sz w:val="22"/>
          <w:szCs w:val="22"/>
        </w:rPr>
        <w:lastRenderedPageBreak/>
        <w:t xml:space="preserve">Table </w:t>
      </w:r>
      <w:r>
        <w:rPr>
          <w:i w:val="0"/>
          <w:iCs w:val="0"/>
          <w:color w:val="000000" w:themeColor="text1"/>
          <w:sz w:val="22"/>
          <w:szCs w:val="22"/>
        </w:rPr>
        <w:t>S</w:t>
      </w:r>
      <w:r w:rsidRPr="004B3B88">
        <w:rPr>
          <w:i w:val="0"/>
          <w:iCs w:val="0"/>
          <w:color w:val="000000" w:themeColor="text1"/>
          <w:sz w:val="22"/>
          <w:szCs w:val="22"/>
        </w:rPr>
        <w:fldChar w:fldCharType="begin"/>
      </w:r>
      <w:r w:rsidRPr="004B3B88">
        <w:rPr>
          <w:i w:val="0"/>
          <w:iCs w:val="0"/>
          <w:color w:val="000000" w:themeColor="text1"/>
          <w:sz w:val="22"/>
          <w:szCs w:val="22"/>
        </w:rPr>
        <w:instrText xml:space="preserve"> SEQ Table \* ARABIC </w:instrText>
      </w:r>
      <w:r w:rsidRPr="004B3B88">
        <w:rPr>
          <w:i w:val="0"/>
          <w:iCs w:val="0"/>
          <w:color w:val="000000" w:themeColor="text1"/>
          <w:sz w:val="22"/>
          <w:szCs w:val="22"/>
        </w:rPr>
        <w:fldChar w:fldCharType="separate"/>
      </w:r>
      <w:r w:rsidR="00FC1BD9">
        <w:rPr>
          <w:i w:val="0"/>
          <w:iCs w:val="0"/>
          <w:noProof/>
          <w:color w:val="000000" w:themeColor="text1"/>
          <w:sz w:val="22"/>
          <w:szCs w:val="22"/>
        </w:rPr>
        <w:t>1</w:t>
      </w:r>
      <w:r w:rsidRPr="004B3B88">
        <w:rPr>
          <w:i w:val="0"/>
          <w:iCs w:val="0"/>
          <w:color w:val="000000" w:themeColor="text1"/>
          <w:sz w:val="22"/>
          <w:szCs w:val="22"/>
        </w:rPr>
        <w:fldChar w:fldCharType="end"/>
      </w:r>
      <w:r w:rsidRPr="004B3B88">
        <w:rPr>
          <w:i w:val="0"/>
          <w:iCs w:val="0"/>
          <w:color w:val="000000" w:themeColor="text1"/>
          <w:sz w:val="22"/>
          <w:szCs w:val="22"/>
        </w:rPr>
        <w:t xml:space="preserve">. Statistical information about 2-component fit of the entire timeseries data for </w:t>
      </w:r>
      <w:proofErr w:type="spellStart"/>
      <w:r w:rsidRPr="004B3B88">
        <w:rPr>
          <w:i w:val="0"/>
          <w:iCs w:val="0"/>
          <w:color w:val="000000" w:themeColor="text1"/>
          <w:sz w:val="22"/>
          <w:szCs w:val="22"/>
        </w:rPr>
        <w:t>tDOC</w:t>
      </w:r>
      <w:proofErr w:type="spellEnd"/>
      <w:r w:rsidRPr="004B3B88">
        <w:rPr>
          <w:i w:val="0"/>
          <w:iCs w:val="0"/>
          <w:color w:val="000000" w:themeColor="text1"/>
          <w:sz w:val="22"/>
          <w:szCs w:val="22"/>
        </w:rPr>
        <w:t xml:space="preserve"> biodegradation</w:t>
      </w:r>
      <w:r w:rsidR="00E40043">
        <w:rPr>
          <w:i w:val="0"/>
          <w:iCs w:val="0"/>
          <w:color w:val="000000" w:themeColor="text1"/>
          <w:sz w:val="22"/>
          <w:szCs w:val="22"/>
        </w:rPr>
        <w:t xml:space="preserve">, following formula </w:t>
      </w:r>
      <w:proofErr w:type="spellStart"/>
      <w:r w:rsidR="00E40043">
        <w:rPr>
          <w:i w:val="0"/>
          <w:iCs w:val="0"/>
          <w:color w:val="000000" w:themeColor="text1"/>
          <w:sz w:val="22"/>
          <w:szCs w:val="22"/>
        </w:rPr>
        <w:t>c</w:t>
      </w:r>
      <w:r w:rsidR="00E40043">
        <w:rPr>
          <w:i w:val="0"/>
          <w:iCs w:val="0"/>
          <w:color w:val="000000" w:themeColor="text1"/>
          <w:sz w:val="22"/>
          <w:szCs w:val="22"/>
          <w:vertAlign w:val="subscript"/>
        </w:rPr>
        <w:t>t</w:t>
      </w:r>
      <w:proofErr w:type="spellEnd"/>
      <w:r w:rsidR="00E40043">
        <w:rPr>
          <w:i w:val="0"/>
          <w:iCs w:val="0"/>
          <w:color w:val="000000" w:themeColor="text1"/>
          <w:sz w:val="22"/>
          <w:szCs w:val="22"/>
        </w:rPr>
        <w:t xml:space="preserve"> = f</w:t>
      </w:r>
      <w:r w:rsidR="00E40043">
        <w:rPr>
          <w:i w:val="0"/>
          <w:iCs w:val="0"/>
          <w:color w:val="000000" w:themeColor="text1"/>
          <w:sz w:val="22"/>
          <w:szCs w:val="22"/>
          <w:vertAlign w:val="subscript"/>
        </w:rPr>
        <w:t>1</w:t>
      </w:r>
      <w:r w:rsidR="00E40043">
        <w:rPr>
          <w:i w:val="0"/>
          <w:iCs w:val="0"/>
          <w:color w:val="000000" w:themeColor="text1"/>
          <w:sz w:val="22"/>
          <w:szCs w:val="22"/>
        </w:rPr>
        <w:t xml:space="preserve"> e</w:t>
      </w:r>
      <w:r w:rsidR="00E40043">
        <w:rPr>
          <w:i w:val="0"/>
          <w:iCs w:val="0"/>
          <w:color w:val="000000" w:themeColor="text1"/>
          <w:sz w:val="22"/>
          <w:szCs w:val="22"/>
          <w:vertAlign w:val="superscript"/>
        </w:rPr>
        <w:t>-k1 t</w:t>
      </w:r>
      <w:r w:rsidR="00E40043">
        <w:rPr>
          <w:i w:val="0"/>
          <w:iCs w:val="0"/>
          <w:color w:val="000000" w:themeColor="text1"/>
          <w:sz w:val="22"/>
          <w:szCs w:val="22"/>
        </w:rPr>
        <w:t xml:space="preserve"> + f</w:t>
      </w:r>
      <w:r w:rsidR="00E40043">
        <w:rPr>
          <w:i w:val="0"/>
          <w:iCs w:val="0"/>
          <w:color w:val="000000" w:themeColor="text1"/>
          <w:sz w:val="22"/>
          <w:szCs w:val="22"/>
          <w:vertAlign w:val="subscript"/>
        </w:rPr>
        <w:t>2</w:t>
      </w:r>
      <w:r w:rsidR="00E40043">
        <w:rPr>
          <w:i w:val="0"/>
          <w:iCs w:val="0"/>
          <w:color w:val="000000" w:themeColor="text1"/>
          <w:sz w:val="22"/>
          <w:szCs w:val="22"/>
        </w:rPr>
        <w:t xml:space="preserve"> e</w:t>
      </w:r>
      <w:r w:rsidR="00E40043">
        <w:rPr>
          <w:i w:val="0"/>
          <w:iCs w:val="0"/>
          <w:color w:val="000000" w:themeColor="text1"/>
          <w:sz w:val="22"/>
          <w:szCs w:val="22"/>
          <w:vertAlign w:val="superscript"/>
        </w:rPr>
        <w:t>-k2 t</w:t>
      </w:r>
      <w:r w:rsidR="00193402">
        <w:rPr>
          <w:i w:val="0"/>
          <w:iCs w:val="0"/>
          <w:color w:val="000000" w:themeColor="text1"/>
          <w:sz w:val="22"/>
          <w:szCs w:val="22"/>
        </w:rPr>
        <w:t xml:space="preserve">, where </w:t>
      </w:r>
      <w:proofErr w:type="spellStart"/>
      <w:r w:rsidR="00193402">
        <w:rPr>
          <w:i w:val="0"/>
          <w:iCs w:val="0"/>
          <w:color w:val="000000" w:themeColor="text1"/>
          <w:sz w:val="22"/>
          <w:szCs w:val="22"/>
        </w:rPr>
        <w:t>t</w:t>
      </w:r>
      <w:proofErr w:type="spellEnd"/>
      <w:r w:rsidR="00193402">
        <w:rPr>
          <w:i w:val="0"/>
          <w:iCs w:val="0"/>
          <w:color w:val="000000" w:themeColor="text1"/>
          <w:sz w:val="22"/>
          <w:szCs w:val="22"/>
        </w:rPr>
        <w:t xml:space="preserve"> is the time and</w:t>
      </w:r>
      <w:r w:rsidR="00E40043">
        <w:rPr>
          <w:i w:val="0"/>
          <w:iCs w:val="0"/>
          <w:color w:val="000000" w:themeColor="text1"/>
          <w:sz w:val="22"/>
          <w:szCs w:val="22"/>
        </w:rPr>
        <w:t xml:space="preserve"> </w:t>
      </w:r>
      <w:proofErr w:type="spellStart"/>
      <w:r w:rsidR="00193402">
        <w:rPr>
          <w:i w:val="0"/>
          <w:iCs w:val="0"/>
          <w:color w:val="000000" w:themeColor="text1"/>
          <w:sz w:val="22"/>
          <w:szCs w:val="22"/>
        </w:rPr>
        <w:t>c</w:t>
      </w:r>
      <w:r w:rsidR="00193402">
        <w:rPr>
          <w:i w:val="0"/>
          <w:iCs w:val="0"/>
          <w:color w:val="000000" w:themeColor="text1"/>
          <w:sz w:val="22"/>
          <w:szCs w:val="22"/>
          <w:vertAlign w:val="subscript"/>
        </w:rPr>
        <w:t>t</w:t>
      </w:r>
      <w:proofErr w:type="spellEnd"/>
      <w:r w:rsidR="00193402">
        <w:rPr>
          <w:i w:val="0"/>
          <w:iCs w:val="0"/>
          <w:color w:val="000000" w:themeColor="text1"/>
          <w:sz w:val="22"/>
          <w:szCs w:val="22"/>
        </w:rPr>
        <w:t xml:space="preserve"> is the concentration of </w:t>
      </w:r>
      <w:proofErr w:type="spellStart"/>
      <w:r w:rsidR="00193402">
        <w:rPr>
          <w:i w:val="0"/>
          <w:iCs w:val="0"/>
          <w:color w:val="000000" w:themeColor="text1"/>
          <w:sz w:val="22"/>
          <w:szCs w:val="22"/>
        </w:rPr>
        <w:t>tDOC</w:t>
      </w:r>
      <w:proofErr w:type="spellEnd"/>
      <w:r w:rsidR="00193402">
        <w:rPr>
          <w:i w:val="0"/>
          <w:iCs w:val="0"/>
          <w:color w:val="000000" w:themeColor="text1"/>
          <w:sz w:val="22"/>
          <w:szCs w:val="22"/>
        </w:rPr>
        <w:t xml:space="preserve"> or terrestrial a</w:t>
      </w:r>
      <w:r w:rsidR="00193402">
        <w:rPr>
          <w:i w:val="0"/>
          <w:iCs w:val="0"/>
          <w:color w:val="000000" w:themeColor="text1"/>
          <w:sz w:val="22"/>
          <w:szCs w:val="22"/>
          <w:vertAlign w:val="subscript"/>
        </w:rPr>
        <w:t>350</w:t>
      </w:r>
      <w:r w:rsidR="00193402">
        <w:rPr>
          <w:i w:val="0"/>
          <w:iCs w:val="0"/>
          <w:color w:val="000000" w:themeColor="text1"/>
          <w:sz w:val="22"/>
          <w:szCs w:val="22"/>
        </w:rPr>
        <w:t xml:space="preserve"> at time t.</w:t>
      </w:r>
      <w:r w:rsidRPr="004B3B88">
        <w:rPr>
          <w:i w:val="0"/>
          <w:iCs w:val="0"/>
          <w:color w:val="000000" w:themeColor="text1"/>
          <w:sz w:val="22"/>
          <w:szCs w:val="22"/>
        </w:rPr>
        <w:t xml:space="preserve"> The proportion of the rather labile</w:t>
      </w:r>
      <w:r w:rsidR="00E40043">
        <w:rPr>
          <w:i w:val="0"/>
          <w:iCs w:val="0"/>
          <w:color w:val="000000" w:themeColor="text1"/>
          <w:sz w:val="22"/>
          <w:szCs w:val="22"/>
        </w:rPr>
        <w:t xml:space="preserve"> </w:t>
      </w:r>
      <w:r w:rsidRPr="004B3B88">
        <w:rPr>
          <w:i w:val="0"/>
          <w:iCs w:val="0"/>
          <w:color w:val="000000" w:themeColor="text1"/>
          <w:sz w:val="22"/>
          <w:szCs w:val="22"/>
        </w:rPr>
        <w:t>component</w:t>
      </w:r>
      <w:r w:rsidR="00E40043">
        <w:rPr>
          <w:i w:val="0"/>
          <w:iCs w:val="0"/>
          <w:color w:val="000000" w:themeColor="text1"/>
          <w:sz w:val="22"/>
          <w:szCs w:val="22"/>
        </w:rPr>
        <w:t xml:space="preserve"> (f</w:t>
      </w:r>
      <w:r w:rsidR="00E40043">
        <w:rPr>
          <w:i w:val="0"/>
          <w:iCs w:val="0"/>
          <w:color w:val="000000" w:themeColor="text1"/>
          <w:sz w:val="22"/>
          <w:szCs w:val="22"/>
          <w:vertAlign w:val="subscript"/>
        </w:rPr>
        <w:t>1</w:t>
      </w:r>
      <w:r w:rsidR="00E40043">
        <w:rPr>
          <w:i w:val="0"/>
          <w:iCs w:val="0"/>
          <w:color w:val="000000" w:themeColor="text1"/>
          <w:sz w:val="22"/>
          <w:szCs w:val="22"/>
        </w:rPr>
        <w:t xml:space="preserve">) </w:t>
      </w:r>
      <w:r w:rsidRPr="004B3B88">
        <w:rPr>
          <w:i w:val="0"/>
          <w:iCs w:val="0"/>
          <w:color w:val="000000" w:themeColor="text1"/>
          <w:sz w:val="22"/>
          <w:szCs w:val="22"/>
        </w:rPr>
        <w:t xml:space="preserve"> is small.</w:t>
      </w:r>
    </w:p>
    <w:tbl>
      <w:tblPr>
        <w:tblStyle w:val="PlainTable4"/>
        <w:tblW w:w="9640" w:type="dxa"/>
        <w:tblInd w:w="-284" w:type="dxa"/>
        <w:tblBorders>
          <w:top w:val="single" w:sz="4" w:space="0" w:color="auto"/>
          <w:bottom w:val="single" w:sz="4" w:space="0" w:color="auto"/>
        </w:tblBorders>
        <w:tblLook w:val="04A0" w:firstRow="1" w:lastRow="0" w:firstColumn="1" w:lastColumn="0" w:noHBand="0" w:noVBand="1"/>
      </w:tblPr>
      <w:tblGrid>
        <w:gridCol w:w="1702"/>
        <w:gridCol w:w="1586"/>
        <w:gridCol w:w="1503"/>
        <w:gridCol w:w="1503"/>
        <w:gridCol w:w="1503"/>
        <w:gridCol w:w="1843"/>
      </w:tblGrid>
      <w:tr w:rsidR="0052410C" w:rsidRPr="004B3B88" w14:paraId="5E30E0A9" w14:textId="77777777" w:rsidTr="008F0BB4">
        <w:trPr>
          <w:cnfStyle w:val="100000000000" w:firstRow="1" w:lastRow="0" w:firstColumn="0" w:lastColumn="0" w:oddVBand="0" w:evenVBand="0" w:oddHBand="0"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702" w:type="dxa"/>
            <w:tcBorders>
              <w:top w:val="single" w:sz="4" w:space="0" w:color="auto"/>
              <w:bottom w:val="single" w:sz="4" w:space="0" w:color="auto"/>
            </w:tcBorders>
            <w:shd w:val="clear" w:color="auto" w:fill="auto"/>
          </w:tcPr>
          <w:p w14:paraId="4057D5DF" w14:textId="77777777" w:rsidR="0052410C" w:rsidRPr="004B3B88" w:rsidRDefault="0052410C" w:rsidP="00874BE3">
            <w:pPr>
              <w:rPr>
                <w:b w:val="0"/>
                <w:bCs w:val="0"/>
                <w:color w:val="000000" w:themeColor="text1"/>
                <w:lang w:val="en-US"/>
              </w:rPr>
            </w:pPr>
            <w:r w:rsidRPr="004B3B88">
              <w:rPr>
                <w:b w:val="0"/>
                <w:bCs w:val="0"/>
                <w:color w:val="000000" w:themeColor="text1"/>
                <w:lang w:val="en-US"/>
              </w:rPr>
              <w:t>Experiment code</w:t>
            </w:r>
          </w:p>
        </w:tc>
        <w:tc>
          <w:tcPr>
            <w:tcW w:w="1586" w:type="dxa"/>
            <w:tcBorders>
              <w:top w:val="single" w:sz="4" w:space="0" w:color="auto"/>
              <w:bottom w:val="single" w:sz="4" w:space="0" w:color="auto"/>
            </w:tcBorders>
            <w:shd w:val="clear" w:color="auto" w:fill="auto"/>
          </w:tcPr>
          <w:p w14:paraId="04B4A2C8" w14:textId="77777777" w:rsidR="0052410C" w:rsidRPr="004B3B88" w:rsidRDefault="0052410C" w:rsidP="00874BE3">
            <w:pPr>
              <w:cnfStyle w:val="100000000000" w:firstRow="1" w:lastRow="0" w:firstColumn="0" w:lastColumn="0" w:oddVBand="0" w:evenVBand="0" w:oddHBand="0" w:evenHBand="0" w:firstRowFirstColumn="0" w:firstRowLastColumn="0" w:lastRowFirstColumn="0" w:lastRowLastColumn="0"/>
              <w:rPr>
                <w:b w:val="0"/>
                <w:bCs w:val="0"/>
                <w:color w:val="000000" w:themeColor="text1"/>
                <w:lang w:val="en-US"/>
              </w:rPr>
            </w:pPr>
          </w:p>
        </w:tc>
        <w:tc>
          <w:tcPr>
            <w:tcW w:w="1503" w:type="dxa"/>
            <w:tcBorders>
              <w:top w:val="single" w:sz="4" w:space="0" w:color="auto"/>
              <w:bottom w:val="single" w:sz="4" w:space="0" w:color="auto"/>
            </w:tcBorders>
            <w:shd w:val="clear" w:color="auto" w:fill="auto"/>
          </w:tcPr>
          <w:p w14:paraId="20D5932C" w14:textId="77777777" w:rsidR="0052410C" w:rsidRPr="004B3B88" w:rsidRDefault="0052410C" w:rsidP="00874BE3">
            <w:pPr>
              <w:cnfStyle w:val="100000000000" w:firstRow="1" w:lastRow="0" w:firstColumn="0" w:lastColumn="0" w:oddVBand="0" w:evenVBand="0" w:oddHBand="0" w:evenHBand="0" w:firstRowFirstColumn="0" w:firstRowLastColumn="0" w:lastRowFirstColumn="0" w:lastRowLastColumn="0"/>
              <w:rPr>
                <w:b w:val="0"/>
                <w:bCs w:val="0"/>
                <w:color w:val="000000" w:themeColor="text1"/>
                <w:lang w:val="en-US"/>
              </w:rPr>
            </w:pPr>
            <w:proofErr w:type="spellStart"/>
            <w:r w:rsidRPr="004B3B88">
              <w:rPr>
                <w:b w:val="0"/>
                <w:bCs w:val="0"/>
                <w:color w:val="000000" w:themeColor="text1"/>
                <w:lang w:val="en-US"/>
              </w:rPr>
              <w:t>BtSjBD</w:t>
            </w:r>
            <w:proofErr w:type="spellEnd"/>
            <w:r w:rsidRPr="004B3B88">
              <w:rPr>
                <w:b w:val="0"/>
                <w:bCs w:val="0"/>
                <w:color w:val="000000" w:themeColor="text1"/>
                <w:sz w:val="21"/>
                <w:szCs w:val="20"/>
                <w:lang w:val="en-US"/>
              </w:rPr>
              <w:t>–</w:t>
            </w:r>
            <w:r w:rsidRPr="004B3B88">
              <w:rPr>
                <w:b w:val="0"/>
                <w:bCs w:val="0"/>
                <w:color w:val="000000" w:themeColor="text1"/>
                <w:lang w:val="en-US"/>
              </w:rPr>
              <w:t>Apr</w:t>
            </w:r>
          </w:p>
        </w:tc>
        <w:tc>
          <w:tcPr>
            <w:tcW w:w="1503" w:type="dxa"/>
            <w:tcBorders>
              <w:top w:val="single" w:sz="4" w:space="0" w:color="auto"/>
              <w:bottom w:val="single" w:sz="4" w:space="0" w:color="auto"/>
            </w:tcBorders>
            <w:shd w:val="clear" w:color="auto" w:fill="auto"/>
          </w:tcPr>
          <w:p w14:paraId="3C7BC185" w14:textId="77777777" w:rsidR="0052410C" w:rsidRPr="004B3B88" w:rsidRDefault="0052410C" w:rsidP="00874BE3">
            <w:pPr>
              <w:cnfStyle w:val="100000000000" w:firstRow="1" w:lastRow="0" w:firstColumn="0" w:lastColumn="0" w:oddVBand="0" w:evenVBand="0" w:oddHBand="0" w:evenHBand="0" w:firstRowFirstColumn="0" w:firstRowLastColumn="0" w:lastRowFirstColumn="0" w:lastRowLastColumn="0"/>
              <w:rPr>
                <w:b w:val="0"/>
                <w:bCs w:val="0"/>
                <w:color w:val="000000" w:themeColor="text1"/>
                <w:lang w:val="en-US"/>
              </w:rPr>
            </w:pPr>
            <w:proofErr w:type="spellStart"/>
            <w:r w:rsidRPr="004B3B88">
              <w:rPr>
                <w:b w:val="0"/>
                <w:bCs w:val="0"/>
                <w:color w:val="000000" w:themeColor="text1"/>
                <w:lang w:val="en-US"/>
              </w:rPr>
              <w:t>BtSjBD</w:t>
            </w:r>
            <w:proofErr w:type="spellEnd"/>
            <w:r w:rsidRPr="004B3B88">
              <w:rPr>
                <w:b w:val="0"/>
                <w:bCs w:val="0"/>
                <w:color w:val="000000" w:themeColor="text1"/>
                <w:sz w:val="21"/>
                <w:szCs w:val="20"/>
                <w:lang w:val="en-US"/>
              </w:rPr>
              <w:t>–</w:t>
            </w:r>
            <w:r w:rsidRPr="004B3B88">
              <w:rPr>
                <w:b w:val="0"/>
                <w:bCs w:val="0"/>
                <w:color w:val="000000" w:themeColor="text1"/>
                <w:lang w:val="en-US"/>
              </w:rPr>
              <w:t>Dec</w:t>
            </w:r>
          </w:p>
        </w:tc>
        <w:tc>
          <w:tcPr>
            <w:tcW w:w="1503" w:type="dxa"/>
            <w:tcBorders>
              <w:top w:val="single" w:sz="4" w:space="0" w:color="auto"/>
              <w:bottom w:val="single" w:sz="4" w:space="0" w:color="auto"/>
            </w:tcBorders>
            <w:shd w:val="clear" w:color="auto" w:fill="auto"/>
          </w:tcPr>
          <w:p w14:paraId="72BBF08B" w14:textId="77777777" w:rsidR="0052410C" w:rsidRPr="004B3B88" w:rsidRDefault="0052410C" w:rsidP="00874BE3">
            <w:pPr>
              <w:cnfStyle w:val="100000000000" w:firstRow="1" w:lastRow="0" w:firstColumn="0" w:lastColumn="0" w:oddVBand="0" w:evenVBand="0" w:oddHBand="0" w:evenHBand="0" w:firstRowFirstColumn="0" w:firstRowLastColumn="0" w:lastRowFirstColumn="0" w:lastRowLastColumn="0"/>
              <w:rPr>
                <w:b w:val="0"/>
                <w:bCs w:val="0"/>
                <w:color w:val="000000" w:themeColor="text1"/>
                <w:lang w:val="en-US"/>
              </w:rPr>
            </w:pPr>
            <w:proofErr w:type="spellStart"/>
            <w:r w:rsidRPr="004B3B88">
              <w:rPr>
                <w:b w:val="0"/>
                <w:bCs w:val="0"/>
                <w:color w:val="000000" w:themeColor="text1"/>
                <w:lang w:val="en-US"/>
              </w:rPr>
              <w:t>MldKsBD</w:t>
            </w:r>
            <w:proofErr w:type="spellEnd"/>
            <w:r w:rsidRPr="004B3B88">
              <w:rPr>
                <w:b w:val="0"/>
                <w:bCs w:val="0"/>
                <w:color w:val="000000" w:themeColor="text1"/>
                <w:sz w:val="21"/>
                <w:szCs w:val="20"/>
                <w:lang w:val="en-US"/>
              </w:rPr>
              <w:t>–</w:t>
            </w:r>
            <w:r w:rsidRPr="004B3B88">
              <w:rPr>
                <w:b w:val="0"/>
                <w:bCs w:val="0"/>
                <w:color w:val="000000" w:themeColor="text1"/>
                <w:lang w:val="en-US"/>
              </w:rPr>
              <w:t>Nov</w:t>
            </w:r>
          </w:p>
        </w:tc>
        <w:tc>
          <w:tcPr>
            <w:tcW w:w="1843" w:type="dxa"/>
            <w:tcBorders>
              <w:top w:val="single" w:sz="4" w:space="0" w:color="auto"/>
              <w:bottom w:val="single" w:sz="4" w:space="0" w:color="auto"/>
            </w:tcBorders>
            <w:shd w:val="clear" w:color="auto" w:fill="auto"/>
          </w:tcPr>
          <w:p w14:paraId="2F07ED8C" w14:textId="77777777" w:rsidR="0052410C" w:rsidRPr="004B3B88" w:rsidRDefault="0052410C" w:rsidP="00874BE3">
            <w:pPr>
              <w:cnfStyle w:val="100000000000" w:firstRow="1" w:lastRow="0" w:firstColumn="0" w:lastColumn="0" w:oddVBand="0" w:evenVBand="0" w:oddHBand="0" w:evenHBand="0" w:firstRowFirstColumn="0" w:firstRowLastColumn="0" w:lastRowFirstColumn="0" w:lastRowLastColumn="0"/>
              <w:rPr>
                <w:b w:val="0"/>
                <w:bCs w:val="0"/>
                <w:color w:val="000000" w:themeColor="text1"/>
                <w:lang w:val="en-US"/>
              </w:rPr>
            </w:pPr>
            <w:proofErr w:type="spellStart"/>
            <w:r w:rsidRPr="004B3B88">
              <w:rPr>
                <w:b w:val="0"/>
                <w:bCs w:val="0"/>
                <w:color w:val="000000" w:themeColor="text1"/>
                <w:lang w:val="en-US"/>
              </w:rPr>
              <w:t>BmSjBD</w:t>
            </w:r>
            <w:proofErr w:type="spellEnd"/>
            <w:r w:rsidRPr="004B3B88">
              <w:rPr>
                <w:b w:val="0"/>
                <w:bCs w:val="0"/>
                <w:color w:val="000000" w:themeColor="text1"/>
                <w:sz w:val="21"/>
                <w:szCs w:val="20"/>
                <w:lang w:val="en-US"/>
              </w:rPr>
              <w:t>–</w:t>
            </w:r>
            <w:r w:rsidRPr="004B3B88">
              <w:rPr>
                <w:b w:val="0"/>
                <w:bCs w:val="0"/>
                <w:color w:val="000000" w:themeColor="text1"/>
                <w:lang w:val="en-US"/>
              </w:rPr>
              <w:t>Nov</w:t>
            </w:r>
          </w:p>
        </w:tc>
      </w:tr>
      <w:tr w:rsidR="0052410C" w:rsidRPr="008F0BB4" w14:paraId="1B6CCB5D" w14:textId="77777777" w:rsidTr="006A4B7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02" w:type="dxa"/>
            <w:tcBorders>
              <w:top w:val="single" w:sz="4" w:space="0" w:color="auto"/>
            </w:tcBorders>
            <w:shd w:val="clear" w:color="auto" w:fill="auto"/>
          </w:tcPr>
          <w:p w14:paraId="14279434" w14:textId="77777777" w:rsidR="0052410C" w:rsidRPr="008F0BB4" w:rsidRDefault="0052410C" w:rsidP="00874BE3">
            <w:pPr>
              <w:rPr>
                <w:b w:val="0"/>
                <w:bCs w:val="0"/>
                <w:color w:val="000000" w:themeColor="text1"/>
                <w:sz w:val="22"/>
                <w:szCs w:val="22"/>
                <w:lang w:val="en-US"/>
              </w:rPr>
            </w:pPr>
            <w:r w:rsidRPr="008F0BB4">
              <w:rPr>
                <w:b w:val="0"/>
                <w:bCs w:val="0"/>
                <w:color w:val="000000" w:themeColor="text1"/>
                <w:sz w:val="22"/>
                <w:szCs w:val="22"/>
                <w:lang w:val="en-US"/>
              </w:rPr>
              <w:t>tDOC</w:t>
            </w:r>
          </w:p>
        </w:tc>
        <w:tc>
          <w:tcPr>
            <w:tcW w:w="1586" w:type="dxa"/>
            <w:tcBorders>
              <w:top w:val="single" w:sz="4" w:space="0" w:color="auto"/>
            </w:tcBorders>
            <w:shd w:val="clear" w:color="auto" w:fill="auto"/>
          </w:tcPr>
          <w:p w14:paraId="4D6D5C71"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f</w:t>
            </w:r>
            <w:r w:rsidRPr="008F0BB4">
              <w:rPr>
                <w:color w:val="000000" w:themeColor="text1"/>
                <w:sz w:val="22"/>
                <w:szCs w:val="22"/>
                <w:vertAlign w:val="subscript"/>
                <w:lang w:val="en-US"/>
              </w:rPr>
              <w:t>1</w:t>
            </w:r>
          </w:p>
        </w:tc>
        <w:tc>
          <w:tcPr>
            <w:tcW w:w="1503" w:type="dxa"/>
            <w:tcBorders>
              <w:top w:val="single" w:sz="4" w:space="0" w:color="auto"/>
            </w:tcBorders>
            <w:shd w:val="clear" w:color="auto" w:fill="auto"/>
          </w:tcPr>
          <w:p w14:paraId="778034D0"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16.32</w:t>
            </w:r>
          </w:p>
        </w:tc>
        <w:tc>
          <w:tcPr>
            <w:tcW w:w="1503" w:type="dxa"/>
            <w:tcBorders>
              <w:top w:val="single" w:sz="4" w:space="0" w:color="auto"/>
            </w:tcBorders>
            <w:shd w:val="clear" w:color="auto" w:fill="auto"/>
          </w:tcPr>
          <w:p w14:paraId="0C7700A2"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31.06</w:t>
            </w:r>
          </w:p>
        </w:tc>
        <w:tc>
          <w:tcPr>
            <w:tcW w:w="1503" w:type="dxa"/>
            <w:tcBorders>
              <w:top w:val="single" w:sz="4" w:space="0" w:color="auto"/>
            </w:tcBorders>
            <w:shd w:val="clear" w:color="auto" w:fill="auto"/>
          </w:tcPr>
          <w:p w14:paraId="4C5FFE13"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33.96</w:t>
            </w:r>
          </w:p>
        </w:tc>
        <w:tc>
          <w:tcPr>
            <w:tcW w:w="1843" w:type="dxa"/>
            <w:tcBorders>
              <w:top w:val="single" w:sz="4" w:space="0" w:color="auto"/>
            </w:tcBorders>
            <w:shd w:val="clear" w:color="auto" w:fill="auto"/>
          </w:tcPr>
          <w:p w14:paraId="19A2F3B9"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4.00</w:t>
            </w:r>
          </w:p>
        </w:tc>
      </w:tr>
      <w:tr w:rsidR="0052410C" w:rsidRPr="008F0BB4" w14:paraId="2B275F77" w14:textId="77777777" w:rsidTr="006A4B72">
        <w:trPr>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37C26961"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385189BA"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k</w:t>
            </w:r>
            <w:r w:rsidRPr="008F0BB4">
              <w:rPr>
                <w:color w:val="000000" w:themeColor="text1"/>
                <w:sz w:val="22"/>
                <w:szCs w:val="22"/>
                <w:vertAlign w:val="subscript"/>
                <w:lang w:val="en-US"/>
              </w:rPr>
              <w:t>1</w:t>
            </w:r>
            <w:r w:rsidRPr="008F0BB4">
              <w:rPr>
                <w:color w:val="000000" w:themeColor="text1"/>
                <w:sz w:val="22"/>
                <w:szCs w:val="22"/>
                <w:lang w:val="en-US"/>
              </w:rPr>
              <w:t xml:space="preserve"> </w:t>
            </w:r>
          </w:p>
        </w:tc>
        <w:tc>
          <w:tcPr>
            <w:tcW w:w="1503" w:type="dxa"/>
            <w:shd w:val="clear" w:color="auto" w:fill="auto"/>
          </w:tcPr>
          <w:p w14:paraId="2B1D7618"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0.0172</w:t>
            </w:r>
          </w:p>
        </w:tc>
        <w:tc>
          <w:tcPr>
            <w:tcW w:w="1503" w:type="dxa"/>
            <w:shd w:val="clear" w:color="auto" w:fill="auto"/>
          </w:tcPr>
          <w:p w14:paraId="2448422C"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0.3991</w:t>
            </w:r>
          </w:p>
        </w:tc>
        <w:tc>
          <w:tcPr>
            <w:tcW w:w="1503" w:type="dxa"/>
            <w:shd w:val="clear" w:color="auto" w:fill="auto"/>
          </w:tcPr>
          <w:p w14:paraId="031F6875"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0.0157</w:t>
            </w:r>
          </w:p>
        </w:tc>
        <w:tc>
          <w:tcPr>
            <w:tcW w:w="1843" w:type="dxa"/>
            <w:shd w:val="clear" w:color="auto" w:fill="auto"/>
          </w:tcPr>
          <w:p w14:paraId="66F6F524"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0.0100</w:t>
            </w:r>
          </w:p>
        </w:tc>
      </w:tr>
      <w:tr w:rsidR="0052410C" w:rsidRPr="008F0BB4" w14:paraId="240BC0BB" w14:textId="77777777" w:rsidTr="006A4B7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20862C9A"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5669D7A7"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f</w:t>
            </w:r>
            <w:r w:rsidRPr="008F0BB4">
              <w:rPr>
                <w:color w:val="000000" w:themeColor="text1"/>
                <w:sz w:val="22"/>
                <w:szCs w:val="22"/>
                <w:vertAlign w:val="subscript"/>
                <w:lang w:val="en-US"/>
              </w:rPr>
              <w:t>2</w:t>
            </w:r>
          </w:p>
        </w:tc>
        <w:tc>
          <w:tcPr>
            <w:tcW w:w="1503" w:type="dxa"/>
            <w:shd w:val="clear" w:color="auto" w:fill="auto"/>
          </w:tcPr>
          <w:p w14:paraId="3582F4FD"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502.24</w:t>
            </w:r>
          </w:p>
        </w:tc>
        <w:tc>
          <w:tcPr>
            <w:tcW w:w="1503" w:type="dxa"/>
            <w:shd w:val="clear" w:color="auto" w:fill="auto"/>
          </w:tcPr>
          <w:p w14:paraId="7BFD6725"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523.58</w:t>
            </w:r>
          </w:p>
        </w:tc>
        <w:tc>
          <w:tcPr>
            <w:tcW w:w="1503" w:type="dxa"/>
            <w:shd w:val="clear" w:color="auto" w:fill="auto"/>
          </w:tcPr>
          <w:p w14:paraId="436B0375"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390.45</w:t>
            </w:r>
          </w:p>
        </w:tc>
        <w:tc>
          <w:tcPr>
            <w:tcW w:w="1843" w:type="dxa"/>
            <w:shd w:val="clear" w:color="auto" w:fill="auto"/>
          </w:tcPr>
          <w:p w14:paraId="7B70737F"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21.53</w:t>
            </w:r>
          </w:p>
        </w:tc>
      </w:tr>
      <w:tr w:rsidR="0052410C" w:rsidRPr="008F0BB4" w14:paraId="61735EEC" w14:textId="77777777" w:rsidTr="006A4B72">
        <w:trPr>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71ED877E"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4073EA81"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k</w:t>
            </w:r>
            <w:r w:rsidRPr="008F0BB4">
              <w:rPr>
                <w:color w:val="000000" w:themeColor="text1"/>
                <w:sz w:val="22"/>
                <w:szCs w:val="22"/>
                <w:vertAlign w:val="subscript"/>
                <w:lang w:val="en-US"/>
              </w:rPr>
              <w:t>2</w:t>
            </w:r>
          </w:p>
        </w:tc>
        <w:tc>
          <w:tcPr>
            <w:tcW w:w="1503" w:type="dxa"/>
            <w:shd w:val="clear" w:color="auto" w:fill="auto"/>
          </w:tcPr>
          <w:p w14:paraId="39F828C3"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0.0001</w:t>
            </w:r>
          </w:p>
        </w:tc>
        <w:tc>
          <w:tcPr>
            <w:tcW w:w="1503" w:type="dxa"/>
            <w:shd w:val="clear" w:color="auto" w:fill="auto"/>
          </w:tcPr>
          <w:p w14:paraId="004088C6"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0.0001</w:t>
            </w:r>
          </w:p>
        </w:tc>
        <w:tc>
          <w:tcPr>
            <w:tcW w:w="1503" w:type="dxa"/>
            <w:shd w:val="clear" w:color="auto" w:fill="auto"/>
          </w:tcPr>
          <w:p w14:paraId="46CBD5CB"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0.0008</w:t>
            </w:r>
          </w:p>
        </w:tc>
        <w:tc>
          <w:tcPr>
            <w:tcW w:w="1843" w:type="dxa"/>
            <w:shd w:val="clear" w:color="auto" w:fill="auto"/>
          </w:tcPr>
          <w:p w14:paraId="14D599A0"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0.0006</w:t>
            </w:r>
          </w:p>
        </w:tc>
      </w:tr>
      <w:tr w:rsidR="0052410C" w:rsidRPr="008F0BB4" w14:paraId="36177F0C" w14:textId="77777777" w:rsidTr="006A4B7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220D6EBC"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785DE475"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r</w:t>
            </w:r>
            <w:r w:rsidRPr="008F0BB4">
              <w:rPr>
                <w:color w:val="000000" w:themeColor="text1"/>
                <w:sz w:val="22"/>
                <w:szCs w:val="22"/>
                <w:vertAlign w:val="superscript"/>
                <w:lang w:val="en-US"/>
              </w:rPr>
              <w:t>2</w:t>
            </w:r>
            <w:r w:rsidRPr="008F0BB4">
              <w:rPr>
                <w:color w:val="000000" w:themeColor="text1"/>
                <w:sz w:val="22"/>
                <w:szCs w:val="22"/>
                <w:lang w:val="en-US"/>
              </w:rPr>
              <w:t>, RMSE</w:t>
            </w:r>
          </w:p>
        </w:tc>
        <w:tc>
          <w:tcPr>
            <w:tcW w:w="1503" w:type="dxa"/>
            <w:shd w:val="clear" w:color="auto" w:fill="auto"/>
          </w:tcPr>
          <w:p w14:paraId="45124541"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0.99, 1.07</w:t>
            </w:r>
          </w:p>
        </w:tc>
        <w:tc>
          <w:tcPr>
            <w:tcW w:w="1503" w:type="dxa"/>
            <w:shd w:val="clear" w:color="auto" w:fill="auto"/>
          </w:tcPr>
          <w:p w14:paraId="68F7A5E7"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0.99, NA</w:t>
            </w:r>
          </w:p>
        </w:tc>
        <w:tc>
          <w:tcPr>
            <w:tcW w:w="1503" w:type="dxa"/>
            <w:shd w:val="clear" w:color="auto" w:fill="auto"/>
          </w:tcPr>
          <w:p w14:paraId="7FA48035"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0.98, 5.79</w:t>
            </w:r>
          </w:p>
        </w:tc>
        <w:tc>
          <w:tcPr>
            <w:tcW w:w="1843" w:type="dxa"/>
            <w:shd w:val="clear" w:color="auto" w:fill="auto"/>
          </w:tcPr>
          <w:p w14:paraId="64D763AB"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0.96, 0.51</w:t>
            </w:r>
          </w:p>
        </w:tc>
      </w:tr>
      <w:tr w:rsidR="0052410C" w:rsidRPr="008F0BB4" w14:paraId="063B5922" w14:textId="77777777" w:rsidTr="006A4B72">
        <w:trPr>
          <w:trHeight w:val="630"/>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3E71C6BA"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2DE19F78"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Proportion</w:t>
            </w:r>
          </w:p>
        </w:tc>
        <w:tc>
          <w:tcPr>
            <w:tcW w:w="1503" w:type="dxa"/>
            <w:shd w:val="clear" w:color="auto" w:fill="auto"/>
          </w:tcPr>
          <w:p w14:paraId="43AF8686"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3.15%</w:t>
            </w:r>
          </w:p>
        </w:tc>
        <w:tc>
          <w:tcPr>
            <w:tcW w:w="1503" w:type="dxa"/>
            <w:shd w:val="clear" w:color="auto" w:fill="auto"/>
          </w:tcPr>
          <w:p w14:paraId="3FC8AAE8"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5.60%</w:t>
            </w:r>
          </w:p>
        </w:tc>
        <w:tc>
          <w:tcPr>
            <w:tcW w:w="1503" w:type="dxa"/>
            <w:shd w:val="clear" w:color="auto" w:fill="auto"/>
          </w:tcPr>
          <w:p w14:paraId="10515329"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8.00%</w:t>
            </w:r>
          </w:p>
        </w:tc>
        <w:tc>
          <w:tcPr>
            <w:tcW w:w="1843" w:type="dxa"/>
            <w:shd w:val="clear" w:color="auto" w:fill="auto"/>
          </w:tcPr>
          <w:p w14:paraId="1AF00D4F"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15.68%</w:t>
            </w:r>
          </w:p>
        </w:tc>
      </w:tr>
      <w:tr w:rsidR="0052410C" w:rsidRPr="008F0BB4" w14:paraId="5E6AF5DD" w14:textId="77777777" w:rsidTr="006A4B7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2DD72121" w14:textId="77777777" w:rsidR="0052410C" w:rsidRPr="008F0BB4" w:rsidRDefault="0052410C" w:rsidP="00874BE3">
            <w:pPr>
              <w:rPr>
                <w:b w:val="0"/>
                <w:bCs w:val="0"/>
                <w:color w:val="000000" w:themeColor="text1"/>
                <w:sz w:val="22"/>
                <w:szCs w:val="22"/>
                <w:lang w:val="en-US"/>
              </w:rPr>
            </w:pPr>
            <w:r w:rsidRPr="008F0BB4">
              <w:rPr>
                <w:b w:val="0"/>
                <w:bCs w:val="0"/>
                <w:color w:val="000000" w:themeColor="text1"/>
                <w:sz w:val="22"/>
                <w:szCs w:val="22"/>
                <w:lang w:val="en-US"/>
              </w:rPr>
              <w:t>a</w:t>
            </w:r>
            <w:r w:rsidRPr="008F0BB4">
              <w:rPr>
                <w:b w:val="0"/>
                <w:bCs w:val="0"/>
                <w:color w:val="000000" w:themeColor="text1"/>
                <w:sz w:val="22"/>
                <w:szCs w:val="22"/>
                <w:vertAlign w:val="subscript"/>
                <w:lang w:val="en-US"/>
              </w:rPr>
              <w:t>350</w:t>
            </w:r>
          </w:p>
        </w:tc>
        <w:tc>
          <w:tcPr>
            <w:tcW w:w="1586" w:type="dxa"/>
            <w:shd w:val="clear" w:color="auto" w:fill="auto"/>
          </w:tcPr>
          <w:p w14:paraId="311EB62C"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f</w:t>
            </w:r>
            <w:r w:rsidRPr="008F0BB4">
              <w:rPr>
                <w:color w:val="000000" w:themeColor="text1"/>
                <w:sz w:val="22"/>
                <w:szCs w:val="22"/>
                <w:vertAlign w:val="subscript"/>
                <w:lang w:val="en-US"/>
              </w:rPr>
              <w:t>1</w:t>
            </w:r>
          </w:p>
        </w:tc>
        <w:tc>
          <w:tcPr>
            <w:tcW w:w="1503" w:type="dxa"/>
            <w:shd w:val="clear" w:color="auto" w:fill="auto"/>
          </w:tcPr>
          <w:p w14:paraId="023F7EE5"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5.89</w:t>
            </w:r>
          </w:p>
        </w:tc>
        <w:tc>
          <w:tcPr>
            <w:tcW w:w="1503" w:type="dxa"/>
            <w:shd w:val="clear" w:color="auto" w:fill="auto"/>
          </w:tcPr>
          <w:p w14:paraId="58F3C08D"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0.98</w:t>
            </w:r>
          </w:p>
        </w:tc>
        <w:tc>
          <w:tcPr>
            <w:tcW w:w="1503" w:type="dxa"/>
            <w:shd w:val="clear" w:color="auto" w:fill="auto"/>
          </w:tcPr>
          <w:p w14:paraId="1A2EC542"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4.24</w:t>
            </w:r>
          </w:p>
        </w:tc>
        <w:tc>
          <w:tcPr>
            <w:tcW w:w="1843" w:type="dxa"/>
            <w:shd w:val="clear" w:color="auto" w:fill="auto"/>
          </w:tcPr>
          <w:p w14:paraId="0F522BE7"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0.21</w:t>
            </w:r>
          </w:p>
        </w:tc>
      </w:tr>
      <w:tr w:rsidR="0052410C" w:rsidRPr="008F0BB4" w14:paraId="5FDD6013" w14:textId="77777777" w:rsidTr="006A4B72">
        <w:trPr>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4866FAEC"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31B50F32"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k</w:t>
            </w:r>
            <w:r w:rsidRPr="008F0BB4">
              <w:rPr>
                <w:color w:val="000000" w:themeColor="text1"/>
                <w:sz w:val="22"/>
                <w:szCs w:val="22"/>
                <w:vertAlign w:val="subscript"/>
                <w:lang w:val="en-US"/>
              </w:rPr>
              <w:t>1</w:t>
            </w:r>
          </w:p>
        </w:tc>
        <w:tc>
          <w:tcPr>
            <w:tcW w:w="1503" w:type="dxa"/>
            <w:shd w:val="clear" w:color="auto" w:fill="auto"/>
          </w:tcPr>
          <w:p w14:paraId="0A14B461"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0.0360</w:t>
            </w:r>
          </w:p>
        </w:tc>
        <w:tc>
          <w:tcPr>
            <w:tcW w:w="1503" w:type="dxa"/>
            <w:shd w:val="clear" w:color="auto" w:fill="auto"/>
          </w:tcPr>
          <w:p w14:paraId="57589E17"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0.0091</w:t>
            </w:r>
          </w:p>
        </w:tc>
        <w:tc>
          <w:tcPr>
            <w:tcW w:w="1503" w:type="dxa"/>
            <w:shd w:val="clear" w:color="auto" w:fill="auto"/>
          </w:tcPr>
          <w:p w14:paraId="7DB5C2AD"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0.0431</w:t>
            </w:r>
          </w:p>
        </w:tc>
        <w:tc>
          <w:tcPr>
            <w:tcW w:w="1843" w:type="dxa"/>
            <w:shd w:val="clear" w:color="auto" w:fill="auto"/>
          </w:tcPr>
          <w:p w14:paraId="40FA5D62"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0.0167</w:t>
            </w:r>
          </w:p>
        </w:tc>
      </w:tr>
      <w:tr w:rsidR="0052410C" w:rsidRPr="008F0BB4" w14:paraId="322DBFAE" w14:textId="77777777" w:rsidTr="006A4B7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4ABBB32F"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1DD5FCB3"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f</w:t>
            </w:r>
            <w:r w:rsidRPr="008F0BB4">
              <w:rPr>
                <w:color w:val="000000" w:themeColor="text1"/>
                <w:sz w:val="22"/>
                <w:szCs w:val="22"/>
                <w:vertAlign w:val="subscript"/>
                <w:lang w:val="en-US"/>
              </w:rPr>
              <w:t>2</w:t>
            </w:r>
          </w:p>
        </w:tc>
        <w:tc>
          <w:tcPr>
            <w:tcW w:w="1503" w:type="dxa"/>
            <w:shd w:val="clear" w:color="auto" w:fill="auto"/>
          </w:tcPr>
          <w:p w14:paraId="354C24B6"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36.07</w:t>
            </w:r>
          </w:p>
        </w:tc>
        <w:tc>
          <w:tcPr>
            <w:tcW w:w="1503" w:type="dxa"/>
            <w:shd w:val="clear" w:color="auto" w:fill="auto"/>
          </w:tcPr>
          <w:p w14:paraId="4529311C"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24.73</w:t>
            </w:r>
          </w:p>
        </w:tc>
        <w:tc>
          <w:tcPr>
            <w:tcW w:w="1503" w:type="dxa"/>
            <w:shd w:val="clear" w:color="auto" w:fill="auto"/>
          </w:tcPr>
          <w:p w14:paraId="584DD497"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37.68</w:t>
            </w:r>
          </w:p>
        </w:tc>
        <w:tc>
          <w:tcPr>
            <w:tcW w:w="1843" w:type="dxa"/>
            <w:shd w:val="clear" w:color="auto" w:fill="auto"/>
          </w:tcPr>
          <w:p w14:paraId="3CE18164"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0.84</w:t>
            </w:r>
          </w:p>
        </w:tc>
      </w:tr>
      <w:tr w:rsidR="0052410C" w:rsidRPr="008F0BB4" w14:paraId="0500434C" w14:textId="77777777" w:rsidTr="006A4B72">
        <w:trPr>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201F54B3"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6D010C60"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k</w:t>
            </w:r>
            <w:r w:rsidRPr="008F0BB4">
              <w:rPr>
                <w:color w:val="000000" w:themeColor="text1"/>
                <w:sz w:val="22"/>
                <w:szCs w:val="22"/>
                <w:vertAlign w:val="subscript"/>
                <w:lang w:val="en-US"/>
              </w:rPr>
              <w:t>2</w:t>
            </w:r>
          </w:p>
        </w:tc>
        <w:tc>
          <w:tcPr>
            <w:tcW w:w="1503" w:type="dxa"/>
            <w:shd w:val="clear" w:color="auto" w:fill="auto"/>
          </w:tcPr>
          <w:p w14:paraId="5C44A54D"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0.0004</w:t>
            </w:r>
          </w:p>
        </w:tc>
        <w:tc>
          <w:tcPr>
            <w:tcW w:w="1503" w:type="dxa"/>
            <w:shd w:val="clear" w:color="auto" w:fill="auto"/>
          </w:tcPr>
          <w:p w14:paraId="50866080"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0.0005</w:t>
            </w:r>
          </w:p>
        </w:tc>
        <w:tc>
          <w:tcPr>
            <w:tcW w:w="1503" w:type="dxa"/>
            <w:shd w:val="clear" w:color="auto" w:fill="auto"/>
          </w:tcPr>
          <w:p w14:paraId="4E30ED0F"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0.0006</w:t>
            </w:r>
          </w:p>
        </w:tc>
        <w:tc>
          <w:tcPr>
            <w:tcW w:w="1843" w:type="dxa"/>
            <w:shd w:val="clear" w:color="auto" w:fill="auto"/>
          </w:tcPr>
          <w:p w14:paraId="46033B21"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0.0007</w:t>
            </w:r>
          </w:p>
        </w:tc>
      </w:tr>
      <w:tr w:rsidR="0052410C" w:rsidRPr="008F0BB4" w14:paraId="5507C11B" w14:textId="77777777" w:rsidTr="006A4B7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76227A12"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23B1FEF9"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r</w:t>
            </w:r>
            <w:r w:rsidRPr="008F0BB4">
              <w:rPr>
                <w:color w:val="000000" w:themeColor="text1"/>
                <w:sz w:val="22"/>
                <w:szCs w:val="22"/>
                <w:vertAlign w:val="superscript"/>
                <w:lang w:val="en-US"/>
              </w:rPr>
              <w:t>2</w:t>
            </w:r>
            <w:r w:rsidRPr="008F0BB4">
              <w:rPr>
                <w:color w:val="000000" w:themeColor="text1"/>
                <w:sz w:val="22"/>
                <w:szCs w:val="22"/>
                <w:lang w:val="en-US"/>
              </w:rPr>
              <w:t>, RMSE</w:t>
            </w:r>
          </w:p>
        </w:tc>
        <w:tc>
          <w:tcPr>
            <w:tcW w:w="1503" w:type="dxa"/>
            <w:shd w:val="clear" w:color="auto" w:fill="auto"/>
          </w:tcPr>
          <w:p w14:paraId="7E8F68A6"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0.99, 0.26</w:t>
            </w:r>
          </w:p>
        </w:tc>
        <w:tc>
          <w:tcPr>
            <w:tcW w:w="1503" w:type="dxa"/>
            <w:shd w:val="clear" w:color="auto" w:fill="auto"/>
          </w:tcPr>
          <w:p w14:paraId="5EAEB279"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0.94, 0.36</w:t>
            </w:r>
          </w:p>
        </w:tc>
        <w:tc>
          <w:tcPr>
            <w:tcW w:w="1503" w:type="dxa"/>
            <w:shd w:val="clear" w:color="auto" w:fill="auto"/>
          </w:tcPr>
          <w:p w14:paraId="6F01A3B2"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0.99, NA</w:t>
            </w:r>
          </w:p>
        </w:tc>
        <w:tc>
          <w:tcPr>
            <w:tcW w:w="1843" w:type="dxa"/>
            <w:shd w:val="clear" w:color="auto" w:fill="auto"/>
          </w:tcPr>
          <w:p w14:paraId="2CF1D867" w14:textId="77777777" w:rsidR="0052410C" w:rsidRPr="008F0BB4" w:rsidRDefault="0052410C" w:rsidP="00874BE3">
            <w:pPr>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en-US"/>
              </w:rPr>
            </w:pPr>
            <w:r w:rsidRPr="008F0BB4">
              <w:rPr>
                <w:color w:val="000000" w:themeColor="text1"/>
                <w:sz w:val="22"/>
                <w:szCs w:val="22"/>
                <w:lang w:val="en-US"/>
              </w:rPr>
              <w:t>0.99, 0.01</w:t>
            </w:r>
          </w:p>
        </w:tc>
      </w:tr>
      <w:tr w:rsidR="0052410C" w:rsidRPr="008F0BB4" w14:paraId="55170BF9" w14:textId="77777777" w:rsidTr="006A4B72">
        <w:trPr>
          <w:trHeight w:val="429"/>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258812E9" w14:textId="77777777" w:rsidR="0052410C" w:rsidRPr="008F0BB4" w:rsidRDefault="0052410C" w:rsidP="00874BE3">
            <w:pPr>
              <w:rPr>
                <w:b w:val="0"/>
                <w:bCs w:val="0"/>
                <w:color w:val="000000" w:themeColor="text1"/>
                <w:sz w:val="22"/>
                <w:szCs w:val="22"/>
                <w:lang w:val="en-US"/>
              </w:rPr>
            </w:pPr>
          </w:p>
        </w:tc>
        <w:tc>
          <w:tcPr>
            <w:tcW w:w="1586" w:type="dxa"/>
            <w:shd w:val="clear" w:color="auto" w:fill="auto"/>
          </w:tcPr>
          <w:p w14:paraId="704A2FE9"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Proportion</w:t>
            </w:r>
          </w:p>
        </w:tc>
        <w:tc>
          <w:tcPr>
            <w:tcW w:w="1503" w:type="dxa"/>
            <w:shd w:val="clear" w:color="auto" w:fill="auto"/>
          </w:tcPr>
          <w:p w14:paraId="691CF17B"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14.03%</w:t>
            </w:r>
          </w:p>
        </w:tc>
        <w:tc>
          <w:tcPr>
            <w:tcW w:w="1503" w:type="dxa"/>
            <w:shd w:val="clear" w:color="auto" w:fill="auto"/>
          </w:tcPr>
          <w:p w14:paraId="1668F4D8"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3.80%</w:t>
            </w:r>
          </w:p>
        </w:tc>
        <w:tc>
          <w:tcPr>
            <w:tcW w:w="1503" w:type="dxa"/>
            <w:shd w:val="clear" w:color="auto" w:fill="auto"/>
          </w:tcPr>
          <w:p w14:paraId="5385D14B"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10.10%</w:t>
            </w:r>
          </w:p>
        </w:tc>
        <w:tc>
          <w:tcPr>
            <w:tcW w:w="1843" w:type="dxa"/>
            <w:shd w:val="clear" w:color="auto" w:fill="auto"/>
          </w:tcPr>
          <w:p w14:paraId="4FBB0762" w14:textId="77777777" w:rsidR="0052410C" w:rsidRPr="008F0BB4" w:rsidRDefault="0052410C" w:rsidP="00874BE3">
            <w:pPr>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sidRPr="008F0BB4">
              <w:rPr>
                <w:b/>
                <w:bCs/>
                <w:color w:val="000000" w:themeColor="text1"/>
                <w:sz w:val="22"/>
                <w:szCs w:val="22"/>
                <w:lang w:val="en-US"/>
              </w:rPr>
              <w:t>14.03%</w:t>
            </w:r>
          </w:p>
        </w:tc>
      </w:tr>
    </w:tbl>
    <w:p w14:paraId="6B66C2AD" w14:textId="77777777" w:rsidR="007F0D39" w:rsidRPr="004B3B88" w:rsidRDefault="007F0D39" w:rsidP="007D2156">
      <w:pPr>
        <w:rPr>
          <w:color w:val="000000" w:themeColor="text1"/>
          <w:lang w:val="en-US"/>
        </w:rPr>
      </w:pPr>
    </w:p>
    <w:p w14:paraId="664BD2FF" w14:textId="77777777" w:rsidR="007F0D39" w:rsidRPr="004B3B88" w:rsidRDefault="007F0D39" w:rsidP="007D2156">
      <w:pPr>
        <w:rPr>
          <w:color w:val="000000" w:themeColor="text1"/>
          <w:lang w:val="en-US"/>
        </w:rPr>
      </w:pPr>
    </w:p>
    <w:p w14:paraId="0E6F2B7D" w14:textId="57693A88" w:rsidR="007F0D39" w:rsidRPr="007D5416" w:rsidRDefault="007F0D39" w:rsidP="007D2156">
      <w:pPr>
        <w:rPr>
          <w:color w:val="000000" w:themeColor="text1"/>
          <w:sz w:val="40"/>
          <w:szCs w:val="40"/>
          <w:lang w:val="en-US"/>
        </w:rPr>
      </w:pPr>
      <w:r w:rsidRPr="007D5416">
        <w:rPr>
          <w:color w:val="000000" w:themeColor="text1"/>
          <w:sz w:val="40"/>
          <w:szCs w:val="40"/>
          <w:lang w:val="en-US"/>
        </w:rPr>
        <w:t>References</w:t>
      </w:r>
    </w:p>
    <w:p w14:paraId="3A3EE785" w14:textId="4FB94020" w:rsidR="005D3284" w:rsidRPr="004B3B88" w:rsidRDefault="004762CB" w:rsidP="005D3284">
      <w:pPr>
        <w:pStyle w:val="EndNoteBibliography"/>
        <w:ind w:left="720" w:hanging="720"/>
        <w:rPr>
          <w:noProof/>
          <w:color w:val="000000" w:themeColor="text1"/>
        </w:rPr>
      </w:pPr>
      <w:r w:rsidRPr="004B3B88">
        <w:rPr>
          <w:color w:val="000000" w:themeColor="text1"/>
          <w:lang w:val="en-US"/>
        </w:rPr>
        <w:fldChar w:fldCharType="begin"/>
      </w:r>
      <w:r w:rsidRPr="004B3B88">
        <w:rPr>
          <w:color w:val="000000" w:themeColor="text1"/>
          <w:lang w:val="en-US"/>
        </w:rPr>
        <w:instrText xml:space="preserve"> ADDIN EN.REFLIST </w:instrText>
      </w:r>
      <w:r w:rsidRPr="004B3B88">
        <w:rPr>
          <w:color w:val="000000" w:themeColor="text1"/>
          <w:lang w:val="en-US"/>
        </w:rPr>
        <w:fldChar w:fldCharType="separate"/>
      </w:r>
      <w:r w:rsidR="005D3284" w:rsidRPr="004B3B88">
        <w:rPr>
          <w:noProof/>
          <w:color w:val="000000" w:themeColor="text1"/>
        </w:rPr>
        <w:t xml:space="preserve">Fichot, C. G., &amp; Miller, W. L. (2010). An approach to quantify depth-resolved marine photochemical fluxes using remote sensing: Application to carbon monoxide (co) photoproduction. </w:t>
      </w:r>
      <w:r w:rsidR="005D3284" w:rsidRPr="004B3B88">
        <w:rPr>
          <w:i/>
          <w:noProof/>
          <w:color w:val="000000" w:themeColor="text1"/>
        </w:rPr>
        <w:t>Remote Sensing of Environment</w:t>
      </w:r>
      <w:r w:rsidR="005D3284" w:rsidRPr="004B3B88">
        <w:rPr>
          <w:noProof/>
          <w:color w:val="000000" w:themeColor="text1"/>
        </w:rPr>
        <w:t>,</w:t>
      </w:r>
      <w:r w:rsidR="005D3284" w:rsidRPr="004B3B88">
        <w:rPr>
          <w:i/>
          <w:noProof/>
          <w:color w:val="000000" w:themeColor="text1"/>
        </w:rPr>
        <w:t xml:space="preserve"> 114</w:t>
      </w:r>
      <w:r w:rsidR="005D3284" w:rsidRPr="004B3B88">
        <w:rPr>
          <w:noProof/>
          <w:color w:val="000000" w:themeColor="text1"/>
        </w:rPr>
        <w:t xml:space="preserve">(7), 1363-1377. </w:t>
      </w:r>
      <w:hyperlink r:id="rId13" w:history="1">
        <w:r w:rsidR="005D3284" w:rsidRPr="004B3B88">
          <w:rPr>
            <w:rStyle w:val="Hyperlink"/>
            <w:noProof/>
            <w:color w:val="000000" w:themeColor="text1"/>
          </w:rPr>
          <w:t>https://doi.org/https://doi.org/10.1016/j.rse.2010.01.019</w:t>
        </w:r>
      </w:hyperlink>
      <w:r w:rsidR="005D3284" w:rsidRPr="004B3B88">
        <w:rPr>
          <w:noProof/>
          <w:color w:val="000000" w:themeColor="text1"/>
        </w:rPr>
        <w:t xml:space="preserve"> </w:t>
      </w:r>
    </w:p>
    <w:p w14:paraId="7F55771F" w14:textId="2ECF5457" w:rsidR="005D3284" w:rsidRPr="004B3B88" w:rsidRDefault="005D3284" w:rsidP="005D3284">
      <w:pPr>
        <w:pStyle w:val="EndNoteBibliography"/>
        <w:ind w:left="720" w:hanging="720"/>
        <w:rPr>
          <w:noProof/>
          <w:color w:val="000000" w:themeColor="text1"/>
        </w:rPr>
      </w:pPr>
      <w:r w:rsidRPr="004B3B88">
        <w:rPr>
          <w:noProof/>
          <w:color w:val="000000" w:themeColor="text1"/>
        </w:rPr>
        <w:t xml:space="preserve">Gebco Bathymetric Compilation Group. (2020). </w:t>
      </w:r>
      <w:r w:rsidRPr="004B3B88">
        <w:rPr>
          <w:i/>
          <w:noProof/>
          <w:color w:val="000000" w:themeColor="text1"/>
        </w:rPr>
        <w:t>The gebco_2020 grid - a continuous terrain model of the global oceans and land</w:t>
      </w:r>
      <w:r w:rsidRPr="004B3B88">
        <w:rPr>
          <w:noProof/>
          <w:color w:val="000000" w:themeColor="text1"/>
        </w:rPr>
        <w:t xml:space="preserve"> British Oceanographic Data Centre, National Oceanography Centre, NERC, UK. </w:t>
      </w:r>
      <w:hyperlink r:id="rId14" w:history="1">
        <w:r w:rsidRPr="004B3B88">
          <w:rPr>
            <w:rStyle w:val="Hyperlink"/>
            <w:noProof/>
            <w:color w:val="000000" w:themeColor="text1"/>
          </w:rPr>
          <w:t>https://doi.org/doi:10.5285/a29c5465-b138-234d-e053-6c86abc040b9</w:t>
        </w:r>
      </w:hyperlink>
    </w:p>
    <w:p w14:paraId="4EE51F7B" w14:textId="45D6D6AF" w:rsidR="005D3284" w:rsidRPr="004B3B88" w:rsidRDefault="005D3284" w:rsidP="005D3284">
      <w:pPr>
        <w:pStyle w:val="EndNoteBibliography"/>
        <w:ind w:left="720" w:hanging="720"/>
        <w:rPr>
          <w:noProof/>
          <w:color w:val="000000" w:themeColor="text1"/>
        </w:rPr>
      </w:pPr>
      <w:r w:rsidRPr="005B3E5B">
        <w:rPr>
          <w:noProof/>
          <w:color w:val="000000" w:themeColor="text1"/>
          <w:lang w:val="de-DE"/>
        </w:rPr>
        <w:t xml:space="preserve">Martin, P., Sanwlani, N., Lee, T. W. Q., et al. </w:t>
      </w:r>
      <w:r w:rsidRPr="004B3B88">
        <w:rPr>
          <w:noProof/>
          <w:color w:val="000000" w:themeColor="text1"/>
        </w:rPr>
        <w:t xml:space="preserve">(2021). Dissolved organic matter from tropical peatlands reduces shelf sea light availability in the singapore strait, southeast asia. </w:t>
      </w:r>
      <w:r w:rsidRPr="004B3B88">
        <w:rPr>
          <w:i/>
          <w:noProof/>
          <w:color w:val="000000" w:themeColor="text1"/>
        </w:rPr>
        <w:t>Marine Ecology Progress Series</w:t>
      </w:r>
      <w:r w:rsidRPr="004B3B88">
        <w:rPr>
          <w:noProof/>
          <w:color w:val="000000" w:themeColor="text1"/>
        </w:rPr>
        <w:t>,</w:t>
      </w:r>
      <w:r w:rsidRPr="004B3B88">
        <w:rPr>
          <w:i/>
          <w:noProof/>
          <w:color w:val="000000" w:themeColor="text1"/>
        </w:rPr>
        <w:t xml:space="preserve"> 672</w:t>
      </w:r>
      <w:r w:rsidRPr="004B3B88">
        <w:rPr>
          <w:noProof/>
          <w:color w:val="000000" w:themeColor="text1"/>
        </w:rPr>
        <w:t xml:space="preserve">, 89-109. </w:t>
      </w:r>
      <w:hyperlink r:id="rId15" w:history="1">
        <w:r w:rsidRPr="004B3B88">
          <w:rPr>
            <w:rStyle w:val="Hyperlink"/>
            <w:noProof/>
            <w:color w:val="000000" w:themeColor="text1"/>
          </w:rPr>
          <w:t>https://www.int-res.com/abstracts/meps/v672/p89-109/</w:t>
        </w:r>
      </w:hyperlink>
      <w:r w:rsidRPr="004B3B88">
        <w:rPr>
          <w:noProof/>
          <w:color w:val="000000" w:themeColor="text1"/>
        </w:rPr>
        <w:t xml:space="preserve"> </w:t>
      </w:r>
    </w:p>
    <w:p w14:paraId="291B4CE6" w14:textId="6308A771" w:rsidR="005D3284" w:rsidRPr="004B3B88" w:rsidRDefault="005D3284" w:rsidP="005D3284">
      <w:pPr>
        <w:pStyle w:val="EndNoteBibliography"/>
        <w:ind w:left="720" w:hanging="720"/>
        <w:rPr>
          <w:noProof/>
          <w:color w:val="000000" w:themeColor="text1"/>
        </w:rPr>
      </w:pPr>
      <w:r w:rsidRPr="004B3B88">
        <w:rPr>
          <w:noProof/>
          <w:color w:val="000000" w:themeColor="text1"/>
        </w:rPr>
        <w:t xml:space="preserve">Wit, F., Rixen, T., Baum, A., et al. (2018). The invisible carbon footprint as a hidden impact of peatland degradation inducing marine carbonate dissolution in sumatra, indonesia. </w:t>
      </w:r>
      <w:r w:rsidRPr="004B3B88">
        <w:rPr>
          <w:i/>
          <w:noProof/>
          <w:color w:val="000000" w:themeColor="text1"/>
        </w:rPr>
        <w:t>Scientific Reports</w:t>
      </w:r>
      <w:r w:rsidRPr="004B3B88">
        <w:rPr>
          <w:noProof/>
          <w:color w:val="000000" w:themeColor="text1"/>
        </w:rPr>
        <w:t>,</w:t>
      </w:r>
      <w:r w:rsidRPr="004B3B88">
        <w:rPr>
          <w:i/>
          <w:noProof/>
          <w:color w:val="000000" w:themeColor="text1"/>
        </w:rPr>
        <w:t xml:space="preserve"> 8</w:t>
      </w:r>
      <w:r w:rsidRPr="004B3B88">
        <w:rPr>
          <w:noProof/>
          <w:color w:val="000000" w:themeColor="text1"/>
        </w:rPr>
        <w:t xml:space="preserve">(1), 17403. </w:t>
      </w:r>
      <w:hyperlink r:id="rId16" w:history="1">
        <w:r w:rsidRPr="004B3B88">
          <w:rPr>
            <w:rStyle w:val="Hyperlink"/>
            <w:noProof/>
            <w:color w:val="000000" w:themeColor="text1"/>
          </w:rPr>
          <w:t>https://doi.org/10.1038/s41598-018-35769-7</w:t>
        </w:r>
      </w:hyperlink>
      <w:r w:rsidRPr="004B3B88">
        <w:rPr>
          <w:noProof/>
          <w:color w:val="000000" w:themeColor="text1"/>
        </w:rPr>
        <w:t xml:space="preserve"> </w:t>
      </w:r>
    </w:p>
    <w:p w14:paraId="6435C230" w14:textId="224A7B06" w:rsidR="005D3284" w:rsidRPr="004B3B88" w:rsidRDefault="005D3284" w:rsidP="005D3284">
      <w:pPr>
        <w:pStyle w:val="EndNoteBibliography"/>
        <w:ind w:left="720" w:hanging="720"/>
        <w:rPr>
          <w:noProof/>
          <w:color w:val="000000" w:themeColor="text1"/>
        </w:rPr>
      </w:pPr>
      <w:r w:rsidRPr="004B3B88">
        <w:rPr>
          <w:noProof/>
          <w:color w:val="000000" w:themeColor="text1"/>
        </w:rPr>
        <w:t xml:space="preserve">Zhou, Y., Müller, M., Cherukuru, N., et al. (2023). Quantifying photodegradation of peatland-derived dissolved organic carbon in the coastal ocean of southeast asia. </w:t>
      </w:r>
      <w:r w:rsidRPr="004B3B88">
        <w:rPr>
          <w:i/>
          <w:noProof/>
          <w:color w:val="000000" w:themeColor="text1"/>
        </w:rPr>
        <w:t>Journal of Geophysical Research: Oceans</w:t>
      </w:r>
      <w:r w:rsidRPr="004B3B88">
        <w:rPr>
          <w:noProof/>
          <w:color w:val="000000" w:themeColor="text1"/>
        </w:rPr>
        <w:t>,</w:t>
      </w:r>
      <w:r w:rsidRPr="004B3B88">
        <w:rPr>
          <w:i/>
          <w:noProof/>
          <w:color w:val="000000" w:themeColor="text1"/>
        </w:rPr>
        <w:t xml:space="preserve"> 128</w:t>
      </w:r>
      <w:r w:rsidRPr="004B3B88">
        <w:rPr>
          <w:noProof/>
          <w:color w:val="000000" w:themeColor="text1"/>
        </w:rPr>
        <w:t xml:space="preserve">(12), e2023JC019741. </w:t>
      </w:r>
      <w:hyperlink r:id="rId17" w:history="1">
        <w:r w:rsidRPr="004B3B88">
          <w:rPr>
            <w:rStyle w:val="Hyperlink"/>
            <w:noProof/>
            <w:color w:val="000000" w:themeColor="text1"/>
          </w:rPr>
          <w:t>https://doi.org/https://doi.org/10.1029/2023JC019741</w:t>
        </w:r>
      </w:hyperlink>
      <w:r w:rsidRPr="004B3B88">
        <w:rPr>
          <w:noProof/>
          <w:color w:val="000000" w:themeColor="text1"/>
        </w:rPr>
        <w:t xml:space="preserve"> </w:t>
      </w:r>
    </w:p>
    <w:p w14:paraId="62C4A54C" w14:textId="223EF47A" w:rsidR="00D56A3C" w:rsidRPr="004B3B88" w:rsidRDefault="004762CB" w:rsidP="007D2156">
      <w:pPr>
        <w:rPr>
          <w:color w:val="000000" w:themeColor="text1"/>
          <w:lang w:val="en-US"/>
        </w:rPr>
      </w:pPr>
      <w:r w:rsidRPr="004B3B88">
        <w:rPr>
          <w:color w:val="000000" w:themeColor="text1"/>
          <w:lang w:val="en-US"/>
        </w:rPr>
        <w:fldChar w:fldCharType="end"/>
      </w:r>
    </w:p>
    <w:sectPr w:rsidR="00D56A3C" w:rsidRPr="004B3B88">
      <w:headerReference w:type="default" r:id="rId18"/>
      <w:footerReference w:type="even"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74782B" w14:textId="77777777" w:rsidR="00C5539E" w:rsidRDefault="00C5539E" w:rsidP="00265090">
      <w:r>
        <w:separator/>
      </w:r>
    </w:p>
  </w:endnote>
  <w:endnote w:type="continuationSeparator" w:id="0">
    <w:p w14:paraId="5DD9FCB6" w14:textId="77777777" w:rsidR="00C5539E" w:rsidRDefault="00C5539E" w:rsidP="00265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Myriad Pro">
    <w:altName w:val="Segoe UI"/>
    <w:panose1 w:val="020B0604020202020204"/>
    <w:charset w:val="00"/>
    <w:family w:val="swiss"/>
    <w:pitch w:val="variable"/>
    <w:sig w:usb0="20000287" w:usb1="00000001"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68242043"/>
      <w:docPartObj>
        <w:docPartGallery w:val="Page Numbers (Bottom of Page)"/>
        <w:docPartUnique/>
      </w:docPartObj>
    </w:sdtPr>
    <w:sdtEndPr>
      <w:rPr>
        <w:rStyle w:val="PageNumber"/>
      </w:rPr>
    </w:sdtEndPr>
    <w:sdtContent>
      <w:p w14:paraId="3B780AD3" w14:textId="586EBFD4" w:rsidR="00034732" w:rsidRDefault="00034732" w:rsidP="00AD5C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CB047D" w14:textId="77777777" w:rsidR="00034732" w:rsidRDefault="00034732" w:rsidP="000347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03976249"/>
      <w:docPartObj>
        <w:docPartGallery w:val="Page Numbers (Bottom of Page)"/>
        <w:docPartUnique/>
      </w:docPartObj>
    </w:sdtPr>
    <w:sdtEndPr>
      <w:rPr>
        <w:rStyle w:val="PageNumber"/>
      </w:rPr>
    </w:sdtEndPr>
    <w:sdtContent>
      <w:p w14:paraId="4DECDF0A" w14:textId="75F98C5A" w:rsidR="00034732" w:rsidRDefault="00034732" w:rsidP="00AD5C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03B2BD" w14:textId="77777777" w:rsidR="00034732" w:rsidRDefault="00034732" w:rsidP="0003473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4CB01" w14:textId="77777777" w:rsidR="00C5539E" w:rsidRDefault="00C5539E" w:rsidP="00265090">
      <w:r>
        <w:separator/>
      </w:r>
    </w:p>
  </w:footnote>
  <w:footnote w:type="continuationSeparator" w:id="0">
    <w:p w14:paraId="69D5E68F" w14:textId="77777777" w:rsidR="00C5539E" w:rsidRDefault="00C5539E" w:rsidP="002650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093F6" w14:textId="64BAAAF4" w:rsidR="009D0F0E" w:rsidRPr="009D0F0E" w:rsidRDefault="009D0F0E" w:rsidP="009D0F0E">
    <w:pPr>
      <w:pStyle w:val="Header"/>
      <w:jc w:val="center"/>
      <w:rPr>
        <w:i/>
        <w:iCs/>
      </w:rPr>
    </w:pPr>
    <w:r>
      <w:t xml:space="preserve">manuscript submitted to </w:t>
    </w:r>
    <w:r w:rsidRPr="009D0F0E">
      <w:rPr>
        <w:i/>
        <w:iCs/>
      </w:rPr>
      <w:t>Aquatic Sciences</w:t>
    </w:r>
  </w:p>
  <w:p w14:paraId="4330A6E9" w14:textId="77777777" w:rsidR="009D0F0E" w:rsidRDefault="009D0F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_edit&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waed0a2r5exxpef52axewxmtvvxvx2w0ff0&quot;&gt;DOM track_EndnoteX20&lt;record-ids&gt;&lt;item&gt;243&lt;/item&gt;&lt;item&gt;333&lt;/item&gt;&lt;item&gt;631&lt;/item&gt;&lt;item&gt;634&lt;/item&gt;&lt;item&gt;637&lt;/item&gt;&lt;/record-ids&gt;&lt;/item&gt;&lt;/Libraries&gt;"/>
  </w:docVars>
  <w:rsids>
    <w:rsidRoot w:val="007D2156"/>
    <w:rsid w:val="000219C7"/>
    <w:rsid w:val="00031C42"/>
    <w:rsid w:val="00033DB3"/>
    <w:rsid w:val="00034732"/>
    <w:rsid w:val="000379D8"/>
    <w:rsid w:val="00043F81"/>
    <w:rsid w:val="000534D0"/>
    <w:rsid w:val="0006242B"/>
    <w:rsid w:val="00063FED"/>
    <w:rsid w:val="000658E8"/>
    <w:rsid w:val="00066DC1"/>
    <w:rsid w:val="000868D4"/>
    <w:rsid w:val="000A3EDD"/>
    <w:rsid w:val="000A5BAE"/>
    <w:rsid w:val="000B5092"/>
    <w:rsid w:val="000B6E91"/>
    <w:rsid w:val="000C20C9"/>
    <w:rsid w:val="000C671C"/>
    <w:rsid w:val="000D1C05"/>
    <w:rsid w:val="000D2394"/>
    <w:rsid w:val="00103080"/>
    <w:rsid w:val="00116925"/>
    <w:rsid w:val="00136FB8"/>
    <w:rsid w:val="00143A15"/>
    <w:rsid w:val="00156F52"/>
    <w:rsid w:val="00165CC2"/>
    <w:rsid w:val="00170716"/>
    <w:rsid w:val="0017493E"/>
    <w:rsid w:val="00193402"/>
    <w:rsid w:val="001B67FD"/>
    <w:rsid w:val="001B74D1"/>
    <w:rsid w:val="001C5AD9"/>
    <w:rsid w:val="001D3AF2"/>
    <w:rsid w:val="001D407C"/>
    <w:rsid w:val="001D5E9F"/>
    <w:rsid w:val="001F425D"/>
    <w:rsid w:val="00206211"/>
    <w:rsid w:val="00212480"/>
    <w:rsid w:val="002161EB"/>
    <w:rsid w:val="002200E9"/>
    <w:rsid w:val="00226A34"/>
    <w:rsid w:val="00252373"/>
    <w:rsid w:val="00260509"/>
    <w:rsid w:val="00265090"/>
    <w:rsid w:val="00272BD3"/>
    <w:rsid w:val="00276B6C"/>
    <w:rsid w:val="00285E32"/>
    <w:rsid w:val="002A1E91"/>
    <w:rsid w:val="002C7A55"/>
    <w:rsid w:val="002F3E15"/>
    <w:rsid w:val="002F5A5F"/>
    <w:rsid w:val="002F7DCD"/>
    <w:rsid w:val="00301049"/>
    <w:rsid w:val="0030686F"/>
    <w:rsid w:val="003078EC"/>
    <w:rsid w:val="003115C1"/>
    <w:rsid w:val="00323A6E"/>
    <w:rsid w:val="0034033D"/>
    <w:rsid w:val="00345EE1"/>
    <w:rsid w:val="00346F5E"/>
    <w:rsid w:val="00347DA1"/>
    <w:rsid w:val="003627D2"/>
    <w:rsid w:val="003703CD"/>
    <w:rsid w:val="00371C39"/>
    <w:rsid w:val="003918A9"/>
    <w:rsid w:val="00392F24"/>
    <w:rsid w:val="00394143"/>
    <w:rsid w:val="003958ED"/>
    <w:rsid w:val="003A61FD"/>
    <w:rsid w:val="003C5E99"/>
    <w:rsid w:val="003E3D89"/>
    <w:rsid w:val="003E5A2B"/>
    <w:rsid w:val="003F3561"/>
    <w:rsid w:val="00411445"/>
    <w:rsid w:val="00411929"/>
    <w:rsid w:val="00414A68"/>
    <w:rsid w:val="004179C9"/>
    <w:rsid w:val="00442A13"/>
    <w:rsid w:val="004762CB"/>
    <w:rsid w:val="00485FF6"/>
    <w:rsid w:val="00492E72"/>
    <w:rsid w:val="004B3B88"/>
    <w:rsid w:val="004C2427"/>
    <w:rsid w:val="004D7A42"/>
    <w:rsid w:val="0051527A"/>
    <w:rsid w:val="0052410C"/>
    <w:rsid w:val="0053534C"/>
    <w:rsid w:val="005527AF"/>
    <w:rsid w:val="0058659F"/>
    <w:rsid w:val="00595599"/>
    <w:rsid w:val="00597AB0"/>
    <w:rsid w:val="005B2393"/>
    <w:rsid w:val="005B3E5B"/>
    <w:rsid w:val="005C3631"/>
    <w:rsid w:val="005D3284"/>
    <w:rsid w:val="005E4668"/>
    <w:rsid w:val="00601C19"/>
    <w:rsid w:val="00604A92"/>
    <w:rsid w:val="00614D69"/>
    <w:rsid w:val="00623D54"/>
    <w:rsid w:val="0062414E"/>
    <w:rsid w:val="00632633"/>
    <w:rsid w:val="00636A1A"/>
    <w:rsid w:val="006535A3"/>
    <w:rsid w:val="00656057"/>
    <w:rsid w:val="006731C0"/>
    <w:rsid w:val="006759D6"/>
    <w:rsid w:val="0067732C"/>
    <w:rsid w:val="00677554"/>
    <w:rsid w:val="00686175"/>
    <w:rsid w:val="006937C5"/>
    <w:rsid w:val="006A4B72"/>
    <w:rsid w:val="006B0DFD"/>
    <w:rsid w:val="006B39C9"/>
    <w:rsid w:val="006C6015"/>
    <w:rsid w:val="006D5778"/>
    <w:rsid w:val="006E1372"/>
    <w:rsid w:val="006F2A24"/>
    <w:rsid w:val="00702D89"/>
    <w:rsid w:val="00703D74"/>
    <w:rsid w:val="00715018"/>
    <w:rsid w:val="00717779"/>
    <w:rsid w:val="007279ED"/>
    <w:rsid w:val="00732493"/>
    <w:rsid w:val="007467B9"/>
    <w:rsid w:val="007616FC"/>
    <w:rsid w:val="00781731"/>
    <w:rsid w:val="007873A0"/>
    <w:rsid w:val="00793A89"/>
    <w:rsid w:val="00794654"/>
    <w:rsid w:val="007C216A"/>
    <w:rsid w:val="007C651D"/>
    <w:rsid w:val="007C6D8F"/>
    <w:rsid w:val="007D2156"/>
    <w:rsid w:val="007D5416"/>
    <w:rsid w:val="007E7E6F"/>
    <w:rsid w:val="007F0D39"/>
    <w:rsid w:val="007F613F"/>
    <w:rsid w:val="0080412B"/>
    <w:rsid w:val="008044FE"/>
    <w:rsid w:val="00810FF4"/>
    <w:rsid w:val="008252FD"/>
    <w:rsid w:val="0083458A"/>
    <w:rsid w:val="00841281"/>
    <w:rsid w:val="008441D8"/>
    <w:rsid w:val="00854BEB"/>
    <w:rsid w:val="008649C5"/>
    <w:rsid w:val="008708E0"/>
    <w:rsid w:val="00870C37"/>
    <w:rsid w:val="00875491"/>
    <w:rsid w:val="00875C55"/>
    <w:rsid w:val="008770B5"/>
    <w:rsid w:val="008778B0"/>
    <w:rsid w:val="00885958"/>
    <w:rsid w:val="00891E4C"/>
    <w:rsid w:val="008A1DA2"/>
    <w:rsid w:val="008B07FE"/>
    <w:rsid w:val="008B178A"/>
    <w:rsid w:val="008B2115"/>
    <w:rsid w:val="008C7625"/>
    <w:rsid w:val="008D62C0"/>
    <w:rsid w:val="008E7EDF"/>
    <w:rsid w:val="008F0BB4"/>
    <w:rsid w:val="008F3535"/>
    <w:rsid w:val="00915CFE"/>
    <w:rsid w:val="009322A0"/>
    <w:rsid w:val="00933CCF"/>
    <w:rsid w:val="00943DEB"/>
    <w:rsid w:val="0095447B"/>
    <w:rsid w:val="0095615B"/>
    <w:rsid w:val="00966672"/>
    <w:rsid w:val="009839FD"/>
    <w:rsid w:val="009905F5"/>
    <w:rsid w:val="00991AED"/>
    <w:rsid w:val="009961A8"/>
    <w:rsid w:val="00997F0F"/>
    <w:rsid w:val="009A7EC1"/>
    <w:rsid w:val="009B5A4E"/>
    <w:rsid w:val="009B6C75"/>
    <w:rsid w:val="009B7782"/>
    <w:rsid w:val="009C232C"/>
    <w:rsid w:val="009C7067"/>
    <w:rsid w:val="009D0F0E"/>
    <w:rsid w:val="009D2676"/>
    <w:rsid w:val="009F1532"/>
    <w:rsid w:val="00A0790B"/>
    <w:rsid w:val="00A07913"/>
    <w:rsid w:val="00A216C5"/>
    <w:rsid w:val="00A263AD"/>
    <w:rsid w:val="00A30D4C"/>
    <w:rsid w:val="00A4716D"/>
    <w:rsid w:val="00A81078"/>
    <w:rsid w:val="00A81E55"/>
    <w:rsid w:val="00A86578"/>
    <w:rsid w:val="00A963AD"/>
    <w:rsid w:val="00A966FA"/>
    <w:rsid w:val="00AC72C8"/>
    <w:rsid w:val="00AD39D4"/>
    <w:rsid w:val="00AF0F53"/>
    <w:rsid w:val="00AF1CEE"/>
    <w:rsid w:val="00AF4264"/>
    <w:rsid w:val="00B06107"/>
    <w:rsid w:val="00B15FC7"/>
    <w:rsid w:val="00B32235"/>
    <w:rsid w:val="00B4199E"/>
    <w:rsid w:val="00B42FDC"/>
    <w:rsid w:val="00B43896"/>
    <w:rsid w:val="00B44E62"/>
    <w:rsid w:val="00B503C8"/>
    <w:rsid w:val="00B53877"/>
    <w:rsid w:val="00B60E1F"/>
    <w:rsid w:val="00B83B1E"/>
    <w:rsid w:val="00B96066"/>
    <w:rsid w:val="00BA4721"/>
    <w:rsid w:val="00BB4B00"/>
    <w:rsid w:val="00BC28F7"/>
    <w:rsid w:val="00BC7ABA"/>
    <w:rsid w:val="00BC7D1B"/>
    <w:rsid w:val="00BD3C36"/>
    <w:rsid w:val="00BE201D"/>
    <w:rsid w:val="00BE3168"/>
    <w:rsid w:val="00BF202F"/>
    <w:rsid w:val="00C0070D"/>
    <w:rsid w:val="00C345FE"/>
    <w:rsid w:val="00C4297D"/>
    <w:rsid w:val="00C472DB"/>
    <w:rsid w:val="00C540A5"/>
    <w:rsid w:val="00C5539E"/>
    <w:rsid w:val="00C67F53"/>
    <w:rsid w:val="00C71504"/>
    <w:rsid w:val="00C75293"/>
    <w:rsid w:val="00C8544F"/>
    <w:rsid w:val="00C95DDA"/>
    <w:rsid w:val="00CA157E"/>
    <w:rsid w:val="00CA2EF7"/>
    <w:rsid w:val="00CA7C12"/>
    <w:rsid w:val="00CB6C67"/>
    <w:rsid w:val="00CC7B0F"/>
    <w:rsid w:val="00CD2EA5"/>
    <w:rsid w:val="00D02B25"/>
    <w:rsid w:val="00D066BB"/>
    <w:rsid w:val="00D15AD5"/>
    <w:rsid w:val="00D25CDA"/>
    <w:rsid w:val="00D56A3C"/>
    <w:rsid w:val="00D82790"/>
    <w:rsid w:val="00D90E23"/>
    <w:rsid w:val="00DA448E"/>
    <w:rsid w:val="00DA6E66"/>
    <w:rsid w:val="00DB497D"/>
    <w:rsid w:val="00DC2846"/>
    <w:rsid w:val="00DE675E"/>
    <w:rsid w:val="00DF3E74"/>
    <w:rsid w:val="00DF3EDA"/>
    <w:rsid w:val="00E168EC"/>
    <w:rsid w:val="00E354E3"/>
    <w:rsid w:val="00E35BDC"/>
    <w:rsid w:val="00E40043"/>
    <w:rsid w:val="00E44666"/>
    <w:rsid w:val="00E52D26"/>
    <w:rsid w:val="00E566A3"/>
    <w:rsid w:val="00E91EA8"/>
    <w:rsid w:val="00E97B41"/>
    <w:rsid w:val="00EC2F6F"/>
    <w:rsid w:val="00ED3D6F"/>
    <w:rsid w:val="00EE051A"/>
    <w:rsid w:val="00EE5BD7"/>
    <w:rsid w:val="00EF5E19"/>
    <w:rsid w:val="00F012EF"/>
    <w:rsid w:val="00F1481C"/>
    <w:rsid w:val="00F21766"/>
    <w:rsid w:val="00F2655B"/>
    <w:rsid w:val="00F32B88"/>
    <w:rsid w:val="00F42CC1"/>
    <w:rsid w:val="00F43652"/>
    <w:rsid w:val="00F53F66"/>
    <w:rsid w:val="00F559F6"/>
    <w:rsid w:val="00F72AEC"/>
    <w:rsid w:val="00F7312D"/>
    <w:rsid w:val="00F824DC"/>
    <w:rsid w:val="00F94331"/>
    <w:rsid w:val="00F96743"/>
    <w:rsid w:val="00FA7D8B"/>
    <w:rsid w:val="00FB2815"/>
    <w:rsid w:val="00FB5517"/>
    <w:rsid w:val="00FB55B5"/>
    <w:rsid w:val="00FC1BD9"/>
    <w:rsid w:val="00FD5AEF"/>
    <w:rsid w:val="00FD6308"/>
    <w:rsid w:val="00FE689B"/>
    <w:rsid w:val="00FF19AD"/>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8D55E9"/>
  <w14:defaultImageDpi w14:val="32767"/>
  <w15:chartTrackingRefBased/>
  <w15:docId w15:val="{9B19322D-E411-6F42-8C33-80DDBA093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SG"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27A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762C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94143"/>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3958ED"/>
    <w:pPr>
      <w:spacing w:after="200"/>
    </w:pPr>
    <w:rPr>
      <w:i/>
      <w:iCs/>
      <w:color w:val="44546A" w:themeColor="text2"/>
      <w:sz w:val="18"/>
      <w:szCs w:val="18"/>
    </w:rPr>
  </w:style>
  <w:style w:type="paragraph" w:styleId="Subtitle">
    <w:name w:val="Subtitle"/>
    <w:basedOn w:val="Normal"/>
    <w:next w:val="Normal"/>
    <w:link w:val="SubtitleChar"/>
    <w:uiPriority w:val="11"/>
    <w:qFormat/>
    <w:rsid w:val="004762CB"/>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rsid w:val="004762CB"/>
    <w:rPr>
      <w:color w:val="5A5A5A" w:themeColor="text1" w:themeTint="A5"/>
      <w:spacing w:val="15"/>
      <w:sz w:val="22"/>
      <w:szCs w:val="22"/>
    </w:rPr>
  </w:style>
  <w:style w:type="character" w:customStyle="1" w:styleId="Heading2Char">
    <w:name w:val="Heading 2 Char"/>
    <w:basedOn w:val="DefaultParagraphFont"/>
    <w:link w:val="Heading2"/>
    <w:uiPriority w:val="9"/>
    <w:rsid w:val="004762CB"/>
    <w:rPr>
      <w:rFonts w:asciiTheme="majorHAnsi" w:eastAsiaTheme="majorEastAsia" w:hAnsiTheme="majorHAnsi" w:cstheme="majorBidi"/>
      <w:color w:val="2F5496" w:themeColor="accent1" w:themeShade="BF"/>
      <w:sz w:val="26"/>
      <w:szCs w:val="26"/>
    </w:rPr>
  </w:style>
  <w:style w:type="paragraph" w:customStyle="1" w:styleId="EndNoteBibliographyTitle">
    <w:name w:val="EndNote Bibliography Title"/>
    <w:basedOn w:val="Normal"/>
    <w:link w:val="EndNoteBibliographyTitleChar"/>
    <w:rsid w:val="004762CB"/>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4762CB"/>
    <w:rPr>
      <w:rFonts w:ascii="Calibri" w:hAnsi="Calibri" w:cs="Calibri"/>
    </w:rPr>
  </w:style>
  <w:style w:type="paragraph" w:customStyle="1" w:styleId="EndNoteBibliography">
    <w:name w:val="EndNote Bibliography"/>
    <w:basedOn w:val="Normal"/>
    <w:link w:val="EndNoteBibliographyChar"/>
    <w:rsid w:val="004762CB"/>
    <w:rPr>
      <w:rFonts w:ascii="Calibri" w:hAnsi="Calibri" w:cs="Calibri"/>
    </w:rPr>
  </w:style>
  <w:style w:type="character" w:customStyle="1" w:styleId="EndNoteBibliographyChar">
    <w:name w:val="EndNote Bibliography Char"/>
    <w:basedOn w:val="DefaultParagraphFont"/>
    <w:link w:val="EndNoteBibliography"/>
    <w:rsid w:val="004762CB"/>
    <w:rPr>
      <w:rFonts w:ascii="Calibri" w:hAnsi="Calibri" w:cs="Calibri"/>
    </w:rPr>
  </w:style>
  <w:style w:type="character" w:styleId="Hyperlink">
    <w:name w:val="Hyperlink"/>
    <w:basedOn w:val="DefaultParagraphFont"/>
    <w:uiPriority w:val="99"/>
    <w:unhideWhenUsed/>
    <w:rsid w:val="004762CB"/>
    <w:rPr>
      <w:color w:val="0563C1" w:themeColor="hyperlink"/>
      <w:u w:val="single"/>
    </w:rPr>
  </w:style>
  <w:style w:type="character" w:styleId="UnresolvedMention">
    <w:name w:val="Unresolved Mention"/>
    <w:basedOn w:val="DefaultParagraphFont"/>
    <w:uiPriority w:val="99"/>
    <w:semiHidden/>
    <w:unhideWhenUsed/>
    <w:rsid w:val="004762CB"/>
    <w:rPr>
      <w:color w:val="605E5C"/>
      <w:shd w:val="clear" w:color="auto" w:fill="E1DFDD"/>
    </w:rPr>
  </w:style>
  <w:style w:type="character" w:customStyle="1" w:styleId="Heading3Char">
    <w:name w:val="Heading 3 Char"/>
    <w:basedOn w:val="DefaultParagraphFont"/>
    <w:link w:val="Heading3"/>
    <w:uiPriority w:val="9"/>
    <w:rsid w:val="00394143"/>
    <w:rPr>
      <w:rFonts w:asciiTheme="majorHAnsi" w:eastAsiaTheme="majorEastAsia" w:hAnsiTheme="majorHAnsi" w:cstheme="majorBidi"/>
      <w:color w:val="1F3763" w:themeColor="accent1" w:themeShade="7F"/>
    </w:rPr>
  </w:style>
  <w:style w:type="character" w:styleId="PlaceholderText">
    <w:name w:val="Placeholder Text"/>
    <w:basedOn w:val="DefaultParagraphFont"/>
    <w:uiPriority w:val="99"/>
    <w:semiHidden/>
    <w:rsid w:val="00B60E1F"/>
    <w:rPr>
      <w:color w:val="666666"/>
    </w:rPr>
  </w:style>
  <w:style w:type="paragraph" w:styleId="Footer">
    <w:name w:val="footer"/>
    <w:basedOn w:val="Normal"/>
    <w:link w:val="FooterChar"/>
    <w:uiPriority w:val="99"/>
    <w:unhideWhenUsed/>
    <w:rsid w:val="00265090"/>
    <w:pPr>
      <w:tabs>
        <w:tab w:val="center" w:pos="4513"/>
        <w:tab w:val="right" w:pos="9026"/>
      </w:tabs>
    </w:pPr>
  </w:style>
  <w:style w:type="character" w:customStyle="1" w:styleId="FooterChar">
    <w:name w:val="Footer Char"/>
    <w:basedOn w:val="DefaultParagraphFont"/>
    <w:link w:val="Footer"/>
    <w:uiPriority w:val="99"/>
    <w:rsid w:val="00265090"/>
  </w:style>
  <w:style w:type="character" w:styleId="PageNumber">
    <w:name w:val="page number"/>
    <w:basedOn w:val="DefaultParagraphFont"/>
    <w:uiPriority w:val="99"/>
    <w:semiHidden/>
    <w:unhideWhenUsed/>
    <w:rsid w:val="00265090"/>
  </w:style>
  <w:style w:type="paragraph" w:styleId="Header">
    <w:name w:val="header"/>
    <w:basedOn w:val="Normal"/>
    <w:link w:val="HeaderChar"/>
    <w:uiPriority w:val="99"/>
    <w:unhideWhenUsed/>
    <w:rsid w:val="00265090"/>
    <w:pPr>
      <w:tabs>
        <w:tab w:val="center" w:pos="4513"/>
        <w:tab w:val="right" w:pos="9026"/>
      </w:tabs>
    </w:pPr>
  </w:style>
  <w:style w:type="character" w:customStyle="1" w:styleId="HeaderChar">
    <w:name w:val="Header Char"/>
    <w:basedOn w:val="DefaultParagraphFont"/>
    <w:link w:val="Header"/>
    <w:uiPriority w:val="99"/>
    <w:rsid w:val="00265090"/>
  </w:style>
  <w:style w:type="table" w:styleId="TableGrid">
    <w:name w:val="Table Grid"/>
    <w:basedOn w:val="TableNormal"/>
    <w:uiPriority w:val="39"/>
    <w:rsid w:val="007F0D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9C232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B778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D066BB"/>
  </w:style>
  <w:style w:type="character" w:styleId="CommentReference">
    <w:name w:val="annotation reference"/>
    <w:basedOn w:val="DefaultParagraphFont"/>
    <w:uiPriority w:val="99"/>
    <w:semiHidden/>
    <w:unhideWhenUsed/>
    <w:rsid w:val="005B3E5B"/>
    <w:rPr>
      <w:sz w:val="16"/>
      <w:szCs w:val="16"/>
    </w:rPr>
  </w:style>
  <w:style w:type="paragraph" w:styleId="CommentText">
    <w:name w:val="annotation text"/>
    <w:basedOn w:val="Normal"/>
    <w:link w:val="CommentTextChar"/>
    <w:uiPriority w:val="99"/>
    <w:semiHidden/>
    <w:unhideWhenUsed/>
    <w:rsid w:val="005B3E5B"/>
    <w:rPr>
      <w:sz w:val="20"/>
      <w:szCs w:val="20"/>
    </w:rPr>
  </w:style>
  <w:style w:type="character" w:customStyle="1" w:styleId="CommentTextChar">
    <w:name w:val="Comment Text Char"/>
    <w:basedOn w:val="DefaultParagraphFont"/>
    <w:link w:val="CommentText"/>
    <w:uiPriority w:val="99"/>
    <w:semiHidden/>
    <w:rsid w:val="005B3E5B"/>
    <w:rPr>
      <w:sz w:val="20"/>
      <w:szCs w:val="20"/>
    </w:rPr>
  </w:style>
  <w:style w:type="paragraph" w:styleId="CommentSubject">
    <w:name w:val="annotation subject"/>
    <w:basedOn w:val="CommentText"/>
    <w:next w:val="CommentText"/>
    <w:link w:val="CommentSubjectChar"/>
    <w:uiPriority w:val="99"/>
    <w:semiHidden/>
    <w:unhideWhenUsed/>
    <w:rsid w:val="005B3E5B"/>
    <w:rPr>
      <w:b/>
      <w:bCs/>
    </w:rPr>
  </w:style>
  <w:style w:type="character" w:customStyle="1" w:styleId="CommentSubjectChar">
    <w:name w:val="Comment Subject Char"/>
    <w:basedOn w:val="CommentTextChar"/>
    <w:link w:val="CommentSubject"/>
    <w:uiPriority w:val="99"/>
    <w:semiHidden/>
    <w:rsid w:val="005B3E5B"/>
    <w:rPr>
      <w:b/>
      <w:bCs/>
      <w:sz w:val="20"/>
      <w:szCs w:val="20"/>
    </w:rPr>
  </w:style>
  <w:style w:type="character" w:customStyle="1" w:styleId="Heading1Char">
    <w:name w:val="Heading 1 Char"/>
    <w:basedOn w:val="DefaultParagraphFont"/>
    <w:link w:val="Heading1"/>
    <w:uiPriority w:val="9"/>
    <w:rsid w:val="005527AF"/>
    <w:rPr>
      <w:rFonts w:asciiTheme="majorHAnsi" w:eastAsiaTheme="majorEastAsia" w:hAnsiTheme="majorHAnsi" w:cstheme="majorBidi"/>
      <w:color w:val="2F5496" w:themeColor="accent1" w:themeShade="BF"/>
      <w:sz w:val="32"/>
      <w:szCs w:val="32"/>
    </w:rPr>
  </w:style>
  <w:style w:type="paragraph" w:customStyle="1" w:styleId="Affiliation">
    <w:name w:val="Affiliation"/>
    <w:basedOn w:val="Normal"/>
    <w:qFormat/>
    <w:rsid w:val="00677554"/>
    <w:pPr>
      <w:spacing w:before="120"/>
    </w:pPr>
    <w:rPr>
      <w:rFonts w:ascii="Times New Roman" w:eastAsia="Times New Roman" w:hAnsi="Times New Roman" w:cs="Times New Roman"/>
      <w:kern w:val="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https://doi.org/10.1016/j.rse.2010.01.019" TargetMode="External"/><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mailto:pmartin@ntu.edu.sg)" TargetMode="External"/><Relationship Id="rId12" Type="http://schemas.openxmlformats.org/officeDocument/2006/relationships/image" Target="media/image5.png"/><Relationship Id="rId17" Type="http://schemas.openxmlformats.org/officeDocument/2006/relationships/hyperlink" Target="https://doi.org/https://doi.org/10.1029/2023JC019741" TargetMode="External"/><Relationship Id="rId2" Type="http://schemas.openxmlformats.org/officeDocument/2006/relationships/settings" Target="settings.xml"/><Relationship Id="rId16" Type="http://schemas.openxmlformats.org/officeDocument/2006/relationships/hyperlink" Target="https://doi.org/10.1038/s41598-018-35769-7" TargetMode="External"/><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mailto:yuan006@e.ntu.edu.sg)"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hyperlink" Target="https://www.int-res.com/abstracts/meps/v672/p89-109/" TargetMode="Externa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yperlink" Target="https://doi.org/doi:10.5285/a29c5465-b138-234d-e053-6c86abc040b9"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15ce9348-be2a-462b-8fc0-e1765a9b204a}" enabled="0" method="" siteId="{15ce9348-be2a-462b-8fc0-e1765a9b204a}"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8</Pages>
  <Words>3149</Words>
  <Characters>17950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YUAN#</dc:creator>
  <cp:keywords/>
  <dc:description/>
  <cp:lastModifiedBy>#CHEN YUAN#</cp:lastModifiedBy>
  <cp:revision>2</cp:revision>
  <cp:lastPrinted>2024-05-16T08:22:00Z</cp:lastPrinted>
  <dcterms:created xsi:type="dcterms:W3CDTF">2024-05-16T08:25:00Z</dcterms:created>
  <dcterms:modified xsi:type="dcterms:W3CDTF">2024-05-16T08:25:00Z</dcterms:modified>
</cp:coreProperties>
</file>