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92F09" w14:textId="7F9558C2" w:rsidR="00024C92" w:rsidRDefault="004C3F46" w:rsidP="00C1756B">
      <w:pPr>
        <w:pStyle w:val="10"/>
        <w:spacing w:line="276" w:lineRule="auto"/>
        <w:rPr>
          <w:rFonts w:ascii="Times New Roman" w:hAnsi="Times New Roman" w:cs="Times New Roman"/>
          <w:sz w:val="32"/>
          <w:szCs w:val="28"/>
        </w:rPr>
      </w:pPr>
      <w:r w:rsidRPr="00024C92">
        <w:rPr>
          <w:rFonts w:ascii="Times New Roman" w:hAnsi="Times New Roman" w:cs="Times New Roman"/>
          <w:sz w:val="32"/>
          <w:szCs w:val="28"/>
        </w:rPr>
        <w:t xml:space="preserve">Supplementary </w:t>
      </w:r>
      <w:r w:rsidR="00E74E8E">
        <w:rPr>
          <w:rFonts w:ascii="Times New Roman" w:hAnsi="Times New Roman" w:cs="Times New Roman"/>
          <w:sz w:val="32"/>
          <w:szCs w:val="28"/>
        </w:rPr>
        <w:t>Information</w:t>
      </w:r>
    </w:p>
    <w:p w14:paraId="2CBC23F1" w14:textId="77777777" w:rsidR="00AE7447" w:rsidRPr="00024C92" w:rsidRDefault="00AE7447" w:rsidP="00C1756B">
      <w:pPr>
        <w:pStyle w:val="10"/>
        <w:spacing w:line="276" w:lineRule="auto"/>
        <w:rPr>
          <w:rFonts w:ascii="Times New Roman" w:hAnsi="Times New Roman" w:cs="Times New Roman"/>
          <w:sz w:val="32"/>
          <w:szCs w:val="28"/>
        </w:rPr>
      </w:pPr>
    </w:p>
    <w:p w14:paraId="11D5F007" w14:textId="77777777" w:rsidR="00C1756B" w:rsidRPr="002E0FF1" w:rsidRDefault="00C1756B" w:rsidP="00C1756B">
      <w:pPr>
        <w:spacing w:line="276" w:lineRule="auto"/>
        <w:jc w:val="both"/>
        <w:rPr>
          <w:rFonts w:ascii="Times New Roman" w:hAnsi="Times New Roman" w:cs="Times New Roman"/>
          <w:b/>
          <w:bCs/>
          <w:sz w:val="28"/>
          <w:szCs w:val="28"/>
        </w:rPr>
      </w:pPr>
      <w:r w:rsidRPr="002E0FF1">
        <w:rPr>
          <w:rFonts w:ascii="Times New Roman" w:hAnsi="Times New Roman" w:cs="Times New Roman"/>
          <w:b/>
          <w:bCs/>
          <w:sz w:val="28"/>
          <w:szCs w:val="28"/>
        </w:rPr>
        <w:t>A physics-informed cluster graph neural network enables generalizable and interpretable prediction for material discovery</w:t>
      </w:r>
    </w:p>
    <w:p w14:paraId="5765EA9F" w14:textId="77777777" w:rsidR="00C1756B" w:rsidRDefault="00C1756B" w:rsidP="00C1756B">
      <w:pPr>
        <w:pStyle w:val="BodyText"/>
        <w:spacing w:line="360" w:lineRule="auto"/>
        <w:jc w:val="both"/>
        <w:rPr>
          <w:rFonts w:ascii="Times New Roman" w:hAnsi="Times New Roman" w:cs="Times New Roman"/>
          <w:vertAlign w:val="superscript"/>
          <w:lang w:val="en-SG" w:eastAsia="zh-CN"/>
        </w:rPr>
      </w:pPr>
      <w:r>
        <w:rPr>
          <w:rFonts w:ascii="Times New Roman" w:hAnsi="Times New Roman" w:cs="Times New Roman"/>
          <w:lang w:eastAsia="zh-CN"/>
        </w:rPr>
        <w:t>Hao Cheng</w:t>
      </w:r>
      <w:r w:rsidRPr="009A4AE0">
        <w:rPr>
          <w:rFonts w:ascii="Times New Roman" w:hAnsi="Times New Roman" w:cs="Times New Roman"/>
          <w:vertAlign w:val="superscript"/>
          <w:lang w:eastAsia="zh-CN"/>
        </w:rPr>
        <w:t>1, †</w:t>
      </w:r>
      <w:r>
        <w:rPr>
          <w:rFonts w:ascii="Times New Roman" w:hAnsi="Times New Roman" w:cs="Times New Roman"/>
          <w:lang w:eastAsia="zh-CN"/>
        </w:rPr>
        <w:t>, Tong Yang</w:t>
      </w:r>
      <w:r>
        <w:rPr>
          <w:rFonts w:ascii="Times New Roman" w:hAnsi="Times New Roman" w:cs="Times New Roman"/>
          <w:vertAlign w:val="superscript"/>
          <w:lang w:eastAsia="zh-CN"/>
        </w:rPr>
        <w:t>1</w:t>
      </w:r>
      <w:r w:rsidRPr="002A46C8">
        <w:rPr>
          <w:rFonts w:ascii="Times New Roman" w:hAnsi="Times New Roman" w:cs="Times New Roman"/>
          <w:vertAlign w:val="superscript"/>
          <w:lang w:eastAsia="zh-CN"/>
        </w:rPr>
        <w:t>, †</w:t>
      </w:r>
      <w:r>
        <w:rPr>
          <w:rFonts w:ascii="Times New Roman" w:hAnsi="Times New Roman" w:cs="Times New Roman"/>
          <w:lang w:eastAsia="zh-CN"/>
        </w:rPr>
        <w:t>, Minggang Zeng</w:t>
      </w:r>
      <w:r>
        <w:rPr>
          <w:rFonts w:ascii="Times New Roman" w:hAnsi="Times New Roman" w:cs="Times New Roman"/>
          <w:vertAlign w:val="superscript"/>
          <w:lang w:eastAsia="zh-CN"/>
        </w:rPr>
        <w:t>2</w:t>
      </w:r>
      <w:r>
        <w:rPr>
          <w:rFonts w:ascii="Times New Roman" w:hAnsi="Times New Roman" w:cs="Times New Roman"/>
          <w:lang w:eastAsia="zh-CN"/>
        </w:rPr>
        <w:t>, Hao Wu</w:t>
      </w:r>
      <w:r w:rsidRPr="0018223C">
        <w:rPr>
          <w:rFonts w:ascii="Times New Roman" w:hAnsi="Times New Roman" w:cs="Times New Roman"/>
          <w:vertAlign w:val="superscript"/>
          <w:lang w:eastAsia="zh-CN"/>
        </w:rPr>
        <w:t>1</w:t>
      </w:r>
      <w:r>
        <w:rPr>
          <w:rFonts w:ascii="Times New Roman" w:hAnsi="Times New Roman" w:cs="Times New Roman"/>
          <w:lang w:eastAsia="zh-CN"/>
        </w:rPr>
        <w:t>, Zhengzhong Wang</w:t>
      </w:r>
      <w:r>
        <w:rPr>
          <w:rFonts w:ascii="Times New Roman" w:hAnsi="Times New Roman" w:cs="Times New Roman"/>
          <w:vertAlign w:val="superscript"/>
          <w:lang w:eastAsia="zh-CN"/>
        </w:rPr>
        <w:t>3</w:t>
      </w:r>
      <w:r>
        <w:rPr>
          <w:rFonts w:ascii="Times New Roman" w:hAnsi="Times New Roman" w:cs="Times New Roman"/>
          <w:lang w:eastAsia="zh-CN"/>
        </w:rPr>
        <w:t>, Haokai Hong</w:t>
      </w:r>
      <w:r>
        <w:rPr>
          <w:rFonts w:ascii="Times New Roman" w:hAnsi="Times New Roman" w:cs="Times New Roman"/>
          <w:vertAlign w:val="superscript"/>
          <w:lang w:eastAsia="zh-CN"/>
        </w:rPr>
        <w:t>3</w:t>
      </w:r>
      <w:r>
        <w:rPr>
          <w:rFonts w:ascii="Times New Roman" w:hAnsi="Times New Roman" w:cs="Times New Roman"/>
          <w:lang w:eastAsia="zh-CN"/>
        </w:rPr>
        <w:t>, Cheng Chen</w:t>
      </w:r>
      <w:r>
        <w:rPr>
          <w:rFonts w:ascii="Times New Roman" w:hAnsi="Times New Roman" w:cs="Times New Roman"/>
          <w:vertAlign w:val="superscript"/>
          <w:lang w:eastAsia="zh-CN"/>
        </w:rPr>
        <w:t>4</w:t>
      </w:r>
      <w:r>
        <w:rPr>
          <w:rFonts w:ascii="Times New Roman" w:hAnsi="Times New Roman" w:cs="Times New Roman"/>
          <w:lang w:eastAsia="zh-CN"/>
        </w:rPr>
        <w:t>, Bing Li</w:t>
      </w:r>
      <w:r>
        <w:rPr>
          <w:rFonts w:ascii="Times New Roman" w:hAnsi="Times New Roman" w:cs="Times New Roman"/>
          <w:vertAlign w:val="superscript"/>
          <w:lang w:eastAsia="zh-CN"/>
        </w:rPr>
        <w:t>5</w:t>
      </w:r>
      <w:r>
        <w:rPr>
          <w:rFonts w:ascii="Times New Roman" w:hAnsi="Times New Roman" w:cs="Times New Roman"/>
          <w:lang w:eastAsia="zh-CN"/>
        </w:rPr>
        <w:t>, Zhongrui Wang</w:t>
      </w:r>
      <w:r>
        <w:rPr>
          <w:rFonts w:ascii="Times New Roman" w:hAnsi="Times New Roman" w:cs="Times New Roman"/>
          <w:vertAlign w:val="superscript"/>
          <w:lang w:eastAsia="zh-CN"/>
        </w:rPr>
        <w:t>6</w:t>
      </w:r>
      <w:r>
        <w:rPr>
          <w:rFonts w:ascii="Times New Roman" w:hAnsi="Times New Roman" w:cs="Times New Roman"/>
          <w:lang w:eastAsia="zh-CN"/>
        </w:rPr>
        <w:t>, Shu Ping Lau</w:t>
      </w:r>
      <w:r w:rsidRPr="0018223C">
        <w:rPr>
          <w:rFonts w:ascii="Times New Roman" w:hAnsi="Times New Roman" w:cs="Times New Roman"/>
          <w:vertAlign w:val="superscript"/>
          <w:lang w:eastAsia="zh-CN"/>
        </w:rPr>
        <w:t>1</w:t>
      </w:r>
      <w:r>
        <w:rPr>
          <w:rFonts w:ascii="Times New Roman" w:hAnsi="Times New Roman" w:cs="Times New Roman"/>
          <w:lang w:eastAsia="zh-CN"/>
        </w:rPr>
        <w:t>, Wanyu Lin</w:t>
      </w:r>
      <w:r w:rsidRPr="0018223C">
        <w:rPr>
          <w:rFonts w:ascii="Times New Roman" w:hAnsi="Times New Roman" w:cs="Times New Roman"/>
          <w:vertAlign w:val="superscript"/>
          <w:lang w:eastAsia="zh-CN"/>
        </w:rPr>
        <w:t>3, *</w:t>
      </w:r>
      <w:r>
        <w:rPr>
          <w:rFonts w:ascii="Times New Roman" w:hAnsi="Times New Roman" w:cs="Times New Roman"/>
          <w:lang w:eastAsia="zh-CN"/>
        </w:rPr>
        <w:t>, Kay Chen Tan</w:t>
      </w:r>
      <w:r>
        <w:rPr>
          <w:rFonts w:ascii="Times New Roman" w:hAnsi="Times New Roman" w:cs="Times New Roman"/>
          <w:vertAlign w:val="superscript"/>
          <w:lang w:eastAsia="zh-CN"/>
        </w:rPr>
        <w:t>3</w:t>
      </w:r>
      <w:r w:rsidRPr="0018223C">
        <w:rPr>
          <w:rFonts w:ascii="Times New Roman" w:hAnsi="Times New Roman" w:cs="Times New Roman"/>
          <w:vertAlign w:val="superscript"/>
          <w:lang w:eastAsia="zh-CN"/>
        </w:rPr>
        <w:t>, *</w:t>
      </w:r>
      <w:r>
        <w:rPr>
          <w:rFonts w:ascii="Times New Roman" w:hAnsi="Times New Roman" w:cs="Times New Roman"/>
          <w:lang w:eastAsia="zh-CN"/>
        </w:rPr>
        <w:t>, and Ming Yang</w:t>
      </w:r>
      <w:r w:rsidRPr="0018223C">
        <w:rPr>
          <w:rFonts w:ascii="Times New Roman" w:hAnsi="Times New Roman" w:cs="Times New Roman"/>
          <w:vertAlign w:val="superscript"/>
          <w:lang w:eastAsia="zh-CN"/>
        </w:rPr>
        <w:t xml:space="preserve">1, </w:t>
      </w:r>
      <w:r>
        <w:rPr>
          <w:rFonts w:ascii="Times New Roman" w:hAnsi="Times New Roman" w:cs="Times New Roman"/>
          <w:vertAlign w:val="superscript"/>
          <w:lang w:eastAsia="zh-CN"/>
        </w:rPr>
        <w:t>7</w:t>
      </w:r>
      <w:r w:rsidRPr="0018223C">
        <w:rPr>
          <w:rFonts w:ascii="Times New Roman" w:hAnsi="Times New Roman" w:cs="Times New Roman"/>
          <w:vertAlign w:val="superscript"/>
          <w:lang w:eastAsia="zh-CN"/>
        </w:rPr>
        <w:t xml:space="preserve">, </w:t>
      </w:r>
      <w:r>
        <w:rPr>
          <w:rFonts w:ascii="Times New Roman" w:hAnsi="Times New Roman" w:cs="Times New Roman"/>
          <w:vertAlign w:val="superscript"/>
          <w:lang w:eastAsia="zh-CN"/>
        </w:rPr>
        <w:t>8</w:t>
      </w:r>
      <w:r w:rsidRPr="0018223C">
        <w:rPr>
          <w:rFonts w:ascii="Times New Roman" w:hAnsi="Times New Roman" w:cs="Times New Roman"/>
          <w:vertAlign w:val="superscript"/>
          <w:lang w:eastAsia="zh-CN"/>
        </w:rPr>
        <w:t>, *</w:t>
      </w:r>
    </w:p>
    <w:p w14:paraId="7BE6CACC" w14:textId="77777777" w:rsidR="00C1756B" w:rsidRDefault="00C1756B" w:rsidP="00C92BD5">
      <w:pPr>
        <w:pStyle w:val="BodyText"/>
        <w:spacing w:line="276" w:lineRule="auto"/>
        <w:jc w:val="both"/>
        <w:rPr>
          <w:rFonts w:ascii="Times New Roman" w:hAnsi="Times New Roman" w:cs="Times New Roman"/>
          <w:lang w:eastAsia="zh-CN"/>
        </w:rPr>
      </w:pPr>
      <w:r w:rsidRPr="00F17C08">
        <w:rPr>
          <w:rFonts w:ascii="Times New Roman" w:hAnsi="Times New Roman" w:cs="Times New Roman"/>
          <w:vertAlign w:val="superscript"/>
          <w:lang w:eastAsia="zh-CN"/>
        </w:rPr>
        <w:t>1</w:t>
      </w:r>
      <w:r>
        <w:rPr>
          <w:rFonts w:ascii="Times New Roman" w:hAnsi="Times New Roman" w:cs="Times New Roman"/>
          <w:lang w:eastAsia="zh-CN"/>
        </w:rPr>
        <w:t xml:space="preserve"> Department of Applied Physics, The Hong Kong Polytechnic University, Kowloon, Hong Kong SAR, China</w:t>
      </w:r>
    </w:p>
    <w:p w14:paraId="5FFEE9AC" w14:textId="77777777" w:rsidR="00C1756B" w:rsidRDefault="00C1756B" w:rsidP="00C92BD5">
      <w:pPr>
        <w:pStyle w:val="BodyText"/>
        <w:spacing w:line="276" w:lineRule="auto"/>
        <w:jc w:val="both"/>
        <w:rPr>
          <w:rFonts w:ascii="Times New Roman" w:hAnsi="Times New Roman" w:cs="Times New Roman"/>
          <w:lang w:val="en-SG" w:eastAsia="zh-CN"/>
        </w:rPr>
      </w:pPr>
      <w:r>
        <w:rPr>
          <w:rFonts w:ascii="Times New Roman" w:hAnsi="Times New Roman" w:cs="Times New Roman"/>
          <w:vertAlign w:val="superscript"/>
          <w:lang w:eastAsia="zh-CN"/>
        </w:rPr>
        <w:t>2</w:t>
      </w:r>
      <w:r w:rsidRPr="00B828AB">
        <w:rPr>
          <w:rFonts w:ascii="Times New Roman" w:hAnsi="Times New Roman" w:cs="Times New Roman"/>
          <w:lang w:eastAsia="zh-CN"/>
        </w:rPr>
        <w:t xml:space="preserve"> Institute of High-Performance Computing, A</w:t>
      </w:r>
      <w:r w:rsidRPr="00B828AB">
        <w:rPr>
          <w:rFonts w:ascii="MS Gothic" w:eastAsia="MS Gothic" w:hAnsi="MS Gothic" w:cs="MS Gothic" w:hint="eastAsia"/>
          <w:lang w:eastAsia="zh-CN"/>
        </w:rPr>
        <w:t>∗</w:t>
      </w:r>
      <w:r w:rsidRPr="00B828AB">
        <w:rPr>
          <w:rFonts w:ascii="Times New Roman" w:hAnsi="Times New Roman" w:cs="Times New Roman"/>
          <w:lang w:eastAsia="zh-CN"/>
        </w:rPr>
        <w:t>STAR, 1 Fusionopolis Way, Singapore 138632, Singapore</w:t>
      </w:r>
    </w:p>
    <w:p w14:paraId="5157452C" w14:textId="77777777" w:rsidR="00C1756B" w:rsidRDefault="00C1756B" w:rsidP="00C92BD5">
      <w:pPr>
        <w:pStyle w:val="BodyText"/>
        <w:spacing w:line="276" w:lineRule="auto"/>
        <w:jc w:val="both"/>
        <w:rPr>
          <w:rFonts w:ascii="Times New Roman" w:hAnsi="Times New Roman" w:cs="Times New Roman"/>
          <w:lang w:eastAsia="zh-CN"/>
        </w:rPr>
      </w:pPr>
      <w:r>
        <w:rPr>
          <w:rFonts w:ascii="Times New Roman" w:hAnsi="Times New Roman" w:cs="Times New Roman"/>
          <w:vertAlign w:val="superscript"/>
          <w:lang w:eastAsia="zh-CN"/>
        </w:rPr>
        <w:t>3</w:t>
      </w:r>
      <w:r>
        <w:rPr>
          <w:rFonts w:ascii="Times New Roman" w:hAnsi="Times New Roman" w:cs="Times New Roman"/>
          <w:lang w:eastAsia="zh-CN"/>
        </w:rPr>
        <w:t xml:space="preserve"> </w:t>
      </w:r>
      <w:r w:rsidRPr="0037033E">
        <w:rPr>
          <w:rFonts w:ascii="Times New Roman" w:hAnsi="Times New Roman" w:cs="Times New Roman"/>
          <w:lang w:eastAsia="zh-CN"/>
        </w:rPr>
        <w:t>Department of Data Science and Artificial Intelligence</w:t>
      </w:r>
      <w:r>
        <w:rPr>
          <w:rFonts w:ascii="Times New Roman" w:hAnsi="Times New Roman" w:cs="Times New Roman"/>
          <w:lang w:eastAsia="zh-CN"/>
        </w:rPr>
        <w:t>, The Hong Kong Polytechnic University, Kowloon, Hong Kong SAR, China</w:t>
      </w:r>
    </w:p>
    <w:p w14:paraId="1C059316" w14:textId="77777777" w:rsidR="00C1756B" w:rsidRPr="00A221CA" w:rsidRDefault="00C1756B" w:rsidP="00C92BD5">
      <w:pPr>
        <w:pStyle w:val="BodyText"/>
        <w:spacing w:line="276" w:lineRule="auto"/>
        <w:jc w:val="both"/>
        <w:rPr>
          <w:rFonts w:ascii="Times New Roman" w:hAnsi="Times New Roman" w:cs="Times New Roman"/>
          <w:lang w:eastAsia="zh-CN"/>
        </w:rPr>
      </w:pPr>
      <w:r w:rsidRPr="00A221CA">
        <w:rPr>
          <w:rFonts w:ascii="Times New Roman" w:hAnsi="Times New Roman" w:cs="Times New Roman"/>
          <w:vertAlign w:val="superscript"/>
          <w:lang w:eastAsia="zh-CN"/>
        </w:rPr>
        <w:t>4</w:t>
      </w:r>
      <w:r>
        <w:rPr>
          <w:rFonts w:ascii="Times New Roman" w:hAnsi="Times New Roman" w:cs="Times New Roman"/>
          <w:lang w:eastAsia="zh-CN"/>
        </w:rPr>
        <w:t xml:space="preserve"> Department of Computing, The Hong Kong Polytechnic University, Kowloon, Hong Kong SAR, China</w:t>
      </w:r>
    </w:p>
    <w:p w14:paraId="1CE86E43" w14:textId="77777777" w:rsidR="00C1756B" w:rsidRDefault="00C1756B" w:rsidP="00C92BD5">
      <w:pPr>
        <w:pStyle w:val="BodyText"/>
        <w:spacing w:line="276" w:lineRule="auto"/>
        <w:jc w:val="both"/>
        <w:rPr>
          <w:rFonts w:ascii="Times New Roman" w:hAnsi="Times New Roman" w:cs="Times New Roman"/>
          <w:lang w:val="en-SG" w:eastAsia="zh-CN"/>
        </w:rPr>
      </w:pPr>
      <w:r>
        <w:rPr>
          <w:rFonts w:ascii="Times New Roman" w:hAnsi="Times New Roman" w:cs="Times New Roman"/>
          <w:vertAlign w:val="superscript"/>
          <w:lang w:eastAsia="zh-CN"/>
        </w:rPr>
        <w:t>5</w:t>
      </w:r>
      <w:r w:rsidRPr="007101DC">
        <w:rPr>
          <w:rFonts w:ascii="Times New Roman" w:hAnsi="Times New Roman" w:cs="Times New Roman"/>
          <w:lang w:eastAsia="zh-CN"/>
        </w:rPr>
        <w:t xml:space="preserve"> School of Chemistry and Chemical Engineering, Harbin Institute of Technology, Harbin 150011, China.</w:t>
      </w:r>
    </w:p>
    <w:p w14:paraId="1BDACDD1" w14:textId="2DFCF595" w:rsidR="00C1756B" w:rsidRDefault="00C1756B" w:rsidP="00C92BD5">
      <w:pPr>
        <w:pStyle w:val="BodyText"/>
        <w:spacing w:line="276" w:lineRule="auto"/>
        <w:jc w:val="both"/>
        <w:rPr>
          <w:rFonts w:ascii="Times New Roman" w:hAnsi="Times New Roman" w:cs="Times New Roman"/>
          <w:lang w:val="en-SG" w:eastAsia="zh-CN"/>
        </w:rPr>
      </w:pPr>
      <w:r>
        <w:rPr>
          <w:rFonts w:ascii="Times New Roman" w:hAnsi="Times New Roman" w:cs="Times New Roman"/>
          <w:vertAlign w:val="superscript"/>
          <w:lang w:eastAsia="zh-CN"/>
        </w:rPr>
        <w:t xml:space="preserve">6 </w:t>
      </w:r>
      <w:r w:rsidR="00C46CB9" w:rsidRPr="00C46CB9">
        <w:rPr>
          <w:rFonts w:ascii="Times New Roman" w:hAnsi="Times New Roman" w:cs="Times New Roman"/>
          <w:lang w:eastAsia="zh-CN"/>
        </w:rPr>
        <w:t>School of Microelectronics, Southern University of Science and Technology, Shenzhen 518055, China</w:t>
      </w:r>
    </w:p>
    <w:p w14:paraId="34169DB9" w14:textId="77777777" w:rsidR="00C1756B" w:rsidRDefault="00C1756B" w:rsidP="00C92BD5">
      <w:pPr>
        <w:pStyle w:val="BodyText"/>
        <w:spacing w:line="276" w:lineRule="auto"/>
        <w:jc w:val="both"/>
        <w:rPr>
          <w:rFonts w:ascii="Times New Roman" w:hAnsi="Times New Roman" w:cs="Times New Roman"/>
          <w:lang w:val="en-SG" w:eastAsia="zh-CN"/>
        </w:rPr>
      </w:pPr>
      <w:r>
        <w:rPr>
          <w:rFonts w:ascii="Times New Roman" w:hAnsi="Times New Roman" w:cs="Times New Roman"/>
          <w:vertAlign w:val="superscript"/>
          <w:lang w:eastAsia="zh-CN"/>
        </w:rPr>
        <w:t>7</w:t>
      </w:r>
      <w:r w:rsidRPr="00B828AB">
        <w:rPr>
          <w:rFonts w:ascii="Times New Roman" w:hAnsi="Times New Roman" w:cs="Times New Roman"/>
          <w:lang w:eastAsia="zh-CN"/>
        </w:rPr>
        <w:t xml:space="preserve"> Research Centre on Data Sciences &amp; Artificial Intelligence, The Hong Kong Polytechnic University, Kowloon, Hong Kong SAR, China</w:t>
      </w:r>
    </w:p>
    <w:p w14:paraId="62AD9108" w14:textId="77777777" w:rsidR="00C1756B" w:rsidRPr="0018223C" w:rsidRDefault="00C1756B" w:rsidP="00C92BD5">
      <w:pPr>
        <w:pStyle w:val="BodyText"/>
        <w:spacing w:line="276" w:lineRule="auto"/>
        <w:jc w:val="both"/>
        <w:rPr>
          <w:rFonts w:ascii="Times New Roman" w:hAnsi="Times New Roman" w:cs="Times New Roman"/>
          <w:lang w:val="en-SG" w:eastAsia="zh-CN"/>
        </w:rPr>
      </w:pPr>
      <w:r>
        <w:rPr>
          <w:rFonts w:ascii="Times New Roman" w:hAnsi="Times New Roman" w:cs="Times New Roman"/>
          <w:vertAlign w:val="superscript"/>
          <w:lang w:eastAsia="zh-CN"/>
        </w:rPr>
        <w:t>8</w:t>
      </w:r>
      <w:r w:rsidRPr="00B828AB">
        <w:rPr>
          <w:rFonts w:ascii="Times New Roman" w:hAnsi="Times New Roman" w:cs="Times New Roman"/>
          <w:lang w:eastAsia="zh-CN"/>
        </w:rPr>
        <w:t xml:space="preserve"> Research Centre for Nanoscience and Nanotechnology, The Hong Kong Polytechnic University, Kowloon, Hong Kong SAR, China</w:t>
      </w:r>
    </w:p>
    <w:p w14:paraId="37A1BD0B" w14:textId="77777777" w:rsidR="00C1756B" w:rsidRPr="004F3B45" w:rsidRDefault="00C1756B" w:rsidP="00C1756B">
      <w:pPr>
        <w:pStyle w:val="BodyText"/>
        <w:spacing w:line="360" w:lineRule="auto"/>
        <w:jc w:val="both"/>
        <w:rPr>
          <w:rFonts w:ascii="Times New Roman" w:hAnsi="Times New Roman" w:cs="Times New Roman"/>
          <w:lang w:val="en-SG" w:eastAsia="zh-CN"/>
        </w:rPr>
      </w:pPr>
      <w:r w:rsidRPr="009A4AE0">
        <w:rPr>
          <w:rFonts w:ascii="Times New Roman" w:hAnsi="Times New Roman" w:cs="Times New Roman"/>
          <w:vertAlign w:val="superscript"/>
          <w:lang w:eastAsia="zh-CN"/>
        </w:rPr>
        <w:t>†</w:t>
      </w:r>
      <w:r w:rsidRPr="004F3B45">
        <w:rPr>
          <w:rFonts w:ascii="Times New Roman" w:hAnsi="Times New Roman" w:cs="Times New Roman"/>
          <w:lang w:eastAsia="zh-CN"/>
        </w:rPr>
        <w:t xml:space="preserve"> These authors contributed equally to this work.</w:t>
      </w:r>
    </w:p>
    <w:p w14:paraId="150019D7" w14:textId="61CC7288" w:rsidR="00024C92" w:rsidRDefault="00C1756B" w:rsidP="00024C92">
      <w:pPr>
        <w:pStyle w:val="BodyText"/>
        <w:spacing w:line="360" w:lineRule="auto"/>
        <w:jc w:val="both"/>
        <w:rPr>
          <w:rFonts w:ascii="Times New Roman" w:hAnsi="Times New Roman" w:cs="Times New Roman"/>
          <w:lang w:eastAsia="zh-CN"/>
        </w:rPr>
      </w:pPr>
      <w:r w:rsidRPr="004F3B45">
        <w:rPr>
          <w:rFonts w:ascii="Times New Roman" w:hAnsi="Times New Roman" w:cs="Times New Roman"/>
          <w:vertAlign w:val="superscript"/>
          <w:lang w:eastAsia="zh-CN"/>
        </w:rPr>
        <w:t>*</w:t>
      </w:r>
      <w:r w:rsidRPr="004F3B45">
        <w:rPr>
          <w:rFonts w:ascii="Times New Roman" w:hAnsi="Times New Roman" w:cs="Times New Roman"/>
          <w:lang w:eastAsia="zh-CN"/>
        </w:rPr>
        <w:t>Correspondence and requests for materials should be addressed to Ming Yang (kevin.m.yang@polyu.edu.hk), Wanyu Lin (wan-yu.lin@polyu.edu.hk), or Kan Chen Tan (</w:t>
      </w:r>
      <w:hyperlink r:id="rId4" w:history="1">
        <w:r w:rsidR="00AE7447" w:rsidRPr="005528B5">
          <w:rPr>
            <w:rStyle w:val="Hyperlink"/>
            <w:rFonts w:ascii="Times New Roman" w:hAnsi="Times New Roman" w:cs="Times New Roman"/>
            <w:lang w:eastAsia="zh-CN"/>
          </w:rPr>
          <w:t>kaychen.tan@polyu.edu.hk</w:t>
        </w:r>
      </w:hyperlink>
      <w:r w:rsidRPr="004F3B45">
        <w:rPr>
          <w:rFonts w:ascii="Times New Roman" w:hAnsi="Times New Roman" w:cs="Times New Roman"/>
          <w:lang w:eastAsia="zh-CN"/>
        </w:rPr>
        <w:t>).</w:t>
      </w:r>
    </w:p>
    <w:p w14:paraId="7303B81A" w14:textId="77777777" w:rsidR="00AE7447" w:rsidRDefault="00AE7447" w:rsidP="00024C92">
      <w:pPr>
        <w:pStyle w:val="BodyText"/>
        <w:spacing w:line="360" w:lineRule="auto"/>
        <w:jc w:val="both"/>
        <w:rPr>
          <w:rFonts w:ascii="Times New Roman" w:hAnsi="Times New Roman" w:cs="Times New Roman"/>
          <w:lang w:eastAsia="zh-CN"/>
        </w:rPr>
      </w:pPr>
    </w:p>
    <w:p w14:paraId="2AD05725" w14:textId="77777777" w:rsidR="00AE7447" w:rsidRPr="00024C92" w:rsidRDefault="00AE7447" w:rsidP="00024C92">
      <w:pPr>
        <w:pStyle w:val="BodyText"/>
        <w:spacing w:line="360" w:lineRule="auto"/>
        <w:jc w:val="both"/>
        <w:rPr>
          <w:rFonts w:ascii="Times New Roman" w:hAnsi="Times New Roman" w:cs="Times New Roman"/>
          <w:lang w:val="en-SG" w:eastAsia="zh-CN"/>
        </w:rPr>
      </w:pPr>
    </w:p>
    <w:p w14:paraId="20F90391" w14:textId="31EF3522" w:rsidR="00024C92" w:rsidRPr="00FE0F54" w:rsidRDefault="00FE0F54" w:rsidP="00266E33">
      <w:pPr>
        <w:pStyle w:val="BodyText"/>
        <w:jc w:val="both"/>
        <w:rPr>
          <w:rFonts w:ascii="Times New Roman" w:hAnsi="Times New Roman" w:cs="Times New Roman"/>
          <w:b/>
          <w:bCs/>
          <w:sz w:val="28"/>
          <w:szCs w:val="28"/>
        </w:rPr>
      </w:pPr>
      <w:r w:rsidRPr="00FE0F54">
        <w:rPr>
          <w:rFonts w:ascii="Times New Roman" w:hAnsi="Times New Roman" w:cs="Times New Roman"/>
          <w:b/>
          <w:bCs/>
          <w:sz w:val="28"/>
          <w:szCs w:val="28"/>
        </w:rPr>
        <w:lastRenderedPageBreak/>
        <w:t>1. The architecture of CG-NET</w:t>
      </w:r>
    </w:p>
    <w:p w14:paraId="3E3DCE3D" w14:textId="77777777" w:rsidR="007471BC" w:rsidRPr="006878DC" w:rsidRDefault="007471BC" w:rsidP="007471BC">
      <w:pPr>
        <w:pStyle w:val="BodyText"/>
        <w:jc w:val="center"/>
      </w:pPr>
      <w:r>
        <w:rPr>
          <w:noProof/>
          <w14:ligatures w14:val="standardContextual"/>
        </w:rPr>
        <w:drawing>
          <wp:inline distT="0" distB="0" distL="0" distR="0" wp14:anchorId="694C1F4C" wp14:editId="3D9DC71F">
            <wp:extent cx="2293200" cy="2883600"/>
            <wp:effectExtent l="0" t="0" r="5715" b="0"/>
            <wp:docPr id="679879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79163" name="图片 679879163"/>
                    <pic:cNvPicPr/>
                  </pic:nvPicPr>
                  <pic:blipFill>
                    <a:blip r:embed="rId5">
                      <a:extLst>
                        <a:ext uri="{28A0092B-C50C-407E-A947-70E740481C1C}">
                          <a14:useLocalDpi xmlns:a14="http://schemas.microsoft.com/office/drawing/2010/main" val="0"/>
                        </a:ext>
                      </a:extLst>
                    </a:blip>
                    <a:stretch>
                      <a:fillRect/>
                    </a:stretch>
                  </pic:blipFill>
                  <pic:spPr>
                    <a:xfrm>
                      <a:off x="0" y="0"/>
                      <a:ext cx="2293200" cy="2883600"/>
                    </a:xfrm>
                    <a:prstGeom prst="rect">
                      <a:avLst/>
                    </a:prstGeom>
                  </pic:spPr>
                </pic:pic>
              </a:graphicData>
            </a:graphic>
          </wp:inline>
        </w:drawing>
      </w:r>
    </w:p>
    <w:p w14:paraId="0CAF5ADF" w14:textId="7E9D6D2D" w:rsidR="007471BC" w:rsidRDefault="000B7878" w:rsidP="007471BC">
      <w:pPr>
        <w:pStyle w:val="BodyText"/>
        <w:jc w:val="center"/>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007471BC" w:rsidRPr="006878DC">
        <w:rPr>
          <w:rFonts w:ascii="Times New Roman" w:hAnsi="Times New Roman" w:cs="Times New Roman"/>
          <w:b/>
          <w:bCs/>
          <w:sz w:val="20"/>
          <w:szCs w:val="20"/>
          <w:lang w:eastAsia="zh-CN"/>
        </w:rPr>
        <w:t xml:space="preserve">Figure 1. </w:t>
      </w:r>
      <w:r w:rsidR="007471BC" w:rsidRPr="006878DC">
        <w:rPr>
          <w:rFonts w:ascii="Times New Roman" w:hAnsi="Times New Roman" w:cs="Times New Roman"/>
          <w:sz w:val="20"/>
          <w:szCs w:val="20"/>
          <w:lang w:eastAsia="zh-CN"/>
        </w:rPr>
        <w:t>Schematic of the CG-NET model architecture.</w:t>
      </w:r>
    </w:p>
    <w:p w14:paraId="7E666D19" w14:textId="77777777" w:rsidR="007471BC" w:rsidRPr="007471BC" w:rsidRDefault="007471BC" w:rsidP="007471BC">
      <w:pPr>
        <w:pStyle w:val="BodyText"/>
        <w:jc w:val="center"/>
        <w:rPr>
          <w:rFonts w:ascii="Times New Roman" w:hAnsi="Times New Roman" w:cs="Times New Roman"/>
          <w:sz w:val="20"/>
          <w:szCs w:val="20"/>
          <w:lang w:eastAsia="zh-CN"/>
        </w:rPr>
      </w:pPr>
    </w:p>
    <w:p w14:paraId="527F5CB0" w14:textId="1687CB2C" w:rsidR="00A80469" w:rsidRPr="00A80469" w:rsidRDefault="00024C92" w:rsidP="00F57EA3">
      <w:pPr>
        <w:pStyle w:val="paragraph"/>
        <w:ind w:firstLineChars="200" w:firstLine="480"/>
      </w:pPr>
      <w:r w:rsidRPr="00024C92">
        <w:t xml:space="preserve">The architecture of CG-NET, as shown in </w:t>
      </w:r>
      <w:r w:rsidR="000B7878" w:rsidRPr="000B7878">
        <w:t xml:space="preserve">Supplementary </w:t>
      </w:r>
      <w:r w:rsidRPr="00024C92">
        <w:t>Fig. </w:t>
      </w:r>
      <w:r w:rsidR="00266E33">
        <w:t>1</w:t>
      </w:r>
      <w:r w:rsidRPr="00024C92">
        <w:t xml:space="preserve">, starts from building a cluster graph characterized by a cluster center, denoted as </w:t>
      </w:r>
      <m:oMath>
        <m:r>
          <w:rPr>
            <w:rFonts w:ascii="Cambria Math" w:hAnsi="Cambria Math"/>
          </w:rPr>
          <m:t>G</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cluster</m:t>
            </m:r>
          </m:sub>
        </m:sSub>
        <m:r>
          <m:rPr>
            <m:sty m:val="p"/>
          </m:rPr>
          <w:rPr>
            <w:rFonts w:ascii="Cambria Math" w:hAnsi="Cambria Math"/>
          </w:rPr>
          <m:t>,</m:t>
        </m:r>
        <m:r>
          <w:rPr>
            <w:rFonts w:ascii="Cambria Math" w:hAnsi="Cambria Math"/>
          </w:rPr>
          <m:t>u</m:t>
        </m:r>
        <m:r>
          <m:rPr>
            <m:sty m:val="p"/>
          </m:rPr>
          <w:rPr>
            <w:rFonts w:ascii="Cambria Math" w:hAnsi="Cambria Math"/>
          </w:rPr>
          <m:t>}</m:t>
        </m:r>
      </m:oMath>
      <w:r w:rsidRPr="00024C92">
        <w:t xml:space="preserve">. Herein, </w:t>
      </w:r>
      <m:oMath>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V</m:t>
        </m:r>
      </m:oMath>
      <w:r w:rsidRPr="00024C92">
        <w:t xml:space="preserve"> is the node representing atom </w:t>
      </w:r>
      <m:oMath>
        <m:r>
          <w:rPr>
            <w:rFonts w:ascii="Cambria Math" w:hAnsi="Cambria Math"/>
          </w:rPr>
          <m:t>i</m:t>
        </m:r>
      </m:oMath>
      <w:r w:rsidRPr="00024C92">
        <w:t xml:space="preserve">; </w:t>
      </w:r>
      <m:oMath>
        <m:sSub>
          <m:sSubPr>
            <m:ctrlPr>
              <w:rPr>
                <w:rFonts w:ascii="Cambria Math" w:hAnsi="Cambria Math"/>
              </w:rPr>
            </m:ctrlPr>
          </m:sSubPr>
          <m:e>
            <m:r>
              <w:rPr>
                <w:rFonts w:ascii="Cambria Math" w:hAnsi="Cambria Math"/>
              </w:rPr>
              <m:t>e</m:t>
            </m:r>
          </m:e>
          <m:sub>
            <m:r>
              <w:rPr>
                <w:rFonts w:ascii="Cambria Math" w:hAnsi="Cambria Math"/>
              </w:rPr>
              <m:t>ij</m:t>
            </m:r>
          </m:sub>
        </m:sSub>
        <m:r>
          <m:rPr>
            <m:sty m:val="p"/>
          </m:rPr>
          <w:rPr>
            <w:rFonts w:ascii="Cambria Math" w:hAnsi="Cambria Math"/>
          </w:rPr>
          <m:t>∈</m:t>
        </m:r>
        <m:r>
          <w:rPr>
            <w:rFonts w:ascii="Cambria Math" w:hAnsi="Cambria Math"/>
          </w:rPr>
          <m:t>E</m:t>
        </m:r>
      </m:oMath>
      <w:r w:rsidRPr="00024C92">
        <w:t xml:space="preserve"> is the edge that encapsulates the interactions between atoms </w:t>
      </w:r>
      <m:oMath>
        <m:r>
          <w:rPr>
            <w:rFonts w:ascii="Cambria Math" w:hAnsi="Cambria Math"/>
          </w:rPr>
          <m:t>i</m:t>
        </m:r>
      </m:oMath>
      <w:r w:rsidRPr="00024C92">
        <w:t xml:space="preserve"> and </w:t>
      </w:r>
      <m:oMath>
        <m:r>
          <w:rPr>
            <w:rFonts w:ascii="Cambria Math" w:hAnsi="Cambria Math"/>
          </w:rPr>
          <m:t>j</m:t>
        </m:r>
      </m:oMath>
      <w:r w:rsidRPr="00024C92">
        <w:t xml:space="preserve">; and </w:t>
      </w:r>
      <m:oMath>
        <m:r>
          <w:rPr>
            <w:rFonts w:ascii="Cambria Math" w:hAnsi="Cambria Math"/>
          </w:rPr>
          <m:t>u</m:t>
        </m:r>
      </m:oMath>
      <w:r w:rsidRPr="00024C92">
        <w:t xml:space="preserve"> is the local structural property of the system that is predominantly influenced by short-range interactions induced by the local structure of materials. A key difference from the preceding materials graph frameworks lies in the incorporation of </w:t>
      </w:r>
      <m:oMath>
        <m:sSub>
          <m:sSubPr>
            <m:ctrlPr>
              <w:rPr>
                <w:rFonts w:ascii="Cambria Math" w:hAnsi="Cambria Math"/>
              </w:rPr>
            </m:ctrlPr>
          </m:sSubPr>
          <m:e>
            <m:r>
              <w:rPr>
                <w:rFonts w:ascii="Cambria Math" w:hAnsi="Cambria Math"/>
              </w:rPr>
              <m:t>C</m:t>
            </m:r>
          </m:e>
          <m:sub>
            <m:r>
              <w:rPr>
                <w:rFonts w:ascii="Cambria Math" w:hAnsi="Cambria Math"/>
              </w:rPr>
              <m:t>cluster</m:t>
            </m:r>
          </m:sub>
        </m:sSub>
      </m:oMath>
      <w:r w:rsidRPr="00024C92">
        <w:t xml:space="preserve">, which defines the center of the cluster graph. Subsequently, the material graph is passed to the cluster graph computation module. This module calculates the cluster graph with the cluster center designated as </w:t>
      </w:r>
      <m:oMath>
        <m:sSub>
          <m:sSubPr>
            <m:ctrlPr>
              <w:rPr>
                <w:rFonts w:ascii="Cambria Math" w:hAnsi="Cambria Math"/>
              </w:rPr>
            </m:ctrlPr>
          </m:sSubPr>
          <m:e>
            <m:r>
              <w:rPr>
                <w:rFonts w:ascii="Cambria Math" w:hAnsi="Cambria Math"/>
              </w:rPr>
              <m:t>C</m:t>
            </m:r>
          </m:e>
          <m:sub>
            <m:r>
              <w:rPr>
                <w:rFonts w:ascii="Cambria Math" w:hAnsi="Cambria Math"/>
              </w:rPr>
              <m:t>cluster</m:t>
            </m:r>
          </m:sub>
        </m:sSub>
      </m:oMath>
      <w:r w:rsidRPr="00024C92">
        <w:t xml:space="preserve"> and the cluster size determined by the cluster radius </w:t>
      </w:r>
      <m:oMath>
        <m:sSub>
          <m:sSubPr>
            <m:ctrlPr>
              <w:rPr>
                <w:rFonts w:ascii="Cambria Math" w:hAnsi="Cambria Math"/>
              </w:rPr>
            </m:ctrlPr>
          </m:sSubPr>
          <m:e>
            <m:r>
              <w:rPr>
                <w:rFonts w:ascii="Cambria Math" w:hAnsi="Cambria Math"/>
              </w:rPr>
              <m:t>R</m:t>
            </m:r>
          </m:e>
          <m:sub>
            <m:r>
              <w:rPr>
                <w:rFonts w:ascii="Cambria Math" w:hAnsi="Cambria Math"/>
              </w:rPr>
              <m:t>cluster</m:t>
            </m:r>
          </m:sub>
        </m:sSub>
      </m:oMath>
      <w:r w:rsidRPr="00024C92">
        <w:t xml:space="preserve">. The original material graph undergoes partitioning, delineating nodes and edges </w:t>
      </w:r>
      <m:oMath>
        <m:sSub>
          <m:sSubPr>
            <m:ctrlPr>
              <w:rPr>
                <w:rFonts w:ascii="Cambria Math" w:hAnsi="Cambria Math"/>
              </w:rPr>
            </m:ctrlPr>
          </m:sSubPr>
          <m:e>
            <m:r>
              <w:rPr>
                <w:rFonts w:ascii="Cambria Math" w:hAnsi="Cambria Math"/>
              </w:rPr>
              <m:t>V</m:t>
            </m:r>
          </m:e>
          <m:sub>
            <m:r>
              <w:rPr>
                <w:rFonts w:ascii="Cambria Math" w:hAnsi="Cambria Math"/>
              </w:rPr>
              <m:t>cluster</m:t>
            </m:r>
          </m:sub>
        </m:sSub>
      </m:oMath>
      <w:r w:rsidRPr="00024C92">
        <w:t xml:space="preserve">, </w:t>
      </w:r>
      <m:oMath>
        <m:sSub>
          <m:sSubPr>
            <m:ctrlPr>
              <w:rPr>
                <w:rFonts w:ascii="Cambria Math" w:hAnsi="Cambria Math"/>
              </w:rPr>
            </m:ctrlPr>
          </m:sSubPr>
          <m:e>
            <m:r>
              <w:rPr>
                <w:rFonts w:ascii="Cambria Math" w:hAnsi="Cambria Math"/>
              </w:rPr>
              <m:t>E</m:t>
            </m:r>
          </m:e>
          <m:sub>
            <m:r>
              <w:rPr>
                <w:rFonts w:ascii="Cambria Math" w:hAnsi="Cambria Math"/>
              </w:rPr>
              <m:t>cluster</m:t>
            </m:r>
          </m:sub>
        </m:sSub>
      </m:oMath>
      <w:r w:rsidRPr="00024C92">
        <w:t xml:space="preserve"> within the cluster graph, accompanied by the introduction of pseudo nodes </w:t>
      </w:r>
      <m:oMath>
        <m:sSubSup>
          <m:sSubSupPr>
            <m:ctrlPr>
              <w:rPr>
                <w:rFonts w:ascii="Cambria Math" w:hAnsi="Cambria Math"/>
              </w:rPr>
            </m:ctrlPr>
          </m:sSubSupPr>
          <m:e>
            <m:r>
              <w:rPr>
                <w:rFonts w:ascii="Cambria Math" w:hAnsi="Cambria Math"/>
              </w:rPr>
              <m:t>V</m:t>
            </m:r>
          </m:e>
          <m:sub>
            <m:r>
              <w:rPr>
                <w:rFonts w:ascii="Cambria Math" w:hAnsi="Cambria Math"/>
              </w:rPr>
              <m:t>pseudo</m:t>
            </m:r>
          </m:sub>
          <m:sup>
            <m:r>
              <m:rPr>
                <m:sty m:val="p"/>
              </m:rPr>
              <w:rPr>
                <w:rFonts w:ascii="Cambria Math" w:hAnsi="Cambria Math"/>
              </w:rPr>
              <m:t>'</m:t>
            </m:r>
          </m:sup>
        </m:sSubSup>
      </m:oMath>
      <w:r w:rsidRPr="00024C92">
        <w:t xml:space="preserve"> that exclusively serve as a neighboring list to the nodes within the cluster graph. A graph featurizer is then employed to embed the pair atom distance </w:t>
      </w:r>
      <m:oMath>
        <m:sSub>
          <m:sSubPr>
            <m:ctrlPr>
              <w:rPr>
                <w:rFonts w:ascii="Cambria Math" w:hAnsi="Cambria Math"/>
              </w:rPr>
            </m:ctrlPr>
          </m:sSubPr>
          <m:e>
            <m:r>
              <w:rPr>
                <w:rFonts w:ascii="Cambria Math" w:hAnsi="Cambria Math"/>
              </w:rPr>
              <m:t>r</m:t>
            </m:r>
          </m:e>
          <m:sub>
            <m:r>
              <w:rPr>
                <w:rFonts w:ascii="Cambria Math" w:hAnsi="Cambria Math"/>
              </w:rPr>
              <m:t>ij</m:t>
            </m:r>
          </m:sub>
        </m:sSub>
      </m:oMath>
      <w:r w:rsidRPr="00024C92">
        <w:t xml:space="preserve">, up to a cutoff of </w:t>
      </w:r>
      <m:oMath>
        <m:sSub>
          <m:sSubPr>
            <m:ctrlPr>
              <w:rPr>
                <w:rFonts w:ascii="Cambria Math" w:hAnsi="Cambria Math"/>
              </w:rPr>
            </m:ctrlPr>
          </m:sSubPr>
          <m:e>
            <m:r>
              <w:rPr>
                <w:rFonts w:ascii="Cambria Math" w:hAnsi="Cambria Math"/>
              </w:rPr>
              <m:t>R</m:t>
            </m:r>
          </m:e>
          <m:sub>
            <m:r>
              <w:rPr>
                <w:rFonts w:ascii="Cambria Math" w:hAnsi="Cambria Math"/>
              </w:rPr>
              <m:t>neighbor</m:t>
            </m:r>
          </m:sub>
        </m:sSub>
      </m:oMath>
      <w:r w:rsidRPr="00024C92">
        <w:t xml:space="preserve">, into edge features while integrating element-specific atomic attributes into node features. The standard graph convolution scheme iteratively updates the node and edge features. In the readout phase, </w:t>
      </w:r>
      <w:r w:rsidRPr="00024C92">
        <w:lastRenderedPageBreak/>
        <w:t>node features within the cluster graph are aggregated to obtain the local structural properties. To ensure equitable evaluation against the established CGCNN model, our CG-NET adopts the identical graph featurizer, graph convolution, and readout phase modules as in CGCNN.</w:t>
      </w:r>
    </w:p>
    <w:p w14:paraId="7A8B7C88" w14:textId="3BFAEC5F" w:rsidR="003C0465" w:rsidRPr="00FE0F54" w:rsidRDefault="00921591" w:rsidP="00266E33">
      <w:pPr>
        <w:pStyle w:val="BodyText"/>
        <w:jc w:val="both"/>
        <w:rPr>
          <w:rFonts w:ascii="Times New Roman" w:hAnsi="Times New Roman" w:cs="Times New Roman"/>
          <w:b/>
          <w:bCs/>
          <w:sz w:val="28"/>
          <w:szCs w:val="28"/>
          <w:lang w:eastAsia="zh-CN"/>
        </w:rPr>
      </w:pPr>
      <w:r>
        <w:rPr>
          <w:rFonts w:ascii="Times New Roman" w:hAnsi="Times New Roman" w:cs="Times New Roman"/>
          <w:b/>
          <w:bCs/>
          <w:sz w:val="28"/>
          <w:szCs w:val="28"/>
        </w:rPr>
        <w:t>2</w:t>
      </w:r>
      <w:r w:rsidR="00FE0F54" w:rsidRPr="00FE0F54">
        <w:rPr>
          <w:rFonts w:ascii="Times New Roman" w:hAnsi="Times New Roman" w:cs="Times New Roman"/>
          <w:b/>
          <w:bCs/>
          <w:sz w:val="28"/>
          <w:szCs w:val="28"/>
        </w:rPr>
        <w:t xml:space="preserve">. </w:t>
      </w:r>
      <w:r w:rsidR="00FE0F54" w:rsidRPr="00FE0F54">
        <w:rPr>
          <w:rFonts w:ascii="Times New Roman" w:hAnsi="Times New Roman" w:cs="Times New Roman" w:hint="eastAsia"/>
          <w:b/>
          <w:bCs/>
          <w:sz w:val="28"/>
          <w:szCs w:val="28"/>
        </w:rPr>
        <w:t>T</w:t>
      </w:r>
      <w:r w:rsidR="00FE0F54" w:rsidRPr="00FE0F54">
        <w:rPr>
          <w:rFonts w:ascii="Times New Roman" w:hAnsi="Times New Roman" w:cs="Times New Roman"/>
          <w:b/>
          <w:bCs/>
          <w:sz w:val="28"/>
          <w:szCs w:val="28"/>
        </w:rPr>
        <w:t>he high-entropy alloys dataset</w:t>
      </w:r>
    </w:p>
    <w:p w14:paraId="19205ECA" w14:textId="364CD0B1" w:rsidR="00A50E22" w:rsidRDefault="00024C92" w:rsidP="00C6234F">
      <w:pPr>
        <w:pStyle w:val="paragraph"/>
        <w:ind w:firstLine="420"/>
        <w:rPr>
          <w:rFonts w:cs="Times New Roman"/>
        </w:rPr>
      </w:pPr>
      <w:r w:rsidRPr="006A71EE">
        <w:rPr>
          <w:rFonts w:cs="Times New Roman"/>
        </w:rPr>
        <w:t xml:space="preserve">To generate the high-entropy alloy (HEA) dataset, a series of density functional theory (DFT) calculations </w:t>
      </w:r>
      <w:r w:rsidR="00A50E22">
        <w:rPr>
          <w:rFonts w:cs="Times New Roman"/>
        </w:rPr>
        <w:t>were</w:t>
      </w:r>
      <w:r w:rsidRPr="006A71EE">
        <w:rPr>
          <w:rFonts w:cs="Times New Roman"/>
        </w:rPr>
        <w:t xml:space="preserve"> carried out using the open-source GPAW </w:t>
      </w:r>
      <w:r w:rsidR="00266E33" w:rsidRPr="006A71EE">
        <w:rPr>
          <w:rFonts w:cs="Times New Roman"/>
        </w:rPr>
        <w:t>package</w:t>
      </w:r>
      <w:r w:rsidR="008B1670">
        <w:rPr>
          <w:rFonts w:cs="Times New Roman"/>
        </w:rPr>
        <w:fldChar w:fldCharType="begin"/>
      </w:r>
      <w:r w:rsidR="00425DEF">
        <w:rPr>
          <w:rFonts w:cs="Times New Roman"/>
        </w:rPr>
        <w:instrText xml:space="preserve"> ADDIN ZOTERO_ITEM CSL_CITATION {"citationID":"GXgTi1s6","properties":{"formattedCitation":"\\super 1,2\\nosupersub{}","plainCitation":"1,2","noteIndex":0},"citationItems":[{"id":"OWP6wprF/RzJYjlql","uris":["http://zotero.org/users/9631491/items/LXJGZAJ8"],"itemData":{"id":185,"type":"article-journal","abstract":"A grid-based real-space implementation of the projector augmented wave (PAW) method of Blöchl [Phys. Rev. B 50, 17953 (1994)] for density functional theory (DFT) calculations is presented. The use of uniform three-dimensional (3D) real-space grids for representing wave functions, densities, and potentials allows for flexible boundary conditions, efficient multigrid algorithms for solving Poisson and Kohn-Sham equations, and efficient parallelization using simple real-space domain-decomposition. We use the PAW method to perform all-electron calculations in the frozen core approximation, with smooth valence wave functions that can be represented on relatively coarse grids. We demonstrate the accuracy of the method by calculating the atomization energies of 20 small molecules, and the bulk modulus and lattice constants of bulk aluminum. We show that the approach in terms of computational efficiency is comparable to standard plane-wave methods, but the memory requirements are higher.","container-title":"Physical Review B","DOI":"10.1103/PhysRevB.71.035109","issue":"3","journalAbbreviation":"Phys. Rev. B","note":"publisher: American Physical Society","page":"035109","source":"APS","title":"Real-space grid implementation of the projector augmented wave method","volume":"71","author":[{"family":"Mortensen","given":"J. J."},{"family":"Hansen","given":"L. B."},{"family":"Jacobsen","given":"K. W."}],"issued":{"date-parts":[["2005",1,21]]}}},{"id":"OWP6wprF/BnloNBmx","uris":["http://zotero.org/users/9631491/items/9RELX4W9"],"itemData":{"id":930,"type":"article-journal","abstract":"Electronic structure calculations have become an indispensable tool in many areas of materials science and quantum chemistry. Even though the Kohn–Sham formulation of the density-functional theory (DFT) simplifies the many-body problem significantly, one is still confronted with several numerical challenges. In this article we present the projector augmented-wave (PAW) method as implemented in the GPAW program package (https://wiki.fysik.dtu.dk/gpaw) using a uniform real-space grid representation of the electronic wavefunctions. Compared to more traditional plane wave or localized basis set approaches, real-space grids offer several advantages, most notably good computational scalability and systematic convergence properties. However, as a unique feature GPAW also facilitates a localized atomic-orbital basis set in addition to the grid. The efficient atomic basis set is complementary to the more accurate grid, and the possibility to seamlessly switch between the two representations provides great flexibility. While DFT allows one to study ground state properties, time-dependent density-functional theory (TDDFT) provides access to the excited states. We have implemented the two common formulations of TDDFT, namely the linear-response and the time propagation schemes. Electron transport calculations under finite-bias conditions can be performed with GPAW using non-equilibrium Green functions and the localized basis set. In addition to the basic features of the real-space PAW method, we also describe the implementation of selected exchange–correlation functionals, parallelization schemes, ΔSCF-method, x-ray absorption spectra, and maximally localized Wannier orbitals.","container-title":"Journal of Physics: Condensed Matter","DOI":"10.1088/0953-8984/22/25/253202","ISSN":"0953-8984","issue":"25","journalAbbreviation":"J. Phys.: Condens. Matter","language":"en","note":"publisher: IOP Publishing","page":"253202","source":"Institute of Physics","title":"Electronic structure calculations with GPAW: a real-space implementation of the projector augmented-wave method","title-short":"Electronic structure calculations with GPAW","volume":"22","author":[{"family":"Enkovaara","given":"J."},{"family":"Rostgaard","given":"C."},{"family":"Mortensen","given":"J. J."},{"family":"Chen","given":"J."},{"family":"Du\\lak","given":"M."},{"family":"Ferrighi","given":"L."},{"family":"Gavnholt","given":"J."},{"family":"Glinsvad","given":"C."},{"family":"Haikola","given":"V."},{"family":"Hansen","given":"H. A."},{"family":"Kristoffersen","given":"H. H."},{"family":"Kuisma","given":"M."},{"family":"Larsen","given":"A. H."},{"family":"Lehtovaara","given":"L."},{"family":"Ljungberg","given":"M."},{"family":"Lopez-Acevedo","given":"O."},{"family":"Moses","given":"P. G."},{"family":"Ojanen","given":"J."},{"family":"Olsen","given":"T."},{"family":"Petzold","given":"V."},{"family":"Romero","given":"N. A."},{"family":"Stausholm-Møller","given":"J."},{"family":"Strange","given":"M."},{"family":"Tritsaris","given":"G. A."},{"family":"Vanin","given":"M."},{"family":"Walter","given":"M."},{"family":"Hammer","given":"B."},{"family":"Häkkinen","given":"H."},{"family":"Madsen","given":"G. K. H."},{"family":"Nieminen","given":"R. M."},{"family":"Nørskov","given":"J. K."},{"family":"Puska","given":"M."},{"family":"Rantala","given":"T. T."},{"family":"Schiøtz","given":"J."},{"family":"Thygesen","given":"K. S."},{"family":"Jacobsen","given":"K. W."}],"issued":{"date-parts":[["2010"]]}}}],"schema":"https://github.com/citation-style-language/schema/raw/master/csl-citation.json"} </w:instrText>
      </w:r>
      <w:r w:rsidR="008B1670">
        <w:rPr>
          <w:rFonts w:cs="Times New Roman"/>
        </w:rPr>
        <w:fldChar w:fldCharType="separate"/>
      </w:r>
      <w:r w:rsidR="00C34837" w:rsidRPr="00C34837">
        <w:rPr>
          <w:rFonts w:cs="Times New Roman"/>
          <w:vertAlign w:val="superscript"/>
        </w:rPr>
        <w:t>1,2</w:t>
      </w:r>
      <w:r w:rsidR="008B1670">
        <w:rPr>
          <w:rFonts w:cs="Times New Roman"/>
        </w:rPr>
        <w:fldChar w:fldCharType="end"/>
      </w:r>
      <w:r w:rsidR="00266E33" w:rsidRPr="006A71EE">
        <w:rPr>
          <w:rFonts w:cs="Times New Roman"/>
        </w:rPr>
        <w:t>,</w:t>
      </w:r>
      <w:r w:rsidRPr="006A71EE">
        <w:rPr>
          <w:rFonts w:cs="Times New Roman"/>
        </w:rPr>
        <w:t xml:space="preserve"> which is based on the projector-augmented-wave (PAW) method. </w:t>
      </w:r>
      <w:r w:rsidR="00A50E22" w:rsidRPr="00A50E22">
        <w:rPr>
          <w:rFonts w:cs="Times New Roman"/>
        </w:rPr>
        <w:t>For geometry visualization and analysis, the atomic simulation environment (ASE) package</w:t>
      </w:r>
      <w:r w:rsidR="00A50E22">
        <w:rPr>
          <w:rFonts w:cs="Times New Roman"/>
        </w:rPr>
        <w:fldChar w:fldCharType="begin"/>
      </w:r>
      <w:r w:rsidR="00425DEF">
        <w:rPr>
          <w:rFonts w:cs="Times New Roman"/>
        </w:rPr>
        <w:instrText xml:space="preserve"> ADDIN ZOTERO_ITEM CSL_CITATION {"citationID":"4ClFphpd","properties":{"formattedCitation":"\\super 3\\nosupersub{}","plainCitation":"3","noteIndex":0},"citationItems":[{"id":"OWP6wprF/qYLlf31v","uris":["http://zotero.org/users/9631491/items/C3MTSL8F"],"itemData":{"id":931,"type":"article-journal","abstract":"The atomic simulation environment (ASE) is a software package written in the Python programming language with the aim of setting up, steering, and analyzing atomistic simulations. In ASE, tasks are fully scripted in Python. The powerful syntax of Python combined with the NumPy array library make it possible to perform very complex simulation tasks. For example, a sequence of calculations may be performed with the use of a simple ‘for-loop’ construction. Calculations of energy, forces, stresses and other quantities are performed through interfaces to many external electronic structure codes or force fields using a uniform interface. On top of this calculator interface, ASE provides modules for performing many standard simulation tasks such as structure optimization, molecular dynamics, handling of constraints and performing nudged elastic band calculations.","container-title":"Journal of Physics: Condensed Matter","DOI":"10.1088/1361-648X/aa680e","ISSN":"0953-8984","issue":"27","journalAbbreviation":"J. Phys.: Condens. Matter","language":"en","note":"publisher: IOP Publishing","page":"273002","source":"Institute of Physics","title":"The atomic simulation environment—a Python library for working with atoms","volume":"29","author":[{"family":"Larsen","given":"Ask Hjorth"},{"family":"Mortensen","given":"Jens Jørgen"},{"family":"Blomqvist","given":"Jakob"},{"family":"Castelli","given":"Ivano E."},{"family":"Christensen","given":"Rune"},{"family":"Du\\lak","given":"Marcin"},{"family":"Friis","given":"Jesper"},{"family":"Groves","given":"Michael N."},{"family":"Hammer","given":"Bjørk"},{"family":"Hargus","given":"Cory"},{"family":"Hermes","given":"Eric D."},{"family":"Jennings","given":"Paul C."},{"family":"Jensen","given":"Peter Bjerre"},{"family":"Kermode","given":"James"},{"family":"Kitchin","given":"John R."},{"family":"Kolsbjerg","given":"Esben Leonhard"},{"family":"Kubal","given":"Joseph"},{"family":"Kaasbjerg","given":"Kristen"},{"family":"Lysgaard","given":"Steen"},{"family":"Maronsson","given":"Jón Bergmann"},{"family":"Maxson","given":"Tristan"},{"family":"Olsen","given":"Thomas"},{"family":"Pastewka","given":"Lars"},{"family":"Peterson","given":"Andrew"},{"family":"Rostgaard","given":"Carsten"},{"family":"Schiøtz","given":"Jakob"},{"family":"Schütt","given":"Ole"},{"family":"Strange","given":"Mikkel"},{"family":"Thygesen","given":"Kristian S."},{"family":"Vegge","given":"Tejs"},{"family":"Vilhelmsen","given":"Lasse"},{"family":"Walter","given":"Michael"},{"family":"Zeng","given":"Zhenhua"},{"family":"Jacobsen","given":"Karsten W."}],"issued":{"date-parts":[["2017"]]}}}],"schema":"https://github.com/citation-style-language/schema/raw/master/csl-citation.json"} </w:instrText>
      </w:r>
      <w:r w:rsidR="00A50E22">
        <w:rPr>
          <w:rFonts w:cs="Times New Roman"/>
        </w:rPr>
        <w:fldChar w:fldCharType="separate"/>
      </w:r>
      <w:r w:rsidR="00A50E22" w:rsidRPr="00C34837">
        <w:rPr>
          <w:rFonts w:cs="Times New Roman"/>
          <w:vertAlign w:val="superscript"/>
        </w:rPr>
        <w:t>3</w:t>
      </w:r>
      <w:r w:rsidR="00A50E22">
        <w:rPr>
          <w:rFonts w:cs="Times New Roman"/>
        </w:rPr>
        <w:fldChar w:fldCharType="end"/>
      </w:r>
      <w:r w:rsidR="00A50E22" w:rsidRPr="00A50E22">
        <w:rPr>
          <w:rFonts w:cs="Times New Roman"/>
        </w:rPr>
        <w:t xml:space="preserve"> was employed.</w:t>
      </w:r>
      <w:r w:rsidR="00266E33" w:rsidRPr="006A71EE">
        <w:rPr>
          <w:rFonts w:cs="Times New Roman"/>
        </w:rPr>
        <w:t xml:space="preserve"> </w:t>
      </w:r>
      <w:r w:rsidRPr="006A71EE">
        <w:rPr>
          <w:rFonts w:cs="Times New Roman"/>
        </w:rPr>
        <w:t>The revised Perdew–Burke–Ernzerhof (RPBE) functional</w:t>
      </w:r>
      <w:r w:rsidR="008B1670">
        <w:rPr>
          <w:rFonts w:cs="Times New Roman"/>
        </w:rPr>
        <w:fldChar w:fldCharType="begin"/>
      </w:r>
      <w:r w:rsidR="00425DEF">
        <w:rPr>
          <w:rFonts w:cs="Times New Roman"/>
        </w:rPr>
        <w:instrText xml:space="preserve"> ADDIN ZOTERO_ITEM CSL_CITATION {"citationID":"dD6w6UEE","properties":{"formattedCitation":"\\super 4\\nosupersub{}","plainCitation":"4","noteIndex":0},"citationItems":[{"id":"OWP6wprF/jvD8fJkV","uris":["http://zotero.org/users/9631491/items/SMP5XESV"],"itemData":{"id":936,"type":"article-journal","container-title":"Physical Review B","DOI":"10.1103/PhysRevB.59.7413","ISSN":"0163-1829 1095-3795","issue":"11","note":"section: 7413","page":"7413-7421","title":"Improved adsorption energetics within density-functional theory using revised Perdew-Burke-Ernzerhof functionals","volume":"59","author":[{"family":"Hammer","given":"B."},{"family":"Hansen","given":"L. B."},{"family":"Nørskov","given":"J. K."}],"issued":{"date-parts":[["1999"]]}}}],"schema":"https://github.com/citation-style-language/schema/raw/master/csl-citation.json"} </w:instrText>
      </w:r>
      <w:r w:rsidR="008B1670">
        <w:rPr>
          <w:rFonts w:cs="Times New Roman"/>
        </w:rPr>
        <w:fldChar w:fldCharType="separate"/>
      </w:r>
      <w:r w:rsidR="00C34837" w:rsidRPr="00C34837">
        <w:rPr>
          <w:rFonts w:cs="Times New Roman"/>
          <w:vertAlign w:val="superscript"/>
        </w:rPr>
        <w:t>4</w:t>
      </w:r>
      <w:r w:rsidR="008B1670">
        <w:rPr>
          <w:rFonts w:cs="Times New Roman"/>
        </w:rPr>
        <w:fldChar w:fldCharType="end"/>
      </w:r>
      <w:r w:rsidRPr="006A71EE">
        <w:rPr>
          <w:rFonts w:cs="Times New Roman"/>
        </w:rPr>
        <w:t xml:space="preserve"> </w:t>
      </w:r>
      <w:r w:rsidR="00A50E22">
        <w:rPr>
          <w:rFonts w:cs="Times New Roman"/>
        </w:rPr>
        <w:t>was</w:t>
      </w:r>
      <w:r w:rsidRPr="006A71EE">
        <w:rPr>
          <w:rFonts w:cs="Times New Roman"/>
        </w:rPr>
        <w:t xml:space="preserve"> </w:t>
      </w:r>
      <w:r w:rsidR="00A50E22">
        <w:rPr>
          <w:rFonts w:cs="Times New Roman"/>
        </w:rPr>
        <w:t>used</w:t>
      </w:r>
      <w:r w:rsidRPr="006A71EE">
        <w:rPr>
          <w:rFonts w:cs="Times New Roman"/>
        </w:rPr>
        <w:t xml:space="preserve"> to calculate the exchange and correlation energies.  </w:t>
      </w:r>
      <w:r w:rsidR="00A50E22" w:rsidRPr="00A50E22">
        <w:rPr>
          <w:rFonts w:cs="Times New Roman"/>
        </w:rPr>
        <w:t>All calculations were performed with a plane-wave basis set and an energy cutoff of 500 eV</w:t>
      </w:r>
      <w:r w:rsidRPr="006A71EE">
        <w:rPr>
          <w:rFonts w:cs="Times New Roman"/>
        </w:rPr>
        <w:t xml:space="preserve">. The Fermi-level smearing width </w:t>
      </w:r>
      <w:r w:rsidR="00A50E22">
        <w:rPr>
          <w:rFonts w:cs="Times New Roman"/>
        </w:rPr>
        <w:t>was</w:t>
      </w:r>
      <w:r w:rsidRPr="006A71EE">
        <w:rPr>
          <w:rFonts w:cs="Times New Roman"/>
        </w:rPr>
        <w:t xml:space="preserve"> set to 0.1 eV. </w:t>
      </w:r>
      <w:r w:rsidR="00A50E22" w:rsidRPr="00A50E22">
        <w:rPr>
          <w:rFonts w:cs="Times New Roman"/>
        </w:rPr>
        <w:t>The HEA</w:t>
      </w:r>
      <w:r w:rsidR="00BF7F4B">
        <w:rPr>
          <w:rFonts w:cs="Times New Roman"/>
        </w:rPr>
        <w:t>s</w:t>
      </w:r>
      <w:r w:rsidR="00A50E22" w:rsidRPr="00A50E22">
        <w:rPr>
          <w:rFonts w:cs="Times New Roman"/>
        </w:rPr>
        <w:t xml:space="preserve"> model consisted of a face-centered cubic lattice with 36 atoms, using average compositions of AgAuAlCuPt, AgAuCuPdPt, and CoCuGaNiZn.</w:t>
      </w:r>
      <w:r w:rsidRPr="006A71EE">
        <w:rPr>
          <w:rFonts w:cs="Times New Roman"/>
        </w:rPr>
        <w:t xml:space="preserve"> Initially, the lattice parameters of each element in HEA</w:t>
      </w:r>
      <w:r w:rsidR="00BF7F4B">
        <w:rPr>
          <w:rFonts w:cs="Times New Roman"/>
        </w:rPr>
        <w:t>s</w:t>
      </w:r>
      <w:r w:rsidRPr="006A71EE">
        <w:rPr>
          <w:rFonts w:cs="Times New Roman"/>
        </w:rPr>
        <w:t xml:space="preserve"> </w:t>
      </w:r>
      <w:r w:rsidR="00A50E22">
        <w:rPr>
          <w:rFonts w:cs="Times New Roman"/>
        </w:rPr>
        <w:t>were</w:t>
      </w:r>
      <w:r w:rsidRPr="006A71EE">
        <w:rPr>
          <w:rFonts w:cs="Times New Roman"/>
        </w:rPr>
        <w:t xml:space="preserve"> calculated using a primitive fcc unit cell and a Monkhorst-Pack k-point sampling of at least </w:t>
      </w:r>
      <w:r w:rsidR="0053199C" w:rsidRPr="006A71EE">
        <w:rPr>
          <w:rFonts w:cs="Times New Roman"/>
        </w:rPr>
        <w:t>12×12×12</w:t>
      </w:r>
      <w:r w:rsidRPr="006A71EE">
        <w:rPr>
          <w:rFonts w:cs="Times New Roman"/>
        </w:rPr>
        <w:t xml:space="preserve">, </w:t>
      </w:r>
      <w:r w:rsidR="00A50E22">
        <w:rPr>
          <w:rFonts w:cs="Times New Roman"/>
        </w:rPr>
        <w:t>as detailed</w:t>
      </w:r>
      <w:r w:rsidRPr="006A71EE">
        <w:rPr>
          <w:rFonts w:cs="Times New Roman"/>
        </w:rPr>
        <w:t xml:space="preserve"> in </w:t>
      </w:r>
      <w:r w:rsidR="000B7878" w:rsidRPr="000B7878">
        <w:rPr>
          <w:rFonts w:cs="Times New Roman"/>
        </w:rPr>
        <w:t xml:space="preserve">Supplementary </w:t>
      </w:r>
      <w:r w:rsidRPr="006A71EE">
        <w:rPr>
          <w:rFonts w:cs="Times New Roman"/>
        </w:rPr>
        <w:t>Table </w:t>
      </w:r>
      <w:r w:rsidR="0053199C" w:rsidRPr="006A71EE">
        <w:rPr>
          <w:rFonts w:cs="Times New Roman"/>
        </w:rPr>
        <w:t>1.</w:t>
      </w:r>
      <w:r w:rsidRPr="006A71EE">
        <w:rPr>
          <w:rFonts w:cs="Times New Roman"/>
        </w:rPr>
        <w:t xml:space="preserve"> </w:t>
      </w:r>
      <w:r w:rsidR="00A50E22" w:rsidRPr="00A50E22">
        <w:rPr>
          <w:rFonts w:cs="Times New Roman"/>
        </w:rPr>
        <w:t xml:space="preserve">Based on </w:t>
      </w:r>
      <w:r w:rsidR="00A50E22" w:rsidRPr="00B27DBE">
        <w:rPr>
          <w:rFonts w:cs="Times New Roman"/>
        </w:rPr>
        <w:t>Vegard’s law</w:t>
      </w:r>
      <w:r w:rsidR="00A50E22" w:rsidRPr="00B27DBE">
        <w:rPr>
          <w:rFonts w:cs="Times New Roman"/>
        </w:rPr>
        <w:fldChar w:fldCharType="begin"/>
      </w:r>
      <w:r w:rsidR="00425DEF">
        <w:rPr>
          <w:rFonts w:cs="Times New Roman"/>
        </w:rPr>
        <w:instrText xml:space="preserve"> ADDIN ZOTERO_ITEM CSL_CITATION {"citationID":"OZgQXZ7D","properties":{"formattedCitation":"\\super 5\\nosupersub{}","plainCitation":"5","noteIndex":0},"citationItems":[{"id":"OWP6wprF/mYH9sJsW","uris":["http://zotero.org/users/9631491/items/GB3VGLCZ"],"itemData":{"id":929,"type":"article-journal","abstract":"Vegard’s law is an approximate empirical rule which holds that a linear relation exists, at constant temperature, between the crystal lattice constant of an alloy and the concentrations of the constituent elements. Applications of a density-functional theory of nonuniform fluid mixtures to the fluid-solid transition of simple binary mixtures of hard spheres demonstrates the importance of relative atomic sizes in determining lattice constants and suggests that for sufficiently small disparities in atomic size Vegard’s law may also hold along the fluid-solid coexistence curve.","container-title":"Physical Review A","DOI":"10.1103/PhysRevA.43.3161","issue":"6","journalAbbreviation":"Phys. Rev. A","note":"publisher: American Physical Society","page":"3161-3164","source":"APS","title":"Vegard's law","volume":"43","author":[{"family":"Denton","given":"A. R."},{"family":"Ashcroft","given":"N. W."}],"issued":{"date-parts":[["1991",3,1]]}}}],"schema":"https://github.com/citation-style-language/schema/raw/master/csl-citation.json"} </w:instrText>
      </w:r>
      <w:r w:rsidR="00A50E22" w:rsidRPr="00B27DBE">
        <w:rPr>
          <w:rFonts w:cs="Times New Roman"/>
        </w:rPr>
        <w:fldChar w:fldCharType="separate"/>
      </w:r>
      <w:r w:rsidR="00A50E22" w:rsidRPr="00B27DBE">
        <w:rPr>
          <w:rFonts w:cs="Times New Roman"/>
          <w:vertAlign w:val="superscript"/>
        </w:rPr>
        <w:t>5</w:t>
      </w:r>
      <w:r w:rsidR="00A50E22" w:rsidRPr="00B27DBE">
        <w:rPr>
          <w:rFonts w:cs="Times New Roman"/>
        </w:rPr>
        <w:fldChar w:fldCharType="end"/>
      </w:r>
      <w:r w:rsidR="00A50E22" w:rsidRPr="00B27DBE">
        <w:rPr>
          <w:rFonts w:cs="Times New Roman"/>
        </w:rPr>
        <w:t xml:space="preserve">, a lattice parameter of 3.7 Å, </w:t>
      </w:r>
      <w:r w:rsidR="00DD5AFD" w:rsidRPr="00B27DBE">
        <w:rPr>
          <w:rFonts w:cs="Times New Roman"/>
        </w:rPr>
        <w:t>4.0</w:t>
      </w:r>
      <w:r w:rsidR="00A50E22" w:rsidRPr="00B27DBE">
        <w:rPr>
          <w:rFonts w:cs="Times New Roman"/>
        </w:rPr>
        <w:t xml:space="preserve"> Å, and 3.</w:t>
      </w:r>
      <w:r w:rsidR="00DD5AFD" w:rsidRPr="00B27DBE">
        <w:rPr>
          <w:rFonts w:cs="Times New Roman"/>
        </w:rPr>
        <w:t>8</w:t>
      </w:r>
      <w:r w:rsidR="00A50E22" w:rsidRPr="00B27DBE">
        <w:rPr>
          <w:rFonts w:cs="Times New Roman"/>
        </w:rPr>
        <w:t xml:space="preserve"> Å was subsequently adopted for each unit cell of AgAuAlCuPt, AgAuCuPdPt, and CoCuGaNiZn </w:t>
      </w:r>
      <w:r w:rsidR="00BF7F4B" w:rsidRPr="00B27DBE">
        <w:rPr>
          <w:rFonts w:cs="Times New Roman"/>
        </w:rPr>
        <w:t xml:space="preserve">HEAs </w:t>
      </w:r>
      <w:r w:rsidR="00A50E22" w:rsidRPr="00B27DBE">
        <w:rPr>
          <w:rFonts w:cs="Times New Roman"/>
        </w:rPr>
        <w:t>throughout the study.</w:t>
      </w:r>
      <w:r w:rsidRPr="006A71EE">
        <w:rPr>
          <w:rFonts w:cs="Times New Roman"/>
        </w:rPr>
        <w:t> </w:t>
      </w:r>
      <w:r w:rsidR="00A50E22" w:rsidRPr="00A50E22">
        <w:rPr>
          <w:rFonts w:cs="Times New Roman"/>
        </w:rPr>
        <w:t>The atomic positions and lattice parameters were optimized until the force components were reduced to less than 0.05 eV/Å.</w:t>
      </w:r>
      <w:r w:rsidRPr="006A71EE">
        <w:rPr>
          <w:rFonts w:cs="Times New Roman"/>
        </w:rPr>
        <w:t xml:space="preserve"> </w:t>
      </w:r>
    </w:p>
    <w:p w14:paraId="315DED36" w14:textId="62253EB2" w:rsidR="00024C92" w:rsidRPr="006A71EE" w:rsidRDefault="00BF7F4B" w:rsidP="00C6234F">
      <w:pPr>
        <w:pStyle w:val="paragraph"/>
        <w:ind w:firstLine="420"/>
        <w:rPr>
          <w:rFonts w:cs="Times New Roman"/>
        </w:rPr>
      </w:pPr>
      <w:r w:rsidRPr="00BF7F4B">
        <w:rPr>
          <w:rFonts w:cs="Times New Roman"/>
        </w:rPr>
        <w:t>To explore the electrocatalytic properties of the surface, a four-layer HEA</w:t>
      </w:r>
      <w:r>
        <w:rPr>
          <w:rFonts w:cs="Times New Roman"/>
        </w:rPr>
        <w:t>s</w:t>
      </w:r>
      <w:r w:rsidRPr="00BF7F4B">
        <w:rPr>
          <w:rFonts w:cs="Times New Roman"/>
        </w:rPr>
        <w:t xml:space="preserve"> slab with dimensions of 3×4 on the fcc (111) surface was generated.</w:t>
      </w:r>
      <w:r w:rsidR="00024C92" w:rsidRPr="006A71EE">
        <w:rPr>
          <w:rFonts w:cs="Times New Roman"/>
        </w:rPr>
        <w:t xml:space="preserve"> The bottom two layers </w:t>
      </w:r>
      <w:r>
        <w:rPr>
          <w:rFonts w:cs="Times New Roman"/>
        </w:rPr>
        <w:t>were</w:t>
      </w:r>
      <w:r w:rsidR="00024C92" w:rsidRPr="006A71EE">
        <w:rPr>
          <w:rFonts w:cs="Times New Roman"/>
        </w:rPr>
        <w:t xml:space="preserve"> constrained to bulk positions, while the top two layers </w:t>
      </w:r>
      <w:r>
        <w:rPr>
          <w:rFonts w:cs="Times New Roman"/>
        </w:rPr>
        <w:t>were</w:t>
      </w:r>
      <w:r w:rsidR="00024C92" w:rsidRPr="006A71EE">
        <w:rPr>
          <w:rFonts w:cs="Times New Roman"/>
        </w:rPr>
        <w:t xml:space="preserve"> allowed to relax. </w:t>
      </w:r>
      <w:r w:rsidRPr="00BF7F4B">
        <w:rPr>
          <w:rFonts w:cs="Times New Roman"/>
        </w:rPr>
        <w:t>Monkhorst-Pack 4×4×1 k-point grids were used to sample the Brillouin zone.</w:t>
      </w:r>
      <w:r w:rsidR="00024C92" w:rsidRPr="006A71EE">
        <w:rPr>
          <w:rFonts w:cs="Times New Roman"/>
        </w:rPr>
        <w:t xml:space="preserve"> To prevent spurious interactions between periodic images, a vacuum of 10 Å </w:t>
      </w:r>
      <w:r>
        <w:rPr>
          <w:rFonts w:cs="Times New Roman"/>
        </w:rPr>
        <w:t>was</w:t>
      </w:r>
      <w:r w:rsidR="00024C92" w:rsidRPr="006A71EE">
        <w:rPr>
          <w:rFonts w:cs="Times New Roman"/>
        </w:rPr>
        <w:t xml:space="preserve"> added on both sides of the slab, and a dipole correction </w:t>
      </w:r>
      <w:r>
        <w:rPr>
          <w:rFonts w:cs="Times New Roman"/>
        </w:rPr>
        <w:t>were</w:t>
      </w:r>
      <w:r w:rsidR="00024C92" w:rsidRPr="006A71EE">
        <w:rPr>
          <w:rFonts w:cs="Times New Roman"/>
        </w:rPr>
        <w:t xml:space="preserve"> employed. </w:t>
      </w:r>
      <w:r w:rsidRPr="00BF7F4B">
        <w:rPr>
          <w:rFonts w:cs="Times New Roman"/>
        </w:rPr>
        <w:t xml:space="preserve">The energies of gas-phase reference molecules, including </w:t>
      </w:r>
      <m:oMath>
        <m:r>
          <m:rPr>
            <m:nor/>
          </m:rPr>
          <w:rPr>
            <w:rFonts w:cs="Times New Roman"/>
          </w:rPr>
          <m:t>C</m:t>
        </m:r>
        <m:sSub>
          <m:sSubPr>
            <m:ctrlPr>
              <w:rPr>
                <w:rFonts w:ascii="Cambria Math" w:hAnsi="Cambria Math" w:cs="Times New Roman"/>
              </w:rPr>
            </m:ctrlPr>
          </m:sSubPr>
          <m:e>
            <m:r>
              <m:rPr>
                <m:nor/>
              </m:rPr>
              <w:rPr>
                <w:rFonts w:cs="Times New Roman"/>
              </w:rPr>
              <m:t>O</m:t>
            </m:r>
          </m:e>
          <m:sub>
            <m:r>
              <m:rPr>
                <m:nor/>
              </m:rPr>
              <w:rPr>
                <w:rFonts w:cs="Times New Roman"/>
              </w:rPr>
              <m:t>2</m:t>
            </m:r>
          </m:sub>
        </m:sSub>
      </m:oMath>
      <w:r w:rsidRPr="006A71EE">
        <w:rPr>
          <w:rFonts w:cs="Times New Roman"/>
        </w:rPr>
        <w:t xml:space="preserve"> and </w:t>
      </w:r>
      <m:oMath>
        <m:sSub>
          <m:sSubPr>
            <m:ctrlPr>
              <w:rPr>
                <w:rFonts w:ascii="Cambria Math" w:hAnsi="Cambria Math" w:cs="Times New Roman"/>
              </w:rPr>
            </m:ctrlPr>
          </m:sSubPr>
          <m:e>
            <m:r>
              <m:rPr>
                <m:nor/>
              </m:rPr>
              <w:rPr>
                <w:rFonts w:cs="Times New Roman"/>
              </w:rPr>
              <m:t>H</m:t>
            </m:r>
          </m:e>
          <m:sub>
            <m:r>
              <m:rPr>
                <m:nor/>
              </m:rPr>
              <w:rPr>
                <w:rFonts w:cs="Times New Roman"/>
              </w:rPr>
              <m:t>2</m:t>
            </m:r>
          </m:sub>
        </m:sSub>
      </m:oMath>
      <w:r>
        <w:rPr>
          <w:rFonts w:cs="Times New Roman"/>
        </w:rPr>
        <w:t>,</w:t>
      </w:r>
      <w:r w:rsidRPr="00BF7F4B">
        <w:rPr>
          <w:rFonts w:cs="Times New Roman"/>
        </w:rPr>
        <w:t xml:space="preserve"> were calculated in identical supercells with the same DFT parameters as the slabs.</w:t>
      </w:r>
      <w:r w:rsidR="00024C92" w:rsidRPr="006A71EE">
        <w:rPr>
          <w:rFonts w:cs="Times New Roman"/>
        </w:rPr>
        <w:t xml:space="preserve"> The adsorption binding energies of </w:t>
      </w:r>
      <m:oMath>
        <m:r>
          <m:rPr>
            <m:nor/>
          </m:rPr>
          <w:rPr>
            <w:rFonts w:cs="Times New Roman"/>
          </w:rPr>
          <m:t>CO</m:t>
        </m:r>
      </m:oMath>
      <w:r w:rsidR="00024C92" w:rsidRPr="006A71EE">
        <w:rPr>
          <w:rFonts w:cs="Times New Roman"/>
        </w:rPr>
        <w:t xml:space="preserve">, </w:t>
      </w:r>
      <m:oMath>
        <m:r>
          <m:rPr>
            <m:nor/>
          </m:rPr>
          <w:rPr>
            <w:rFonts w:cs="Times New Roman"/>
          </w:rPr>
          <m:t>COOH</m:t>
        </m:r>
      </m:oMath>
      <w:r w:rsidR="00024C92" w:rsidRPr="006A71EE">
        <w:rPr>
          <w:rFonts w:cs="Times New Roman"/>
        </w:rPr>
        <w:t xml:space="preserve">, </w:t>
      </w:r>
      <m:oMath>
        <m:r>
          <m:rPr>
            <m:nor/>
          </m:rPr>
          <w:rPr>
            <w:rFonts w:cs="Times New Roman"/>
          </w:rPr>
          <m:t>CHO</m:t>
        </m:r>
      </m:oMath>
      <w:r w:rsidR="00024C92" w:rsidRPr="006A71EE">
        <w:rPr>
          <w:rFonts w:cs="Times New Roman"/>
        </w:rPr>
        <w:t xml:space="preserve">, </w:t>
      </w:r>
      <m:oMath>
        <m:r>
          <m:rPr>
            <m:nor/>
          </m:rPr>
          <w:rPr>
            <w:rFonts w:cs="Times New Roman"/>
          </w:rPr>
          <m:t>COH</m:t>
        </m:r>
      </m:oMath>
      <w:r w:rsidR="00024C92" w:rsidRPr="006A71EE">
        <w:rPr>
          <w:rFonts w:cs="Times New Roman"/>
        </w:rPr>
        <w:t xml:space="preserve">, and </w:t>
      </w:r>
      <m:oMath>
        <m:r>
          <m:rPr>
            <m:nor/>
          </m:rPr>
          <w:rPr>
            <w:rFonts w:cs="Times New Roman"/>
          </w:rPr>
          <m:t>H</m:t>
        </m:r>
      </m:oMath>
      <w:r w:rsidR="00024C92" w:rsidRPr="006A71EE">
        <w:rPr>
          <w:rFonts w:cs="Times New Roman"/>
        </w:rPr>
        <w:t xml:space="preserve"> </w:t>
      </w:r>
      <w:r>
        <w:rPr>
          <w:rFonts w:cs="Times New Roman"/>
        </w:rPr>
        <w:t>were</w:t>
      </w:r>
      <w:r w:rsidR="00024C92" w:rsidRPr="006A71EE">
        <w:rPr>
          <w:rFonts w:cs="Times New Roman"/>
        </w:rPr>
        <w:t xml:space="preserve"> calculated as follows:</w:t>
      </w:r>
    </w:p>
    <w:p w14:paraId="7B620E80" w14:textId="77777777" w:rsidR="00024C92" w:rsidRDefault="00C46CB9" w:rsidP="00266E33">
      <w:pPr>
        <w:pStyle w:val="paragraph"/>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m:rPr>
                        <m:sty m:val="p"/>
                      </m:rPr>
                      <w:rPr>
                        <w:rFonts w:ascii="Cambria Math" w:hAnsi="Cambria Math"/>
                      </w:rPr>
                      <m:t>CO</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*CO</m:t>
                    </m:r>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CO</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d>
                          <m:dPr>
                            <m:ctrlPr>
                              <w:rPr>
                                <w:rFonts w:ascii="Cambria Math" w:hAnsi="Cambria Math"/>
                              </w:rPr>
                            </m:ctrlPr>
                          </m:dPr>
                          <m:e>
                            <m:r>
                              <w:rPr>
                                <w:rFonts w:ascii="Cambria Math" w:hAnsi="Cambria Math"/>
                              </w:rPr>
                              <m:t>g</m:t>
                            </m:r>
                          </m:e>
                        </m:d>
                      </m:sub>
                    </m:sSub>
                  </m:e>
                </m:d>
              </m:e>
            </m:mr>
            <m:mr>
              <m:e/>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m:rPr>
                        <m:sty m:val="p"/>
                      </m:rPr>
                      <w:rPr>
                        <w:rFonts w:ascii="Cambria Math" w:hAnsi="Cambria Math"/>
                      </w:rPr>
                      <m:t>COOH</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*COOH</m:t>
                    </m:r>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COOH</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d>
                          <m:dPr>
                            <m:ctrlPr>
                              <w:rPr>
                                <w:rFonts w:ascii="Cambria Math" w:hAnsi="Cambria Math"/>
                              </w:rPr>
                            </m:ctrlPr>
                          </m:dPr>
                          <m:e>
                            <m:r>
                              <w:rPr>
                                <w:rFonts w:ascii="Cambria Math" w:hAnsi="Cambria Math"/>
                              </w:rPr>
                              <m:t>g</m:t>
                            </m:r>
                          </m:e>
                        </m:d>
                      </m:sub>
                    </m:sSub>
                  </m:e>
                </m:d>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2E</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d>
                          <m:dPr>
                            <m:ctrlPr>
                              <w:rPr>
                                <w:rFonts w:ascii="Cambria Math" w:hAnsi="Cambria Math"/>
                              </w:rPr>
                            </m:ctrlPr>
                          </m:dPr>
                          <m:e>
                            <m:r>
                              <w:rPr>
                                <w:rFonts w:ascii="Cambria Math" w:hAnsi="Cambria Math"/>
                              </w:rPr>
                              <m:t>g</m:t>
                            </m:r>
                          </m:e>
                        </m:d>
                      </m:sub>
                    </m:sSub>
                  </m:e>
                </m:d>
              </m:e>
            </m:mr>
            <m:mr>
              <m:e/>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m:rPr>
                        <m:sty m:val="p"/>
                      </m:rPr>
                      <w:rPr>
                        <w:rFonts w:ascii="Cambria Math" w:hAnsi="Cambria Math"/>
                      </w:rPr>
                      <m:t>CHO</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*CHO</m:t>
                    </m:r>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CHO</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d>
                          <m:dPr>
                            <m:ctrlPr>
                              <w:rPr>
                                <w:rFonts w:ascii="Cambria Math" w:hAnsi="Cambria Math"/>
                              </w:rPr>
                            </m:ctrlPr>
                          </m:dPr>
                          <m:e>
                            <m:r>
                              <w:rPr>
                                <w:rFonts w:ascii="Cambria Math" w:hAnsi="Cambria Math"/>
                              </w:rPr>
                              <m:t>g</m:t>
                            </m:r>
                          </m:e>
                        </m:d>
                      </m:sub>
                    </m:sSub>
                  </m:e>
                </m:d>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2E</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d>
                          <m:dPr>
                            <m:ctrlPr>
                              <w:rPr>
                                <w:rFonts w:ascii="Cambria Math" w:hAnsi="Cambria Math"/>
                              </w:rPr>
                            </m:ctrlPr>
                          </m:dPr>
                          <m:e>
                            <m:r>
                              <w:rPr>
                                <w:rFonts w:ascii="Cambria Math" w:hAnsi="Cambria Math"/>
                              </w:rPr>
                              <m:t>g</m:t>
                            </m:r>
                          </m:e>
                        </m:d>
                      </m:sub>
                    </m:sSub>
                  </m:e>
                </m:d>
              </m:e>
            </m:mr>
            <m:mr>
              <m:e/>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m:rPr>
                        <m:sty m:val="p"/>
                      </m:rPr>
                      <w:rPr>
                        <w:rFonts w:ascii="Cambria Math" w:hAnsi="Cambria Math"/>
                      </w:rPr>
                      <m:t>COH</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*COH</m:t>
                    </m:r>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COH</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m:rPr>
                            <m:sty m:val="p"/>
                          </m:rPr>
                          <w:rPr>
                            <w:rFonts w:ascii="Cambria Math" w:hAnsi="Cambria Math"/>
                          </w:rPr>
                          <m:t>CO</m:t>
                        </m:r>
                      </m:e>
                      <m:sub>
                        <m:d>
                          <m:dPr>
                            <m:ctrlPr>
                              <w:rPr>
                                <w:rFonts w:ascii="Cambria Math" w:hAnsi="Cambria Math"/>
                              </w:rPr>
                            </m:ctrlPr>
                          </m:dPr>
                          <m:e>
                            <m:r>
                              <w:rPr>
                                <w:rFonts w:ascii="Cambria Math" w:hAnsi="Cambria Math"/>
                              </w:rPr>
                              <m:t>g</m:t>
                            </m:r>
                          </m:e>
                        </m:d>
                      </m:sub>
                    </m:sSub>
                  </m:e>
                </m:d>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2E</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d>
                          <m:dPr>
                            <m:ctrlPr>
                              <w:rPr>
                                <w:rFonts w:ascii="Cambria Math" w:hAnsi="Cambria Math"/>
                              </w:rPr>
                            </m:ctrlPr>
                          </m:dPr>
                          <m:e>
                            <m:r>
                              <w:rPr>
                                <w:rFonts w:ascii="Cambria Math" w:hAnsi="Cambria Math"/>
                              </w:rPr>
                              <m:t>g</m:t>
                            </m:r>
                          </m:e>
                        </m:d>
                      </m:sub>
                    </m:sSub>
                  </m:e>
                </m:d>
              </m:e>
            </m:mr>
            <m:mr>
              <m:e/>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m:rPr>
                        <m:sty m:val="p"/>
                      </m:rPr>
                      <w:rPr>
                        <w:rFonts w:ascii="Cambria Math" w:hAnsi="Cambria Math"/>
                      </w:rPr>
                      <m:t>H</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*H</m:t>
                    </m:r>
                  </m:e>
                </m:d>
                <m:r>
                  <m:rPr>
                    <m:sty m:val="p"/>
                  </m:rPr>
                  <w:rPr>
                    <w:rFonts w:ascii="Cambria Math" w:hAnsi="Cambria Math"/>
                  </w:rPr>
                  <m:t>-</m:t>
                </m:r>
                <m:r>
                  <w:rPr>
                    <w:rFonts w:ascii="Cambria Math" w:hAnsi="Cambria Math"/>
                  </w:rPr>
                  <m:t>E</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2E</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d>
                          <m:dPr>
                            <m:ctrlPr>
                              <w:rPr>
                                <w:rFonts w:ascii="Cambria Math" w:hAnsi="Cambria Math"/>
                              </w:rPr>
                            </m:ctrlPr>
                          </m:dPr>
                          <m:e>
                            <m:r>
                              <w:rPr>
                                <w:rFonts w:ascii="Cambria Math" w:hAnsi="Cambria Math"/>
                              </w:rPr>
                              <m:t>g</m:t>
                            </m:r>
                          </m:e>
                        </m:d>
                      </m:sub>
                    </m:sSub>
                  </m:e>
                </m:d>
              </m:e>
            </m:mr>
          </m:m>
        </m:oMath>
      </m:oMathPara>
    </w:p>
    <w:p w14:paraId="7BD33530" w14:textId="4DE386C1" w:rsidR="00024C92" w:rsidRDefault="00024C92" w:rsidP="00266E33">
      <w:pPr>
        <w:pStyle w:val="paragraph"/>
      </w:pPr>
      <w:r>
        <w:t xml:space="preserve">where </w:t>
      </w:r>
      <m:oMath>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oMath>
      <w:r>
        <w:t xml:space="preserve"> indicates a solvation correction to the calculated adsorbate energy, with </w:t>
      </w:r>
      <m:oMath>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COOH</m:t>
            </m:r>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COH</m:t>
            </m:r>
          </m:e>
        </m:d>
        <m:r>
          <m:rPr>
            <m:sty m:val="p"/>
          </m:rPr>
          <w:rPr>
            <w:rFonts w:ascii="Cambria Math" w:hAnsi="Cambria Math"/>
          </w:rPr>
          <m:t>=-</m:t>
        </m:r>
        <m:r>
          <w:rPr>
            <w:rFonts w:ascii="Cambria Math" w:hAnsi="Cambria Math"/>
          </w:rPr>
          <m:t>0.25 </m:t>
        </m:r>
        <m:r>
          <m:rPr>
            <m:sty m:val="p"/>
          </m:rPr>
          <w:rPr>
            <w:rFonts w:ascii="Cambria Math" w:hAnsi="Cambria Math"/>
          </w:rPr>
          <m:t>eV</m:t>
        </m:r>
      </m:oMath>
      <w:r>
        <w:t xml:space="preserve"> and </w:t>
      </w:r>
      <m:oMath>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CO</m:t>
            </m:r>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E</m:t>
            </m:r>
          </m:e>
          <m:sub>
            <m:r>
              <w:rPr>
                <w:rFonts w:ascii="Cambria Math" w:hAnsi="Cambria Math"/>
              </w:rPr>
              <m:t>sol</m:t>
            </m:r>
          </m:sub>
        </m:sSub>
        <m:d>
          <m:dPr>
            <m:ctrlPr>
              <w:rPr>
                <w:rFonts w:ascii="Cambria Math" w:hAnsi="Cambria Math"/>
              </w:rPr>
            </m:ctrlPr>
          </m:dPr>
          <m:e>
            <m:r>
              <m:rPr>
                <m:sty m:val="p"/>
              </m:rPr>
              <w:rPr>
                <w:rFonts w:ascii="Cambria Math" w:hAnsi="Cambria Math"/>
              </w:rPr>
              <m:t>CHO</m:t>
            </m:r>
          </m:e>
        </m:d>
        <m:r>
          <m:rPr>
            <m:sty m:val="p"/>
          </m:rPr>
          <w:rPr>
            <w:rFonts w:ascii="Cambria Math" w:hAnsi="Cambria Math"/>
          </w:rPr>
          <m:t>=-</m:t>
        </m:r>
        <m:r>
          <w:rPr>
            <w:rFonts w:ascii="Cambria Math" w:hAnsi="Cambria Math"/>
          </w:rPr>
          <m:t>0.1 </m:t>
        </m:r>
        <m:r>
          <m:rPr>
            <m:sty m:val="p"/>
          </m:rPr>
          <w:rPr>
            <w:rFonts w:ascii="Cambria Math" w:hAnsi="Cambria Math"/>
          </w:rPr>
          <m:t>eV</m:t>
        </m:r>
      </m:oMath>
      <w:r>
        <w:t xml:space="preserve">. </w:t>
      </w:r>
      <w:r w:rsidR="008B1670">
        <w:fldChar w:fldCharType="begin"/>
      </w:r>
      <w:r w:rsidR="00425DEF">
        <w:instrText xml:space="preserve"> ADDIN ZOTERO_ITEM CSL_CITATION {"citationID":"3qaksoKH","properties":{"formattedCitation":"\\super 6,7\\nosupersub{}","plainCitation":"6,7","noteIndex":0},"citationItems":[{"id":"OWP6wprF/PDFyvj9T","uris":["http://zotero.org/users/9631491/items/DSIWRYXL"],"itemData":{"id":913,"type":"article-journal","abstract":"The electrochemical reduction of CO2 into hydrocarbons and alcohols would allow renewable energy sources to be converted into fuels and chemicals. However, no electrode catalysts have been developed that can perform this transformation with a low overpotential at reasonable current densities. In this work, we compare trends in binding energies for the intermediates in CO2 electrochemical reduction and present an activity “volcano” based on this analysis. This analysis describes the experimentally observed variations in transition-metal catalysts, including why copper is the best-known metal electrocatalyst. The protonation of adsorbed CO is singled out as the most important step dictating the overpotential. New strategies are presented for the discovery of catalysts that can operate with a reduced overpotential.","container-title":"The Journal of Physical Chemistry Letters","DOI":"10.1021/jz201461p","issue":"2","journalAbbreviation":"J. Phys. Chem. Lett.","note":"publisher: American Chemical Society","page":"251-258","source":"ACS Publications","title":"Activity Descriptors for CO2 Electroreduction to Methane on Transition-Metal Catalysts","volume":"3","author":[{"family":"Peterson","given":"Andrew A."},{"family":"Nørskov","given":"Jens K."}],"issued":{"date-parts":[["2012",1,19]]}}},{"id":"OWP6wprF/9K3HQJS3","uris":["http://zotero.org/users/9631491/items/5XQCHY7Q"],"itemData":{"id":944,"type":"article-journal","abstract":"Linear scaling relations between reaction intermediates pose a fundamental limitation to the CO2 reduction activity of transition-metal catalysts. To design improved catalysts, we propose to break these scaling relations by binding key reaction intermediates to different sites. Using density functional theory, we demonstrate this principle in the active edge sites in MoS2, MoSe2, and Ni-doped MoS2. These edges show the unique property of selectively binding COOH and CHO to bridging S or Se atoms and CO to the metal atom. DFT calculations suggest a significant improvement in CO2 reduction activity over the transition metals. Our results point to the broader application of the active edge sites of transition-metal dichalcogenides in complex electrochemical processes.","container-title":"ChemCatChem","DOI":"10.1002/cctc.201402128","ISSN":"1867-3899","issue":"7","language":"en","note":"_eprint: https://onlinelibrary.wiley.com/doi/pdf/10.1002/cctc.201402128","page":"1899-1905","source":"Wiley Online Library","title":"Molybdenum Sulfides and Selenides as Possible Electrocatalysts for CO2 Reduction","volume":"6","author":[{"family":"Chan","given":"Karen"},{"family":"Tsai","given":"Charlie"},{"family":"Hansen","given":"Heine A."},{"family":"Nørskov","given":"Jens K."}],"issued":{"date-parts":[["2014"]]}}}],"schema":"https://github.com/citation-style-language/schema/raw/master/csl-citation.json"} </w:instrText>
      </w:r>
      <w:r w:rsidR="008B1670">
        <w:fldChar w:fldCharType="separate"/>
      </w:r>
      <w:r w:rsidR="00C34837" w:rsidRPr="00C34837">
        <w:rPr>
          <w:rFonts w:cs="Times New Roman"/>
          <w:vertAlign w:val="superscript"/>
        </w:rPr>
        <w:t>6,7</w:t>
      </w:r>
      <w:r w:rsidR="008B1670">
        <w:fldChar w:fldCharType="end"/>
      </w:r>
      <w:r w:rsidR="007A61EE" w:rsidRPr="007A61EE">
        <w:rPr>
          <w:rFonts w:eastAsiaTheme="minorEastAsia" w:cs="Times New Roman"/>
          <w:sz w:val="20"/>
          <w:szCs w:val="20"/>
          <w:lang w:eastAsia="zh-CN"/>
        </w:rPr>
        <w:t xml:space="preserve"> </w:t>
      </w:r>
      <w:r w:rsidR="007A61EE" w:rsidRPr="007A61EE">
        <w:t xml:space="preserve">The </w:t>
      </w:r>
      <w:r w:rsidR="007A61EE">
        <w:t>l</w:t>
      </w:r>
      <w:r w:rsidR="007A61EE" w:rsidRPr="007A61EE">
        <w:t>inear scaling relationships for the CO</w:t>
      </w:r>
      <w:r w:rsidR="007A61EE" w:rsidRPr="007A61EE">
        <w:rPr>
          <w:vertAlign w:val="subscript"/>
        </w:rPr>
        <w:t>2</w:t>
      </w:r>
      <w:r w:rsidR="007A61EE" w:rsidRPr="007A61EE">
        <w:t>RR and HER intermediates on the fcc (111) surface of pristine metals</w:t>
      </w:r>
      <w:r w:rsidR="007A61EE">
        <w:t xml:space="preserve"> are shown in </w:t>
      </w:r>
      <w:r w:rsidR="007A61EE" w:rsidRPr="007A61EE">
        <w:t>Supplementary</w:t>
      </w:r>
      <w:r w:rsidR="007A61EE">
        <w:t xml:space="preserve"> Fig. </w:t>
      </w:r>
      <w:r w:rsidR="005F054C">
        <w:t>3</w:t>
      </w:r>
      <w:r w:rsidR="007A61EE">
        <w:t>.</w:t>
      </w:r>
    </w:p>
    <w:p w14:paraId="6D5A0425" w14:textId="7EC8C8BB" w:rsidR="00921591" w:rsidRDefault="00024C92" w:rsidP="00EE2D79">
      <w:pPr>
        <w:pStyle w:val="paragraph"/>
        <w:ind w:firstLineChars="200" w:firstLine="480"/>
        <w:rPr>
          <w:rFonts w:cs="Times New Roman"/>
        </w:rPr>
      </w:pPr>
      <w:r>
        <w:t>There are numerous potential local environments for on-top and fcc hollow sites on</w:t>
      </w:r>
      <w:r w:rsidR="00457EB2">
        <w:t xml:space="preserve"> the surface of</w:t>
      </w:r>
      <w:r>
        <w:t xml:space="preserve"> HEAs. The nearest neighbors of </w:t>
      </w:r>
      <w:r w:rsidR="00486AFF">
        <w:t>an</w:t>
      </w:r>
      <w:r>
        <w:t xml:space="preserve"> on-top site, for instance, consist of six atoms on the surface and three subsurface atoms (as shown in </w:t>
      </w:r>
      <w:r w:rsidR="000B7878" w:rsidRPr="000B7878">
        <w:t xml:space="preserve">Supplementary </w:t>
      </w:r>
      <w:r>
        <w:t>Fig. </w:t>
      </w:r>
      <w:r w:rsidR="00085512">
        <w:t>9</w:t>
      </w:r>
      <w:r>
        <w:t>a</w:t>
      </w:r>
      <w:r w:rsidR="000B1DE6">
        <w:t>, left</w:t>
      </w:r>
      <w:r>
        <w:t xml:space="preserve">), </w:t>
      </w:r>
      <w:r w:rsidR="009E56D2" w:rsidRPr="009E56D2">
        <w:t>leading to an immense</w:t>
      </w:r>
      <w:r>
        <w:t xml:space="preserve"> total of </w:t>
      </w:r>
      <m:oMath>
        <m:sSup>
          <m:sSupPr>
            <m:ctrlPr>
              <w:rPr>
                <w:rFonts w:ascii="Cambria Math" w:hAnsi="Cambria Math" w:cs="Times New Roman"/>
              </w:rPr>
            </m:ctrlPr>
          </m:sSupPr>
          <m:e>
            <m:r>
              <m:rPr>
                <m:nor/>
              </m:rPr>
              <w:rPr>
                <w:rFonts w:cs="Times New Roman"/>
              </w:rPr>
              <m:t>5</m:t>
            </m:r>
          </m:e>
          <m:sup>
            <m:r>
              <m:rPr>
                <m:nor/>
              </m:rPr>
              <w:rPr>
                <w:rFonts w:cs="Times New Roman"/>
              </w:rPr>
              <m:t>10</m:t>
            </m:r>
          </m:sup>
        </m:sSup>
        <m:r>
          <m:rPr>
            <m:nor/>
          </m:rPr>
          <w:rPr>
            <w:rFonts w:cs="Times New Roman"/>
          </w:rPr>
          <m:t>=9,765,625</m:t>
        </m:r>
      </m:oMath>
      <w:r>
        <w:t xml:space="preserve"> different local environments. </w:t>
      </w:r>
      <w:r w:rsidR="009E56D2" w:rsidRPr="009E56D2">
        <w:t>However, many of these sites are symmetrically equivalent.</w:t>
      </w:r>
      <w:r>
        <w:t xml:space="preserve"> Similarly, the fcc hollow site (as shown in </w:t>
      </w:r>
      <w:r w:rsidR="000B7878" w:rsidRPr="000B7878">
        <w:t xml:space="preserve">Supplementary </w:t>
      </w:r>
      <w:r>
        <w:t>Fig. </w:t>
      </w:r>
      <w:r w:rsidR="00085512">
        <w:t>9</w:t>
      </w:r>
      <w:r w:rsidR="000B1DE6">
        <w:t>a, right</w:t>
      </w:r>
      <w:r>
        <w:t>) comprises three metal atoms</w:t>
      </w:r>
      <w:r w:rsidR="009E56D2">
        <w:t>,</w:t>
      </w:r>
      <w:r>
        <w:t xml:space="preserve"> </w:t>
      </w:r>
      <w:r w:rsidR="009E56D2" w:rsidRPr="009E56D2">
        <w:t>whose</w:t>
      </w:r>
      <w:r w:rsidR="009E56D2">
        <w:t xml:space="preserve"> </w:t>
      </w:r>
      <w:r>
        <w:t xml:space="preserve">nearest neighbors </w:t>
      </w:r>
      <w:r w:rsidR="009E56D2">
        <w:t xml:space="preserve">could be </w:t>
      </w:r>
      <w:r>
        <w:t>classified into different zones based on their coordination to the adsorption site</w:t>
      </w:r>
      <w:r w:rsidR="009E56D2">
        <w:t>,</w:t>
      </w:r>
      <w:r>
        <w:t xml:space="preserve"> </w:t>
      </w:r>
      <w:r w:rsidR="00D17972" w:rsidRPr="00D17972">
        <w:t>resulting in an even larger number of potential configurations</w:t>
      </w:r>
      <w:r>
        <w:t xml:space="preserve">. </w:t>
      </w:r>
      <w:r w:rsidR="00D17972" w:rsidRPr="00D17972">
        <w:t>The sheer number of these structures is too vast for comprehensive DFT computations.</w:t>
      </w:r>
      <w:r>
        <w:t xml:space="preserve"> </w:t>
      </w:r>
      <w:r w:rsidR="00D17972" w:rsidRPr="00D17972">
        <w:t>Nonetheless, a smaller subset of DFT calculations can still yield statistically significant results.</w:t>
      </w:r>
      <w:r>
        <w:t xml:space="preserve"> By applying </w:t>
      </w:r>
      <w:r w:rsidR="00D17972" w:rsidRPr="00D17972">
        <w:t>these</w:t>
      </w:r>
      <w:r w:rsidR="00D17972">
        <w:t xml:space="preserve"> </w:t>
      </w:r>
      <w:r>
        <w:t xml:space="preserve">calculated energies to the machine learning model, we </w:t>
      </w:r>
      <w:r w:rsidR="00DA4BCC">
        <w:t>can</w:t>
      </w:r>
      <w:r>
        <w:t xml:space="preserve"> theoretically predict the adsorption energies of all possible local environments.</w:t>
      </w:r>
      <w:r w:rsidR="00096364">
        <w:t xml:space="preserve"> </w:t>
      </w:r>
      <w:r w:rsidR="00DA4BCC" w:rsidRPr="00DA4BCC">
        <w:t xml:space="preserve">In this study, we primarily focus on </w:t>
      </w:r>
      <w:r w:rsidR="00DA4BCC">
        <w:t xml:space="preserve">the catalytic properties of </w:t>
      </w:r>
      <w:r w:rsidR="00DA4BCC" w:rsidRPr="00DA4BCC">
        <w:t>AgAuAlCuPt HEAs.</w:t>
      </w:r>
      <w:r w:rsidR="00096364">
        <w:rPr>
          <w:rFonts w:cs="Times New Roman"/>
        </w:rPr>
        <w:t xml:space="preserve"> </w:t>
      </w:r>
      <w:r w:rsidR="00537C23">
        <w:rPr>
          <w:rFonts w:eastAsiaTheme="minorEastAsia" w:cs="Times New Roman" w:hint="eastAsia"/>
          <w:lang w:eastAsia="zh-CN"/>
        </w:rPr>
        <w:t>W</w:t>
      </w:r>
      <w:r w:rsidR="00DA4BCC" w:rsidRPr="00DA4BCC">
        <w:rPr>
          <w:rFonts w:cs="Times New Roman"/>
        </w:rPr>
        <w:t>e also include AgAuCuPdPt and CoCuGaNiZn HEAs</w:t>
      </w:r>
      <w:r w:rsidR="00DA4BCC">
        <w:rPr>
          <w:rFonts w:cs="Times New Roman"/>
        </w:rPr>
        <w:t xml:space="preserve">, which </w:t>
      </w:r>
      <w:r w:rsidR="00C61759">
        <w:rPr>
          <w:rFonts w:cs="Times New Roman"/>
        </w:rPr>
        <w:t xml:space="preserve">have </w:t>
      </w:r>
      <w:r w:rsidR="00C61759" w:rsidRPr="00C61759">
        <w:rPr>
          <w:rFonts w:cs="Times New Roman"/>
        </w:rPr>
        <w:t>previously</w:t>
      </w:r>
      <w:r w:rsidR="00C61759">
        <w:rPr>
          <w:rFonts w:cs="Times New Roman"/>
        </w:rPr>
        <w:t xml:space="preserve"> </w:t>
      </w:r>
      <w:r w:rsidR="007877DF">
        <w:rPr>
          <w:rFonts w:cs="Times New Roman"/>
        </w:rPr>
        <w:t xml:space="preserve">been </w:t>
      </w:r>
      <w:r w:rsidR="007877DF" w:rsidRPr="007877DF">
        <w:rPr>
          <w:rFonts w:cs="Times New Roman"/>
        </w:rPr>
        <w:t>investigated</w:t>
      </w:r>
      <w:r w:rsidR="007877DF">
        <w:rPr>
          <w:rFonts w:cs="Times New Roman"/>
        </w:rPr>
        <w:t xml:space="preserve"> </w:t>
      </w:r>
      <w:r w:rsidR="00C61759">
        <w:rPr>
          <w:rFonts w:cs="Times New Roman"/>
        </w:rPr>
        <w:t>as promising CO</w:t>
      </w:r>
      <w:r w:rsidR="00C61759" w:rsidRPr="00C61759">
        <w:rPr>
          <w:rFonts w:cs="Times New Roman"/>
          <w:vertAlign w:val="subscript"/>
        </w:rPr>
        <w:t>2</w:t>
      </w:r>
      <w:r w:rsidR="00C61759">
        <w:rPr>
          <w:rFonts w:cs="Times New Roman"/>
        </w:rPr>
        <w:t xml:space="preserve">RR electrocatalysts </w:t>
      </w:r>
      <w:r w:rsidR="00DA4BCC">
        <w:rPr>
          <w:rFonts w:cs="Times New Roman"/>
        </w:rPr>
        <w:t xml:space="preserve">in </w:t>
      </w:r>
      <w:r w:rsidR="00C61759">
        <w:rPr>
          <w:rFonts w:cs="Times New Roman"/>
        </w:rPr>
        <w:t>earlier</w:t>
      </w:r>
      <w:r w:rsidR="00DA4BCC">
        <w:rPr>
          <w:rFonts w:cs="Times New Roman"/>
        </w:rPr>
        <w:t xml:space="preserve"> studies</w:t>
      </w:r>
      <w:r w:rsidR="00096364">
        <w:rPr>
          <w:rFonts w:cs="Times New Roman"/>
        </w:rPr>
        <w:t>.</w:t>
      </w:r>
      <w:r w:rsidR="00091A4F">
        <w:rPr>
          <w:rFonts w:cs="Times New Roman"/>
        </w:rPr>
        <w:fldChar w:fldCharType="begin"/>
      </w:r>
      <w:r w:rsidR="00425DEF">
        <w:rPr>
          <w:rFonts w:cs="Times New Roman"/>
        </w:rPr>
        <w:instrText xml:space="preserve"> ADDIN ZOTERO_ITEM CSL_CITATION {"citationID":"S5JWKHP5","properties":{"formattedCitation":"\\super 8,9\\nosupersub{}","plainCitation":"8,9","noteIndex":0},"citationItems":[{"id":"OWP6wprF/hN4bf3qO","uris":["http://zotero.org/users/9631491/items/BNFN7E7Q"],"itemData":{"id":462,"type":"article-journal","container-title":"ACS Catalysis","DOI":"10.1021/acscatal.9b04343","ISSN":"2155-5435 2155-5435","issue":"3","note":"section: 2169","page":"2169-2176","title":"High-Entropy Alloys as Catalysts for the CO2 and CO Reduction Reactions","volume":"10","author":[{"family":"Pedersen","given":"Jack K."},{"family":"Batchelor","given":"Thomas A. A."},{"family":"Bagger","given":"Alexander"},{"family":"Rossmeisl","given":"Jan"}],"issued":{"date-parts":[["2020"]]}}},{"id":"OWP6wprF/z0YCakh6","uris":["http://zotero.org/users/9631491/items/27ASVCPB"],"itemData":{"id":457,"type":"article-journal","container-title":"ACS Catalysis","DOI":"10.1021/acscatal.9b04302","ISSN":"2155-5435 2155-5435","issue":"6","note":"section: 3658","page":"3658-3663","title":"High-Entropy Alloys as Catalysts for the CO2 and CO Reduction Reactions: Experimental Realization","volume":"10","author":[{"family":"Nellaiappan","given":"Subramanian"},{"family":"Katiyar","given":"Nirmal Kumar"},{"family":"Kumar","given":"Ritesh"},{"family":"Parui","given":"Arko"},{"family":"Malviya","given":"Kirtiman Deo"},{"family":"Pradeep","given":"K. G."},{"family":"Singh","given":"Abhishek K."},{"family":"Sharma","given":"Sudhanshu"},{"family":"Tiwary","given":"Chandra Sekhar"},{"family":"Biswas","given":"Krishanu"}],"issued":{"date-parts":[["2020"]]}}}],"schema":"https://github.com/citation-style-language/schema/raw/master/csl-citation.json"} </w:instrText>
      </w:r>
      <w:r w:rsidR="00091A4F">
        <w:rPr>
          <w:rFonts w:cs="Times New Roman"/>
        </w:rPr>
        <w:fldChar w:fldCharType="separate"/>
      </w:r>
      <w:r w:rsidR="00091A4F" w:rsidRPr="00091A4F">
        <w:rPr>
          <w:rFonts w:cs="Times New Roman"/>
          <w:vertAlign w:val="superscript"/>
        </w:rPr>
        <w:t>8,9</w:t>
      </w:r>
      <w:r w:rsidR="00091A4F">
        <w:rPr>
          <w:rFonts w:cs="Times New Roman"/>
        </w:rPr>
        <w:fldChar w:fldCharType="end"/>
      </w:r>
      <w:r w:rsidR="00096364">
        <w:rPr>
          <w:rFonts w:cs="Times New Roman"/>
        </w:rPr>
        <w:t xml:space="preserve"> </w:t>
      </w:r>
      <w:r w:rsidR="00DA4BCC" w:rsidRPr="00DA4BCC">
        <w:t xml:space="preserve">To this end, </w:t>
      </w:r>
      <w:r w:rsidR="00DA4BCC">
        <w:t xml:space="preserve">all </w:t>
      </w:r>
      <w:r w:rsidR="00DA4BCC" w:rsidRPr="00DA4BCC">
        <w:t xml:space="preserve">HEA slabs </w:t>
      </w:r>
      <w:r w:rsidR="00DA4BCC">
        <w:t xml:space="preserve">in the dataset </w:t>
      </w:r>
      <w:r w:rsidR="00DA4BCC" w:rsidRPr="00DA4BCC">
        <w:t>are generated at random</w:t>
      </w:r>
      <w:r w:rsidRPr="006A71EE">
        <w:rPr>
          <w:rFonts w:cs="Times New Roman"/>
        </w:rPr>
        <w:t xml:space="preserve">. </w:t>
      </w:r>
      <w:r w:rsidR="00DA4BCC" w:rsidRPr="00DA4BCC">
        <w:rPr>
          <w:rFonts w:cs="Times New Roman"/>
        </w:rPr>
        <w:t>For each HEA system, a total of 500 adsorption energies are calculated for the *CO, *COOH, and *COH species on on-top sites.</w:t>
      </w:r>
      <w:r w:rsidR="00DA4BCC">
        <w:rPr>
          <w:rFonts w:cs="Times New Roman"/>
        </w:rPr>
        <w:t xml:space="preserve"> A total of 1000</w:t>
      </w:r>
      <w:r w:rsidRPr="006A71EE">
        <w:rPr>
          <w:rFonts w:cs="Times New Roman"/>
        </w:rPr>
        <w:t xml:space="preserve"> adsorption energies for</w:t>
      </w:r>
      <w:r w:rsidR="00DA4BCC">
        <w:rPr>
          <w:rFonts w:cs="Times New Roman"/>
        </w:rPr>
        <w:t xml:space="preserve"> the</w:t>
      </w:r>
      <w:r w:rsidRPr="006A71EE">
        <w:rPr>
          <w:rFonts w:cs="Times New Roman"/>
        </w:rPr>
        <w:t xml:space="preserve"> </w:t>
      </w:r>
      <m:oMath>
        <m:r>
          <m:rPr>
            <m:nor/>
          </m:rPr>
          <w:rPr>
            <w:rFonts w:cs="Times New Roman"/>
          </w:rPr>
          <m:t>*COH</m:t>
        </m:r>
      </m:oMath>
      <w:r w:rsidRPr="006A71EE">
        <w:rPr>
          <w:rFonts w:cs="Times New Roman"/>
        </w:rPr>
        <w:t xml:space="preserve"> and </w:t>
      </w:r>
      <m:oMath>
        <m:r>
          <m:rPr>
            <m:nor/>
          </m:rPr>
          <w:rPr>
            <w:rFonts w:cs="Times New Roman"/>
          </w:rPr>
          <m:t>*H</m:t>
        </m:r>
      </m:oMath>
      <w:r w:rsidRPr="006A71EE">
        <w:rPr>
          <w:rFonts w:cs="Times New Roman"/>
        </w:rPr>
        <w:t xml:space="preserve"> species on fcc hollow sites are calculated, given the greater number of possible nearest neighbor sites. All </w:t>
      </w:r>
      <w:r w:rsidR="00E14C82">
        <w:rPr>
          <w:rFonts w:cs="Times New Roman"/>
        </w:rPr>
        <w:t>initial and final</w:t>
      </w:r>
      <w:r w:rsidRPr="006A71EE">
        <w:rPr>
          <w:rFonts w:cs="Times New Roman"/>
        </w:rPr>
        <w:t xml:space="preserve"> structures</w:t>
      </w:r>
      <w:r w:rsidR="00E14C82">
        <w:rPr>
          <w:rFonts w:cs="Times New Roman"/>
        </w:rPr>
        <w:t xml:space="preserve"> from the relaxed trajectories,</w:t>
      </w:r>
      <w:r w:rsidRPr="006A71EE">
        <w:rPr>
          <w:rFonts w:cs="Times New Roman"/>
        </w:rPr>
        <w:t xml:space="preserve"> </w:t>
      </w:r>
      <w:r w:rsidR="00E14C82">
        <w:rPr>
          <w:rFonts w:cs="Times New Roman"/>
        </w:rPr>
        <w:t>along with</w:t>
      </w:r>
      <w:r w:rsidRPr="006A71EE">
        <w:rPr>
          <w:rFonts w:cs="Times New Roman"/>
        </w:rPr>
        <w:t xml:space="preserve"> their corresponding adsorption energies from these calculations</w:t>
      </w:r>
      <w:r w:rsidR="00E14C82">
        <w:rPr>
          <w:rFonts w:cs="Times New Roman"/>
        </w:rPr>
        <w:t>,</w:t>
      </w:r>
      <w:r w:rsidRPr="006A71EE">
        <w:rPr>
          <w:rFonts w:cs="Times New Roman"/>
        </w:rPr>
        <w:t xml:space="preserve"> are included in the generation of HEA datasets, resulting in 16</w:t>
      </w:r>
      <w:r w:rsidR="002875ED">
        <w:rPr>
          <w:rFonts w:cs="Times New Roman"/>
        </w:rPr>
        <w:t>,03</w:t>
      </w:r>
      <w:r w:rsidR="000B09EE">
        <w:rPr>
          <w:rFonts w:cs="Times New Roman"/>
        </w:rPr>
        <w:t>3</w:t>
      </w:r>
      <w:r w:rsidRPr="006A71EE">
        <w:rPr>
          <w:rFonts w:cs="Times New Roman"/>
        </w:rPr>
        <w:t xml:space="preserve"> </w:t>
      </w:r>
      <w:r w:rsidR="00CD250D">
        <w:rPr>
          <w:rFonts w:cs="Times New Roman"/>
        </w:rPr>
        <w:t>samples</w:t>
      </w:r>
      <w:r w:rsidRPr="006A71EE">
        <w:rPr>
          <w:rFonts w:cs="Times New Roman"/>
        </w:rPr>
        <w:t>.</w:t>
      </w:r>
    </w:p>
    <w:p w14:paraId="17FF8192" w14:textId="084A4E41" w:rsidR="00BD76AB" w:rsidRPr="00FE0F54" w:rsidRDefault="00921591" w:rsidP="00266E33">
      <w:pPr>
        <w:pStyle w:val="BodyText"/>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FE0F54">
        <w:rPr>
          <w:rFonts w:ascii="Times New Roman" w:hAnsi="Times New Roman" w:cs="Times New Roman"/>
          <w:b/>
          <w:bCs/>
          <w:sz w:val="28"/>
          <w:szCs w:val="28"/>
        </w:rPr>
        <w:t xml:space="preserve">. </w:t>
      </w:r>
      <w:r w:rsidR="00FE0F54" w:rsidRPr="00FE0F54">
        <w:rPr>
          <w:rFonts w:ascii="Times New Roman" w:hAnsi="Times New Roman" w:cs="Times New Roman"/>
          <w:b/>
          <w:bCs/>
          <w:sz w:val="28"/>
          <w:szCs w:val="28"/>
        </w:rPr>
        <w:t>Model training</w:t>
      </w:r>
    </w:p>
    <w:p w14:paraId="0909C092" w14:textId="56C85232" w:rsidR="00BB6794" w:rsidRDefault="00024C92" w:rsidP="00BB6794">
      <w:pPr>
        <w:pStyle w:val="paragraph"/>
        <w:ind w:firstLine="420"/>
      </w:pPr>
      <w:r>
        <w:t>We employ three distinct datasets to evaluate the performance of the CG-NET: the high-entropy alloy (HEA), two-dimensional impurity (2D-impurity) datasets</w:t>
      </w:r>
      <w:r w:rsidR="009C0EF7">
        <w:t xml:space="preserve">, the </w:t>
      </w:r>
      <w:r w:rsidR="009C0EF7" w:rsidRPr="009C0EF7">
        <w:t>Open Catalyst 2020 (OC20) dataset</w:t>
      </w:r>
      <w:r w:rsidR="009C0EF7">
        <w:t xml:space="preserve">, and </w:t>
      </w:r>
      <w:r w:rsidR="009C0EF7" w:rsidRPr="009C0EF7">
        <w:t>the open DAC 2023 (ODAC23) dataset</w:t>
      </w:r>
      <w:r>
        <w:t xml:space="preserve">. The HEA dataset is constructed in-house, </w:t>
      </w:r>
      <w:r w:rsidR="007510FA">
        <w:t>as</w:t>
      </w:r>
      <w:r>
        <w:t xml:space="preserve"> detail</w:t>
      </w:r>
      <w:r w:rsidR="007510FA">
        <w:t>ed</w:t>
      </w:r>
      <w:r>
        <w:t xml:space="preserve"> in the previous section. For the </w:t>
      </w:r>
      <w:r w:rsidR="005F054C" w:rsidRPr="009C0EF7">
        <w:t>OC20</w:t>
      </w:r>
      <w:r w:rsidR="005F054C">
        <w:t xml:space="preserve"> </w:t>
      </w:r>
      <w:r>
        <w:t xml:space="preserve">dataset, we utilize the 200K split dataset of the S2EF task, consisting of 200,000 samples with both atomic configurations and corresponding adsorption energies. We filter the </w:t>
      </w:r>
      <w:r w:rsidR="005F054C" w:rsidRPr="009C0EF7">
        <w:t>OC20</w:t>
      </w:r>
      <w:r w:rsidR="005F054C">
        <w:t xml:space="preserve"> </w:t>
      </w:r>
      <w:r>
        <w:t>dataset to exclud</w:t>
      </w:r>
      <w:r w:rsidR="005F054C">
        <w:t>e</w:t>
      </w:r>
      <w:r>
        <w:t xml:space="preserve"> any potential anomalies such as dissociation, desorption of adsorbate, or surface reconstruction. Additionally, we impose a restriction on the adsorption energy, limiting it to values between -10 eV and 10 eV to exclude unreasonable results and prevent significant deviations within the dataset. As a result, the modified </w:t>
      </w:r>
      <w:r w:rsidR="005F054C" w:rsidRPr="009C0EF7">
        <w:t>OC20</w:t>
      </w:r>
      <w:r w:rsidR="005F054C">
        <w:t xml:space="preserve"> </w:t>
      </w:r>
      <w:r>
        <w:t>dataset consists of 130,75</w:t>
      </w:r>
      <w:r w:rsidR="006B1332">
        <w:t>8</w:t>
      </w:r>
      <w:r>
        <w:t xml:space="preserve"> samples. For the 2D-impurity dataset, we </w:t>
      </w:r>
      <w:r w:rsidR="005F054C">
        <w:t xml:space="preserve">also </w:t>
      </w:r>
      <w:r>
        <w:t>restrict the</w:t>
      </w:r>
      <w:r w:rsidR="005F054C">
        <w:t xml:space="preserve"> formation</w:t>
      </w:r>
      <w:r>
        <w:t xml:space="preserve"> energ</w:t>
      </w:r>
      <w:r w:rsidR="005F054C">
        <w:t>ies</w:t>
      </w:r>
      <w:r>
        <w:t xml:space="preserve"> </w:t>
      </w:r>
      <w:r w:rsidR="005F054C">
        <w:t xml:space="preserve">of impurities </w:t>
      </w:r>
      <w:r>
        <w:t>to values between -10 eV and 10 eV</w:t>
      </w:r>
      <w:r w:rsidR="00C015CA">
        <w:t>, yielding</w:t>
      </w:r>
      <w:r>
        <w:t xml:space="preserve"> 9,96</w:t>
      </w:r>
      <w:r w:rsidR="00F73491">
        <w:t>2</w:t>
      </w:r>
      <w:r>
        <w:t xml:space="preserve"> samples. </w:t>
      </w:r>
      <w:r w:rsidR="00C015CA" w:rsidRPr="00C015CA">
        <w:t xml:space="preserve">The ODAC23 dataset initially contains 162,220 </w:t>
      </w:r>
      <w:r w:rsidR="00CD250D">
        <w:t>structures</w:t>
      </w:r>
      <w:r w:rsidR="00C015CA" w:rsidRPr="00C015CA">
        <w:t>.</w:t>
      </w:r>
      <w:r w:rsidR="007510FA">
        <w:t xml:space="preserve"> </w:t>
      </w:r>
      <w:r w:rsidR="00C015CA" w:rsidRPr="00C015CA">
        <w:t>Due to the large crystal structures involved in each sample and the need to avoid excessive training time</w:t>
      </w:r>
      <w:r w:rsidR="007510FA">
        <w:t xml:space="preserve">, </w:t>
      </w:r>
      <w:r w:rsidR="00C015CA" w:rsidRPr="00C015CA">
        <w:t>we randomly select 20,000 datapoints from the original dataset for training.</w:t>
      </w:r>
      <w:r w:rsidR="007510FA">
        <w:t xml:space="preserve"> </w:t>
      </w:r>
      <w:r w:rsidR="00C015CA" w:rsidRPr="00C015CA">
        <w:t>We confirmed that this sample size is sufficient to achieve reliable results by training the model with similar subsets of 10,000, 30,000, and 40,000 samples, as illustrated in Supplementary Fig. 4.</w:t>
      </w:r>
      <w:r w:rsidR="00555303">
        <w:t xml:space="preserve"> </w:t>
      </w:r>
      <w:r>
        <w:t xml:space="preserve">Initially, these </w:t>
      </w:r>
      <w:r w:rsidR="00C015CA">
        <w:t>Four</w:t>
      </w:r>
      <w:r>
        <w:t xml:space="preserve"> datasets are subjected to a random partition, with allocation into a training set (60%), validation set (20%) and test set (20%). Next, we proceed with the training and supervision of the CG-NET model, as illustrated in </w:t>
      </w:r>
      <w:r w:rsidR="000B7878" w:rsidRPr="000B7878">
        <w:t xml:space="preserve">Supplementary </w:t>
      </w:r>
      <w:r>
        <w:t>Fig.</w:t>
      </w:r>
      <w:r w:rsidR="0053199C">
        <w:t xml:space="preserve"> 1,</w:t>
      </w:r>
      <w:r>
        <w:t xml:space="preserve"> utilizing the training and validation datasets. The training process involves minimizing the mean squared error (MSE) as the loss function with the </w:t>
      </w:r>
      <w:r w:rsidR="008B1670" w:rsidRPr="008B1670">
        <w:t xml:space="preserve">stochastic gradient descent </w:t>
      </w:r>
      <w:r w:rsidR="008B1670">
        <w:t>(</w:t>
      </w:r>
      <w:r>
        <w:t>SGD</w:t>
      </w:r>
      <w:r w:rsidR="008B1670">
        <w:t>)</w:t>
      </w:r>
      <w:r>
        <w:t xml:space="preserve"> optimizer</w:t>
      </w:r>
      <w:r w:rsidR="008B1670">
        <w:fldChar w:fldCharType="begin"/>
      </w:r>
      <w:r w:rsidR="00425DEF">
        <w:instrText xml:space="preserve"> ADDIN ZOTERO_ITEM CSL_CITATION {"citationID":"YNYzs9Do","properties":{"formattedCitation":"\\super 10\\nosupersub{}","plainCitation":"10","noteIndex":0},"citationItems":[{"id":"OWP6wprF/3fCRMDgd","uris":["http://zotero.org/users/9631491/items/6Q7EQ9CK"],"itemData":{"id":152,"type":"article-journal","abstract":"Let M(x) denote the expected value at level x of the response to a certain experiment. M(x) is assumed to be a monotone function of x but is unknown to the experimenter, and it is desired to find the solution x = θ of the equation M(x) = α, where α is a given constant. We give a method for making successive experiments at levels x1,x2,</w:instrText>
      </w:r>
      <w:r w:rsidR="00425DEF">
        <w:rPr>
          <w:rFonts w:ascii="Cambria Math" w:hAnsi="Cambria Math" w:cs="Cambria Math"/>
        </w:rPr>
        <w:instrText>⋯</w:instrText>
      </w:r>
      <w:r w:rsidR="00425DEF">
        <w:instrText xml:space="preserve"> in such a way that xn will tend to θ in probability.","container-title":"The Annals of Mathematical Statistics","ISSN":"0003-4851","issue":"3","note":"publisher: Institute of Mathematical Statistics","page":"400-407","source":"JSTOR","title":"A Stochastic Approximation Method","volume":"22","author":[{"family":"Robbins","given":"Herbert"},{"family":"Monro","given":"Sutton"}],"issued":{"date-parts":[["1951"]]}}}],"schema":"https://github.com/citation-style-language/schema/raw/master/csl-citation.json"} </w:instrText>
      </w:r>
      <w:r w:rsidR="008B1670">
        <w:fldChar w:fldCharType="separate"/>
      </w:r>
      <w:r w:rsidR="00091A4F" w:rsidRPr="00091A4F">
        <w:rPr>
          <w:rFonts w:cs="Times New Roman"/>
          <w:vertAlign w:val="superscript"/>
        </w:rPr>
        <w:t>10</w:t>
      </w:r>
      <w:r w:rsidR="008B1670">
        <w:fldChar w:fldCharType="end"/>
      </w:r>
      <w:r>
        <w:t>.  The mean absolute error (MAE) serves as the evaluation metric for assessing the prediction performance of the model. The hyperparameters of CG-N</w:t>
      </w:r>
      <w:r w:rsidR="005F054C">
        <w:t>ET</w:t>
      </w:r>
      <w:r>
        <w:t xml:space="preserve"> are listed in </w:t>
      </w:r>
      <w:r w:rsidR="000B7878" w:rsidRPr="000B7878">
        <w:t xml:space="preserve">Supplementary </w:t>
      </w:r>
      <w:r>
        <w:t>Table</w:t>
      </w:r>
      <w:r w:rsidR="00266E33">
        <w:t xml:space="preserve"> 2</w:t>
      </w:r>
      <w:r>
        <w:t xml:space="preserve">. Unlike the weights, which are trained using an optimizer, these hyperparameters are non-trainable variables that affect the </w:t>
      </w:r>
      <w:r w:rsidR="00AD2706">
        <w:t xml:space="preserve">prediction </w:t>
      </w:r>
      <w:r>
        <w:t xml:space="preserve">performance of the model. These hyperparameters include graph variables for cluster graph generation, architecture variables for defining the convolutional neural network on top of the cluster graph, and training-related variables for the training process. An extensive hyperparameter optimization study is conducted that considers the graph, architecture, and training-related variables. The hyperparameters that yield the </w:t>
      </w:r>
      <w:r>
        <w:lastRenderedPageBreak/>
        <w:t>lowest MAEs in the validation set are selected as the optimum hyperparameters. Following the training process, we calculate the MAE of CG-NET for predicting the adsorption energ</w:t>
      </w:r>
      <w:r w:rsidR="005F054C">
        <w:t>ies</w:t>
      </w:r>
      <w:r>
        <w:t xml:space="preserve"> of molecules and the formation energ</w:t>
      </w:r>
      <w:r w:rsidR="005F054C">
        <w:t>ies</w:t>
      </w:r>
      <w:r>
        <w:t xml:space="preserve"> of impurities within the test dataset. The results are then compared with those of the conventional CGCNN model, as shown in Fig.</w:t>
      </w:r>
      <w:r w:rsidR="0053199C">
        <w:t xml:space="preserve"> </w:t>
      </w:r>
      <w:r w:rsidR="00085512">
        <w:t>3</w:t>
      </w:r>
      <w:r>
        <w:t>.</w:t>
      </w:r>
    </w:p>
    <w:p w14:paraId="4F0E3BCF" w14:textId="69F2740B" w:rsidR="00BB6794" w:rsidRDefault="00BB6794" w:rsidP="00BB6794">
      <w:pPr>
        <w:pStyle w:val="BodyText"/>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Pr="00BB6794">
        <w:rPr>
          <w:rFonts w:ascii="Times New Roman" w:hAnsi="Times New Roman" w:cs="Times New Roman"/>
          <w:b/>
          <w:bCs/>
          <w:sz w:val="28"/>
          <w:szCs w:val="28"/>
        </w:rPr>
        <w:t>Computational Cost</w:t>
      </w:r>
      <w:r w:rsidR="004E0D7F">
        <w:rPr>
          <w:rFonts w:ascii="Times New Roman" w:hAnsi="Times New Roman" w:cs="Times New Roman"/>
          <w:b/>
          <w:bCs/>
          <w:sz w:val="28"/>
          <w:szCs w:val="28"/>
        </w:rPr>
        <w:t xml:space="preserve"> of CG-NET</w:t>
      </w:r>
    </w:p>
    <w:p w14:paraId="09EFE3A2" w14:textId="2C49BF5B" w:rsidR="00BB6794" w:rsidRDefault="000C5E83" w:rsidP="00C92BD5">
      <w:pPr>
        <w:pStyle w:val="BodyText"/>
        <w:spacing w:line="360" w:lineRule="auto"/>
        <w:jc w:val="both"/>
        <w:rPr>
          <w:rFonts w:ascii="Times New Roman" w:eastAsia="Times New Roman" w:hAnsi="Times New Roman"/>
        </w:rPr>
      </w:pPr>
      <w:r>
        <w:rPr>
          <w:rFonts w:ascii="Times New Roman" w:eastAsia="Times New Roman" w:hAnsi="Times New Roman"/>
        </w:rPr>
        <w:t>W</w:t>
      </w:r>
      <w:r w:rsidR="00F4047F" w:rsidRPr="00F4047F">
        <w:rPr>
          <w:rFonts w:ascii="Times New Roman" w:eastAsia="Times New Roman" w:hAnsi="Times New Roman"/>
        </w:rPr>
        <w:t>e estimate the computational cost of CGCNN and CG-NET in terms of the floating-point operations (FLOP</w:t>
      </w:r>
      <w:r w:rsidR="00E967C1">
        <w:rPr>
          <w:rFonts w:ascii="Times New Roman" w:eastAsia="Times New Roman" w:hAnsi="Times New Roman" w:hint="eastAsia"/>
          <w:lang w:eastAsia="zh-CN"/>
        </w:rPr>
        <w:t>s</w:t>
      </w:r>
      <w:r w:rsidR="00F4047F" w:rsidRPr="00F4047F">
        <w:rPr>
          <w:rFonts w:ascii="Times New Roman" w:eastAsia="Times New Roman" w:hAnsi="Times New Roman"/>
        </w:rPr>
        <w:t>) required to generate embeddings for a single convolution layer across the HEA, 2D-impurity, OC2</w:t>
      </w:r>
      <w:r w:rsidR="004D5059">
        <w:rPr>
          <w:rFonts w:ascii="Times New Roman" w:eastAsia="Times New Roman" w:hAnsi="Times New Roman"/>
        </w:rPr>
        <w:t>0</w:t>
      </w:r>
      <w:r w:rsidR="00F4047F" w:rsidRPr="00F4047F">
        <w:rPr>
          <w:rFonts w:ascii="Times New Roman" w:eastAsia="Times New Roman" w:hAnsi="Times New Roman"/>
        </w:rPr>
        <w:t>, and ODAC23 datasets.</w:t>
      </w:r>
      <w:r w:rsidR="00BB6794">
        <w:rPr>
          <w:rFonts w:ascii="Times New Roman" w:eastAsia="Times New Roman" w:hAnsi="Times New Roman"/>
        </w:rPr>
        <w:t xml:space="preserve"> For </w:t>
      </w:r>
      <w:r w:rsidR="00F4047F">
        <w:rPr>
          <w:rFonts w:ascii="Times New Roman" w:eastAsia="Times New Roman" w:hAnsi="Times New Roman"/>
        </w:rPr>
        <w:t xml:space="preserve">each </w:t>
      </w:r>
      <w:r w:rsidR="00BB6794" w:rsidRPr="00BB6794">
        <w:rPr>
          <w:rFonts w:ascii="Times New Roman" w:eastAsia="Times New Roman" w:hAnsi="Times New Roman"/>
        </w:rPr>
        <w:t>graph</w:t>
      </w:r>
      <w:r w:rsidR="0039141C">
        <w:rPr>
          <w:rFonts w:ascii="Times New Roman" w:eastAsia="Times New Roman" w:hAnsi="Times New Roman"/>
        </w:rPr>
        <w:t xml:space="preserve"> </w:t>
      </w:r>
      <m:oMath>
        <m:r>
          <w:rPr>
            <w:rFonts w:ascii="Cambria Math" w:eastAsia="Times New Roman" w:hAnsi="Cambria Math"/>
          </w:rPr>
          <m:t>G</m:t>
        </m:r>
        <m:r>
          <m:rPr>
            <m:sty m:val="p"/>
          </m:rPr>
          <w:rPr>
            <w:rFonts w:ascii="Cambria Math" w:eastAsia="Times New Roman" w:hAnsi="Cambria Math"/>
          </w:rPr>
          <m:t>(</m:t>
        </m:r>
        <m:r>
          <w:rPr>
            <w:rFonts w:ascii="Cambria Math" w:eastAsia="Times New Roman" w:hAnsi="Cambria Math"/>
          </w:rPr>
          <m:t>V</m:t>
        </m:r>
        <m:r>
          <m:rPr>
            <m:sty m:val="p"/>
          </m:rPr>
          <w:rPr>
            <w:rFonts w:ascii="Cambria Math" w:eastAsia="Times New Roman" w:hAnsi="Cambria Math"/>
          </w:rPr>
          <m:t>,</m:t>
        </m:r>
        <m:r>
          <w:rPr>
            <w:rFonts w:ascii="Cambria Math" w:eastAsia="Times New Roman" w:hAnsi="Cambria Math"/>
          </w:rPr>
          <m:t>E</m:t>
        </m:r>
        <m:r>
          <m:rPr>
            <m:sty m:val="p"/>
          </m:rPr>
          <w:rPr>
            <w:rFonts w:ascii="Cambria Math" w:eastAsia="Times New Roman" w:hAnsi="Cambria Math"/>
          </w:rPr>
          <m:t>)</m:t>
        </m:r>
      </m:oMath>
      <w:r w:rsidR="00BB6794">
        <w:rPr>
          <w:rFonts w:ascii="Times New Roman" w:eastAsia="Times New Roman" w:hAnsi="Times New Roman"/>
        </w:rPr>
        <w:t>, the number of nodes and edges</w:t>
      </w:r>
      <w:r w:rsidR="0039141C">
        <w:rPr>
          <w:rFonts w:ascii="Times New Roman" w:eastAsia="Times New Roman" w:hAnsi="Times New Roman"/>
        </w:rPr>
        <w:t xml:space="preserve"> are </w:t>
      </w:r>
      <m:oMath>
        <m:d>
          <m:dPr>
            <m:begChr m:val="|"/>
            <m:endChr m:val="|"/>
            <m:ctrlPr>
              <w:rPr>
                <w:rFonts w:ascii="Cambria Math" w:eastAsia="Times New Roman" w:hAnsi="Cambria Math"/>
              </w:rPr>
            </m:ctrlPr>
          </m:dPr>
          <m:e>
            <m:r>
              <w:rPr>
                <w:rFonts w:ascii="Cambria Math" w:eastAsia="Times New Roman" w:hAnsi="Cambria Math"/>
              </w:rPr>
              <m:t>V</m:t>
            </m:r>
          </m:e>
        </m:d>
      </m:oMath>
      <w:r w:rsidR="0039141C">
        <w:rPr>
          <w:rFonts w:ascii="Times New Roman" w:eastAsia="Times New Roman" w:hAnsi="Times New Roman"/>
        </w:rPr>
        <w:t xml:space="preserve"> and </w:t>
      </w:r>
      <m:oMath>
        <m:d>
          <m:dPr>
            <m:begChr m:val="|"/>
            <m:endChr m:val="|"/>
            <m:ctrlPr>
              <w:rPr>
                <w:rFonts w:ascii="Cambria Math" w:eastAsia="Times New Roman" w:hAnsi="Cambria Math"/>
              </w:rPr>
            </m:ctrlPr>
          </m:dPr>
          <m:e>
            <m:r>
              <w:rPr>
                <w:rFonts w:ascii="Cambria Math" w:eastAsia="Times New Roman" w:hAnsi="Cambria Math"/>
              </w:rPr>
              <m:t>E</m:t>
            </m:r>
          </m:e>
        </m:d>
      </m:oMath>
      <w:r w:rsidR="0039141C">
        <w:rPr>
          <w:rFonts w:ascii="Times New Roman" w:eastAsia="Times New Roman" w:hAnsi="Times New Roman"/>
        </w:rPr>
        <w:t>, respectively</w:t>
      </w:r>
      <w:r w:rsidR="00BB6794">
        <w:rPr>
          <w:rFonts w:ascii="Times New Roman" w:eastAsia="Times New Roman" w:hAnsi="Times New Roman"/>
        </w:rPr>
        <w:t>. Each node and edges have feature embedding vector</w:t>
      </w:r>
      <w:r w:rsidR="0039141C">
        <w:rPr>
          <w:rFonts w:ascii="Times New Roman" w:eastAsia="Times New Roman" w:hAnsi="Times New Roman"/>
        </w:rPr>
        <w:t xml:space="preserve">s </w:t>
      </w:r>
      <m:oMath>
        <m:sSubSup>
          <m:sSubSupPr>
            <m:ctrlPr>
              <w:rPr>
                <w:rFonts w:ascii="Cambria Math" w:eastAsia="Times New Roman" w:hAnsi="Cambria Math"/>
              </w:rPr>
            </m:ctrlPr>
          </m:sSubSupPr>
          <m:e>
            <m:r>
              <w:rPr>
                <w:rFonts w:ascii="Cambria Math" w:eastAsia="Times New Roman" w:hAnsi="Cambria Math"/>
              </w:rPr>
              <m:t>v</m:t>
            </m:r>
          </m:e>
          <m:sub>
            <m:r>
              <w:rPr>
                <w:rFonts w:ascii="Cambria Math" w:eastAsia="Times New Roman" w:hAnsi="Cambria Math"/>
              </w:rPr>
              <m:t>i</m:t>
            </m:r>
          </m:sub>
          <m:sup>
            <m:r>
              <w:rPr>
                <w:rFonts w:ascii="Cambria Math" w:eastAsia="Times New Roman" w:hAnsi="Cambria Math"/>
              </w:rPr>
              <m:t>t</m:t>
            </m:r>
          </m:sup>
        </m:sSubSup>
        <m:r>
          <m:rPr>
            <m:sty m:val="p"/>
          </m:rP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R</m:t>
            </m:r>
          </m:e>
          <m:sup>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v</m:t>
                </m:r>
              </m:sub>
            </m:sSub>
            <m:r>
              <m:rPr>
                <m:sty m:val="p"/>
              </m:rPr>
              <w:rPr>
                <w:rFonts w:ascii="Cambria Math" w:eastAsia="Times New Roman" w:hAnsi="Cambria Math"/>
              </w:rPr>
              <m:t>×1</m:t>
            </m:r>
          </m:sup>
        </m:sSup>
      </m:oMath>
      <w:r w:rsidR="0039141C">
        <w:rPr>
          <w:rFonts w:ascii="Times New Roman" w:eastAsia="Times New Roman" w:hAnsi="Times New Roman"/>
        </w:rPr>
        <w:t xml:space="preserve"> and </w:t>
      </w:r>
      <m:oMath>
        <m:sSub>
          <m:sSubPr>
            <m:ctrlPr>
              <w:rPr>
                <w:rFonts w:ascii="Cambria Math" w:eastAsia="Times New Roman" w:hAnsi="Cambria Math"/>
              </w:rPr>
            </m:ctrlPr>
          </m:sSubPr>
          <m:e>
            <m:r>
              <w:rPr>
                <w:rFonts w:ascii="Cambria Math" w:eastAsia="Times New Roman" w:hAnsi="Cambria Math"/>
              </w:rPr>
              <m:t>e</m:t>
            </m:r>
          </m:e>
          <m:sub>
            <m:r>
              <w:rPr>
                <w:rFonts w:ascii="Cambria Math" w:eastAsia="Times New Roman" w:hAnsi="Cambria Math"/>
              </w:rPr>
              <m:t>i</m:t>
            </m:r>
            <m:r>
              <m:rPr>
                <m:sty m:val="p"/>
              </m:rPr>
              <w:rPr>
                <w:rFonts w:ascii="Cambria Math" w:eastAsia="Times New Roman" w:hAnsi="Cambria Math"/>
              </w:rPr>
              <m:t>,</m:t>
            </m:r>
            <m:r>
              <w:rPr>
                <w:rFonts w:ascii="Cambria Math" w:eastAsia="Times New Roman" w:hAnsi="Cambria Math"/>
              </w:rPr>
              <m:t>j</m:t>
            </m:r>
          </m:sub>
        </m:sSub>
        <m:r>
          <m:rPr>
            <m:sty m:val="p"/>
          </m:rPr>
          <w:rPr>
            <w:rFonts w:ascii="Cambria Math" w:eastAsia="Times New Roman" w:hAnsi="Cambria Math"/>
          </w:rPr>
          <m:t>∈</m:t>
        </m:r>
        <m:sSup>
          <m:sSupPr>
            <m:ctrlPr>
              <w:rPr>
                <w:rFonts w:ascii="Cambria Math" w:eastAsia="Times New Roman" w:hAnsi="Cambria Math"/>
              </w:rPr>
            </m:ctrlPr>
          </m:sSupPr>
          <m:e>
            <m:r>
              <w:rPr>
                <w:rFonts w:ascii="Cambria Math" w:eastAsia="Times New Roman" w:hAnsi="Cambria Math"/>
              </w:rPr>
              <m:t>R</m:t>
            </m:r>
          </m:e>
          <m:sup>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e</m:t>
                </m:r>
              </m:sub>
            </m:sSub>
            <m:r>
              <m:rPr>
                <m:sty m:val="p"/>
              </m:rPr>
              <w:rPr>
                <w:rFonts w:ascii="Cambria Math" w:eastAsia="Times New Roman" w:hAnsi="Cambria Math"/>
              </w:rPr>
              <m:t>×1</m:t>
            </m:r>
          </m:sup>
        </m:sSup>
      </m:oMath>
      <w:r w:rsidR="0039141C">
        <w:rPr>
          <w:rFonts w:ascii="Times New Roman" w:eastAsia="Times New Roman" w:hAnsi="Times New Roman"/>
        </w:rPr>
        <w:t xml:space="preserve">, which </w:t>
      </w:r>
      <w:r w:rsidR="005F267B">
        <w:rPr>
          <w:rFonts w:ascii="Times New Roman" w:eastAsia="Times New Roman" w:hAnsi="Times New Roman"/>
        </w:rPr>
        <w:t xml:space="preserve">are </w:t>
      </w:r>
      <w:r w:rsidR="005F267B" w:rsidRPr="005F267B">
        <w:rPr>
          <w:rFonts w:ascii="Times New Roman" w:eastAsia="Times New Roman" w:hAnsi="Times New Roman"/>
        </w:rPr>
        <w:t>concatenate</w:t>
      </w:r>
      <w:r w:rsidR="005F267B">
        <w:rPr>
          <w:rFonts w:ascii="Times New Roman" w:eastAsia="Times New Roman" w:hAnsi="Times New Roman"/>
        </w:rPr>
        <w:t xml:space="preserve">d </w:t>
      </w:r>
      <w:r w:rsidR="00C02F77">
        <w:rPr>
          <w:rFonts w:ascii="Times New Roman" w:eastAsia="Times New Roman" w:hAnsi="Times New Roman"/>
        </w:rPr>
        <w:t>into</w:t>
      </w:r>
      <w:r w:rsidR="0039141C" w:rsidRPr="0039141C">
        <w:rPr>
          <w:rFonts w:ascii="Times New Roman" w:eastAsia="Times New Roman" w:hAnsi="Times New Roman"/>
        </w:rPr>
        <w:t xml:space="preserve"> an input</w:t>
      </w:r>
      <w:r w:rsidR="005F267B">
        <w:rPr>
          <w:rFonts w:ascii="Times New Roman" w:eastAsia="Times New Roman" w:hAnsi="Times New Roman"/>
        </w:rPr>
        <w:t xml:space="preserve"> vector </w:t>
      </w:r>
      <m:oMath>
        <m:sSubSup>
          <m:sSubSupPr>
            <m:ctrlPr>
              <w:rPr>
                <w:rFonts w:ascii="Cambria Math" w:eastAsia="Times New Roman" w:hAnsi="Cambria Math"/>
              </w:rPr>
            </m:ctrlPr>
          </m:sSubSupPr>
          <m:e>
            <m:r>
              <w:rPr>
                <w:rFonts w:ascii="Cambria Math" w:eastAsia="Times New Roman" w:hAnsi="Cambria Math"/>
              </w:rPr>
              <m:t>z</m:t>
            </m:r>
          </m:e>
          <m:sub>
            <m:r>
              <w:rPr>
                <w:rFonts w:ascii="Cambria Math" w:eastAsia="Times New Roman" w:hAnsi="Cambria Math"/>
              </w:rPr>
              <m:t>i</m:t>
            </m:r>
            <m:r>
              <m:rPr>
                <m:sty m:val="p"/>
              </m:rPr>
              <w:rPr>
                <w:rFonts w:ascii="Cambria Math" w:eastAsia="Times New Roman" w:hAnsi="Cambria Math"/>
              </w:rPr>
              <m:t>,</m:t>
            </m:r>
            <m:r>
              <w:rPr>
                <w:rFonts w:ascii="Cambria Math" w:eastAsia="Times New Roman" w:hAnsi="Cambria Math"/>
              </w:rPr>
              <m:t>j</m:t>
            </m:r>
          </m:sub>
          <m:sup>
            <m:r>
              <w:rPr>
                <w:rFonts w:ascii="Cambria Math" w:eastAsia="Times New Roman" w:hAnsi="Cambria Math"/>
              </w:rPr>
              <m:t>t</m:t>
            </m:r>
          </m:sup>
        </m:sSubSup>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v</m:t>
            </m:r>
          </m:e>
          <m:sub>
            <m:r>
              <w:rPr>
                <w:rFonts w:ascii="Cambria Math" w:eastAsia="Times New Roman" w:hAnsi="Cambria Math"/>
              </w:rPr>
              <m:t>i</m:t>
            </m:r>
          </m:sub>
          <m:sup>
            <m:r>
              <w:rPr>
                <w:rFonts w:ascii="Cambria Math" w:eastAsia="Times New Roman" w:hAnsi="Cambria Math"/>
              </w:rPr>
              <m:t>t</m:t>
            </m:r>
          </m:sup>
        </m:sSubSup>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v</m:t>
            </m:r>
          </m:e>
          <m:sub>
            <m:r>
              <w:rPr>
                <w:rFonts w:ascii="Cambria Math" w:eastAsia="Times New Roman" w:hAnsi="Cambria Math"/>
              </w:rPr>
              <m:t>j</m:t>
            </m:r>
          </m:sub>
          <m:sup>
            <m:r>
              <w:rPr>
                <w:rFonts w:ascii="Cambria Math" w:eastAsia="Times New Roman" w:hAnsi="Cambria Math"/>
              </w:rPr>
              <m:t>t</m:t>
            </m:r>
          </m:sup>
        </m:sSubSup>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e</m:t>
            </m:r>
          </m:e>
          <m:sub>
            <m:r>
              <w:rPr>
                <w:rFonts w:ascii="Cambria Math" w:eastAsia="Times New Roman" w:hAnsi="Cambria Math"/>
              </w:rPr>
              <m:t>i</m:t>
            </m:r>
            <m:r>
              <m:rPr>
                <m:sty m:val="p"/>
              </m:rPr>
              <w:rPr>
                <w:rFonts w:ascii="Cambria Math" w:eastAsia="Times New Roman" w:hAnsi="Cambria Math"/>
              </w:rPr>
              <m:t>,</m:t>
            </m:r>
            <m:r>
              <w:rPr>
                <w:rFonts w:ascii="Cambria Math" w:eastAsia="Times New Roman" w:hAnsi="Cambria Math"/>
              </w:rPr>
              <m:t>j</m:t>
            </m:r>
          </m:sub>
          <m:sup>
            <m:r>
              <w:rPr>
                <w:rFonts w:ascii="Cambria Math" w:eastAsia="Times New Roman" w:hAnsi="Cambria Math"/>
              </w:rPr>
              <m:t>t</m:t>
            </m:r>
          </m:sup>
        </m:sSubSup>
      </m:oMath>
      <w:r w:rsidR="0039141C" w:rsidRPr="0039141C">
        <w:rPr>
          <w:rFonts w:ascii="Times New Roman" w:eastAsia="Times New Roman" w:hAnsi="Times New Roman"/>
        </w:rPr>
        <w:t xml:space="preserve"> </w:t>
      </w:r>
      <w:r w:rsidR="00C02F77">
        <w:rPr>
          <w:rFonts w:ascii="Times New Roman" w:eastAsia="Times New Roman" w:hAnsi="Times New Roman"/>
        </w:rPr>
        <w:t>for</w:t>
      </w:r>
      <w:r w:rsidR="0039141C" w:rsidRPr="0039141C">
        <w:rPr>
          <w:rFonts w:ascii="Times New Roman" w:eastAsia="Times New Roman" w:hAnsi="Times New Roman"/>
        </w:rPr>
        <w:t xml:space="preserve"> the</w:t>
      </w:r>
      <w:r w:rsidR="005F267B">
        <w:rPr>
          <w:rFonts w:ascii="Times New Roman" w:eastAsia="Times New Roman" w:hAnsi="Times New Roman"/>
        </w:rPr>
        <w:t xml:space="preserve"> </w:t>
      </w:r>
      <m:oMath>
        <m:r>
          <w:rPr>
            <w:rFonts w:ascii="Cambria Math" w:eastAsia="Times New Roman" w:hAnsi="Cambria Math"/>
          </w:rPr>
          <m:t>t</m:t>
        </m:r>
      </m:oMath>
      <w:r w:rsidR="00C02F77">
        <w:rPr>
          <w:rFonts w:ascii="Times New Roman" w:eastAsia="Times New Roman" w:hAnsi="Times New Roman"/>
        </w:rPr>
        <w:t>-th</w:t>
      </w:r>
      <w:r w:rsidR="0039141C">
        <w:rPr>
          <w:rFonts w:ascii="Times New Roman" w:eastAsia="Times New Roman" w:hAnsi="Times New Roman"/>
        </w:rPr>
        <w:t xml:space="preserve"> </w:t>
      </w:r>
      <w:r w:rsidR="0039141C" w:rsidRPr="0039141C">
        <w:rPr>
          <w:rFonts w:ascii="Times New Roman" w:eastAsia="Times New Roman" w:hAnsi="Times New Roman"/>
        </w:rPr>
        <w:t>layer of the</w:t>
      </w:r>
      <w:r w:rsidR="005F267B">
        <w:rPr>
          <w:rFonts w:ascii="Times New Roman" w:eastAsia="Times New Roman" w:hAnsi="Times New Roman"/>
        </w:rPr>
        <w:t xml:space="preserve"> convolution function. </w:t>
      </w:r>
      <w:r w:rsidR="00BB6794">
        <w:rPr>
          <w:rFonts w:ascii="Times New Roman" w:eastAsia="Times New Roman" w:hAnsi="Times New Roman"/>
        </w:rPr>
        <w:t xml:space="preserve">In the CGCNN and CG-NET, the convolution layer uniformly </w:t>
      </w:r>
      <w:r w:rsidR="00F4047F">
        <w:rPr>
          <w:rFonts w:ascii="Times New Roman" w:eastAsia="Times New Roman" w:hAnsi="Times New Roman"/>
        </w:rPr>
        <w:t>averages</w:t>
      </w:r>
      <w:r w:rsidR="00BB6794">
        <w:rPr>
          <w:rFonts w:ascii="Times New Roman" w:eastAsia="Times New Roman" w:hAnsi="Times New Roman"/>
        </w:rPr>
        <w:t xml:space="preserve"> the features </w:t>
      </w:r>
      <w:r w:rsidR="00F4047F">
        <w:rPr>
          <w:rFonts w:ascii="Times New Roman" w:eastAsia="Times New Roman" w:hAnsi="Times New Roman"/>
        </w:rPr>
        <w:t>of</w:t>
      </w:r>
      <w:r w:rsidR="00BB6794">
        <w:rPr>
          <w:rFonts w:ascii="Times New Roman" w:eastAsia="Times New Roman" w:hAnsi="Times New Roman"/>
        </w:rPr>
        <w:t xml:space="preserve"> the neighbors </w:t>
      </w:r>
      <w:r w:rsidR="006A5261">
        <w:rPr>
          <w:rFonts w:ascii="Times New Roman" w:eastAsia="Times New Roman" w:hAnsi="Times New Roman"/>
        </w:rPr>
        <w:t xml:space="preserve">and </w:t>
      </w:r>
      <w:r w:rsidR="00C02F77">
        <w:rPr>
          <w:rFonts w:ascii="Times New Roman" w:eastAsia="Times New Roman" w:hAnsi="Times New Roman"/>
        </w:rPr>
        <w:t xml:space="preserve">their </w:t>
      </w:r>
      <w:r w:rsidR="006A5261">
        <w:rPr>
          <w:rFonts w:ascii="Times New Roman" w:eastAsia="Times New Roman" w:hAnsi="Times New Roman"/>
        </w:rPr>
        <w:t xml:space="preserve">corresponding edges </w:t>
      </w:r>
      <w:r w:rsidR="00BB6794">
        <w:rPr>
          <w:rFonts w:ascii="Times New Roman" w:eastAsia="Times New Roman" w:hAnsi="Times New Roman"/>
        </w:rPr>
        <w:t xml:space="preserve">to update </w:t>
      </w:r>
      <w:r w:rsidR="00C02F77">
        <w:rPr>
          <w:rFonts w:ascii="Times New Roman" w:eastAsia="Times New Roman" w:hAnsi="Times New Roman"/>
        </w:rPr>
        <w:t>the</w:t>
      </w:r>
      <w:r w:rsidR="00BB6794">
        <w:rPr>
          <w:rFonts w:ascii="Times New Roman" w:eastAsia="Times New Roman" w:hAnsi="Times New Roman"/>
        </w:rPr>
        <w:t xml:space="preserve"> embeddings</w:t>
      </w:r>
      <w:r w:rsidR="00C02F77">
        <w:rPr>
          <w:rFonts w:ascii="Times New Roman" w:eastAsia="Times New Roman" w:hAnsi="Times New Roman"/>
        </w:rPr>
        <w:t xml:space="preserve"> of the target node</w:t>
      </w:r>
      <w:r w:rsidR="00BB6794">
        <w:rPr>
          <w:rFonts w:ascii="Times New Roman" w:eastAsia="Times New Roman" w:hAnsi="Times New Roman"/>
        </w:rPr>
        <w:t xml:space="preserve">. Formally, the updated embedding for node </w:t>
      </w:r>
      <m:oMath>
        <m:r>
          <w:rPr>
            <w:rFonts w:ascii="Cambria Math" w:eastAsia="Times New Roman" w:hAnsi="Cambria Math"/>
          </w:rPr>
          <m:t>i</m:t>
        </m:r>
      </m:oMath>
      <w:r w:rsidR="006A5261">
        <w:rPr>
          <w:rFonts w:ascii="Times New Roman" w:eastAsia="Times New Roman" w:hAnsi="Times New Roman"/>
        </w:rPr>
        <w:t xml:space="preserve"> </w:t>
      </w:r>
      <w:r w:rsidR="00C02F77">
        <w:rPr>
          <w:rFonts w:ascii="Times New Roman" w:eastAsia="Times New Roman" w:hAnsi="Times New Roman"/>
        </w:rPr>
        <w:t xml:space="preserve">at </w:t>
      </w:r>
      <w:r w:rsidR="00BB6794">
        <w:rPr>
          <w:rFonts w:ascii="Times New Roman" w:eastAsia="Times New Roman" w:hAnsi="Times New Roman"/>
        </w:rPr>
        <w:t xml:space="preserve">layer </w:t>
      </w:r>
      <m:oMath>
        <m:r>
          <w:rPr>
            <w:rFonts w:ascii="Cambria Math" w:eastAsia="Times New Roman" w:hAnsi="Cambria Math"/>
          </w:rPr>
          <m:t>t</m:t>
        </m:r>
      </m:oMath>
      <w:r w:rsidR="006A5261">
        <w:rPr>
          <w:rFonts w:ascii="Times New Roman" w:eastAsia="Times New Roman" w:hAnsi="Times New Roman"/>
        </w:rPr>
        <w:t xml:space="preserve"> </w:t>
      </w:r>
      <w:r w:rsidR="00BB6794">
        <w:rPr>
          <w:rFonts w:ascii="Times New Roman" w:eastAsia="Times New Roman" w:hAnsi="Times New Roman"/>
        </w:rPr>
        <w:t xml:space="preserve">is </w:t>
      </w:r>
      <w:r w:rsidR="00C02F77">
        <w:rPr>
          <w:rFonts w:ascii="Times New Roman" w:eastAsia="Times New Roman" w:hAnsi="Times New Roman"/>
        </w:rPr>
        <w:t>defined</w:t>
      </w:r>
      <w:r w:rsidR="00BB6794">
        <w:rPr>
          <w:rFonts w:ascii="Times New Roman" w:eastAsia="Times New Roman" w:hAnsi="Times New Roman"/>
        </w:rPr>
        <w:t xml:space="preserve"> as</w:t>
      </w:r>
    </w:p>
    <w:p w14:paraId="34D0592F" w14:textId="091CB77E" w:rsidR="006A5261" w:rsidRDefault="00C46CB9" w:rsidP="00C92BD5">
      <w:pPr>
        <w:pStyle w:val="BodyText"/>
        <w:spacing w:line="360" w:lineRule="auto"/>
        <w:jc w:val="both"/>
        <w:rPr>
          <w:rFonts w:ascii="Times New Roman" w:eastAsia="Times New Roman" w:hAnsi="Times New Roman"/>
        </w:rPr>
      </w:pPr>
      <m:oMathPara>
        <m:oMath>
          <m:sSubSup>
            <m:sSubSupPr>
              <m:ctrlPr>
                <w:rPr>
                  <w:rFonts w:ascii="Cambria Math" w:eastAsia="Times New Roman" w:hAnsi="Cambria Math"/>
                </w:rPr>
              </m:ctrlPr>
            </m:sSubSupPr>
            <m:e>
              <m:r>
                <w:rPr>
                  <w:rFonts w:ascii="Cambria Math" w:eastAsia="Times New Roman" w:hAnsi="Cambria Math"/>
                </w:rPr>
                <m:t>v</m:t>
              </m:r>
            </m:e>
            <m:sub>
              <m:r>
                <w:rPr>
                  <w:rFonts w:ascii="Cambria Math" w:eastAsia="Times New Roman" w:hAnsi="Cambria Math"/>
                </w:rPr>
                <m:t>i</m:t>
              </m:r>
            </m:sub>
            <m:sup>
              <m:r>
                <w:rPr>
                  <w:rFonts w:ascii="Cambria Math" w:eastAsia="Times New Roman" w:hAnsi="Cambria Math"/>
                </w:rPr>
                <m:t>t</m:t>
              </m:r>
              <m:r>
                <m:rPr>
                  <m:sty m:val="p"/>
                </m:rPr>
                <w:rPr>
                  <w:rFonts w:ascii="Cambria Math" w:eastAsia="Times New Roman" w:hAnsi="Cambria Math"/>
                </w:rPr>
                <m:t>+1</m:t>
              </m:r>
            </m:sup>
          </m:sSubSup>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v</m:t>
              </m:r>
            </m:e>
            <m:sub>
              <m:r>
                <w:rPr>
                  <w:rFonts w:ascii="Cambria Math" w:eastAsia="Times New Roman" w:hAnsi="Cambria Math"/>
                </w:rPr>
                <m:t>i</m:t>
              </m:r>
            </m:sub>
            <m:sup>
              <m:r>
                <w:rPr>
                  <w:rFonts w:ascii="Cambria Math" w:eastAsia="Times New Roman" w:hAnsi="Cambria Math"/>
                </w:rPr>
                <m:t>t</m:t>
              </m:r>
            </m:sup>
          </m:sSubSup>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1</m:t>
              </m:r>
            </m:num>
            <m:den>
              <m:sSub>
                <m:sSubPr>
                  <m:ctrlPr>
                    <w:rPr>
                      <w:rFonts w:ascii="Cambria Math" w:eastAsia="Times New Roman" w:hAnsi="Cambria Math"/>
                    </w:rPr>
                  </m:ctrlPr>
                </m:sSubPr>
                <m:e>
                  <m:r>
                    <m:rPr>
                      <m:sty m:val="p"/>
                    </m:rPr>
                    <w:rPr>
                      <w:rFonts w:ascii="Cambria Math" w:eastAsia="Times New Roman" w:hAnsi="Cambria Math"/>
                    </w:rPr>
                    <m:t>deg</m:t>
                  </m:r>
                </m:e>
                <m:sub>
                  <m:r>
                    <w:rPr>
                      <w:rFonts w:ascii="Cambria Math" w:eastAsia="Times New Roman" w:hAnsi="Cambria Math"/>
                    </w:rPr>
                    <m:t>i</m:t>
                  </m:r>
                </m:sub>
              </m:sSub>
            </m:den>
          </m:f>
          <m:nary>
            <m:naryPr>
              <m:chr m:val="∑"/>
              <m:supHide m:val="1"/>
              <m:ctrlPr>
                <w:rPr>
                  <w:rFonts w:ascii="Cambria Math" w:eastAsia="Times New Roman" w:hAnsi="Cambria Math"/>
                </w:rPr>
              </m:ctrlPr>
            </m:naryPr>
            <m:sub>
              <m:r>
                <w:rPr>
                  <w:rFonts w:ascii="Cambria Math" w:eastAsia="Times New Roman" w:hAnsi="Cambria Math"/>
                </w:rPr>
                <m:t>j</m:t>
              </m:r>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N</m:t>
                  </m:r>
                </m:e>
                <m:sub>
                  <m:r>
                    <w:rPr>
                      <w:rFonts w:ascii="Cambria Math" w:eastAsia="Times New Roman" w:hAnsi="Cambria Math"/>
                    </w:rPr>
                    <m:t>i</m:t>
                  </m:r>
                </m:sub>
              </m:sSub>
            </m:sub>
            <m:sup/>
            <m:e>
              <m:sSubSup>
                <m:sSubSupPr>
                  <m:ctrlPr>
                    <w:rPr>
                      <w:rFonts w:ascii="Cambria Math" w:eastAsia="Times New Roman" w:hAnsi="Cambria Math"/>
                    </w:rPr>
                  </m:ctrlPr>
                </m:sSubSupPr>
                <m:e>
                  <m:r>
                    <w:rPr>
                      <w:rFonts w:ascii="Cambria Math" w:eastAsia="Times New Roman" w:hAnsi="Cambria Math"/>
                    </w:rPr>
                    <m:t>σ</m:t>
                  </m:r>
                  <m:r>
                    <m:rPr>
                      <m:sty m:val="p"/>
                    </m:rPr>
                    <w:rPr>
                      <w:rFonts w:ascii="Cambria Math" w:eastAsia="Times New Roman" w:hAnsi="Cambria Math"/>
                    </w:rPr>
                    <m:t>(</m:t>
                  </m:r>
                  <m:r>
                    <w:rPr>
                      <w:rFonts w:ascii="Cambria Math" w:eastAsia="Times New Roman" w:hAnsi="Cambria Math"/>
                    </w:rPr>
                    <m:t>z</m:t>
                  </m:r>
                </m:e>
                <m:sub>
                  <m:r>
                    <w:rPr>
                      <w:rFonts w:ascii="Cambria Math" w:eastAsia="Times New Roman" w:hAnsi="Cambria Math"/>
                    </w:rPr>
                    <m:t>i</m:t>
                  </m:r>
                  <m:r>
                    <m:rPr>
                      <m:sty m:val="p"/>
                    </m:rPr>
                    <w:rPr>
                      <w:rFonts w:ascii="Cambria Math" w:eastAsia="Times New Roman" w:hAnsi="Cambria Math"/>
                    </w:rPr>
                    <m:t>,</m:t>
                  </m:r>
                  <m:r>
                    <w:rPr>
                      <w:rFonts w:ascii="Cambria Math" w:eastAsia="Times New Roman" w:hAnsi="Cambria Math"/>
                    </w:rPr>
                    <m:t>j</m:t>
                  </m:r>
                </m:sub>
                <m:sup>
                  <m:r>
                    <w:rPr>
                      <w:rFonts w:ascii="Cambria Math" w:eastAsia="Times New Roman" w:hAnsi="Cambria Math"/>
                    </w:rPr>
                    <m:t>t</m:t>
                  </m:r>
                </m:sup>
              </m:sSubSup>
              <m:sSubSup>
                <m:sSubSupPr>
                  <m:ctrlPr>
                    <w:rPr>
                      <w:rFonts w:ascii="Cambria Math" w:eastAsia="Times New Roman" w:hAnsi="Cambria Math"/>
                    </w:rPr>
                  </m:ctrlPr>
                </m:sSubSupPr>
                <m:e>
                  <m:r>
                    <w:rPr>
                      <w:rFonts w:ascii="Cambria Math" w:eastAsia="Times New Roman" w:hAnsi="Cambria Math"/>
                    </w:rPr>
                    <m:t>W</m:t>
                  </m:r>
                </m:e>
                <m:sub>
                  <m:r>
                    <w:rPr>
                      <w:rFonts w:ascii="Cambria Math" w:eastAsia="Times New Roman" w:hAnsi="Cambria Math"/>
                    </w:rPr>
                    <m:t>f</m:t>
                  </m:r>
                </m:sub>
                <m:sup>
                  <m:r>
                    <w:rPr>
                      <w:rFonts w:ascii="Cambria Math" w:eastAsia="Times New Roman" w:hAnsi="Cambria Math"/>
                    </w:rPr>
                    <m:t>t</m:t>
                  </m:r>
                </m:sup>
              </m:sSubSup>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b</m:t>
                  </m:r>
                </m:e>
                <m:sub>
                  <m:r>
                    <w:rPr>
                      <w:rFonts w:ascii="Cambria Math" w:eastAsia="Times New Roman" w:hAnsi="Cambria Math"/>
                    </w:rPr>
                    <m:t>f</m:t>
                  </m:r>
                </m:sub>
                <m:sup>
                  <m:r>
                    <w:rPr>
                      <w:rFonts w:ascii="Cambria Math" w:eastAsia="Times New Roman" w:hAnsi="Cambria Math"/>
                    </w:rPr>
                    <m:t>t</m:t>
                  </m:r>
                </m:sup>
              </m:sSubSup>
              <m:r>
                <m:rPr>
                  <m:sty m:val="p"/>
                </m:rPr>
                <w:rPr>
                  <w:rFonts w:ascii="Cambria Math" w:eastAsia="Times New Roman" w:hAnsi="Cambria Math"/>
                </w:rPr>
                <m:t>)</m:t>
              </m:r>
            </m:e>
          </m:nary>
          <m:r>
            <m:rPr>
              <m:sty m:val="p"/>
            </m:rPr>
            <w:rPr>
              <w:rFonts w:ascii="Cambria Math" w:eastAsia="Times New Roman" w:hAnsi="Cambria Math"/>
            </w:rPr>
            <m:t>⨀</m:t>
          </m:r>
          <m:r>
            <w:rPr>
              <w:rFonts w:ascii="Cambria Math" w:eastAsia="Times New Roman" w:hAnsi="Cambria Math"/>
            </w:rPr>
            <m:t>g</m:t>
          </m:r>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z</m:t>
              </m:r>
            </m:e>
            <m:sub>
              <m:r>
                <w:rPr>
                  <w:rFonts w:ascii="Cambria Math" w:eastAsia="Times New Roman" w:hAnsi="Cambria Math"/>
                </w:rPr>
                <m:t>i</m:t>
              </m:r>
              <m:r>
                <m:rPr>
                  <m:sty m:val="p"/>
                </m:rPr>
                <w:rPr>
                  <w:rFonts w:ascii="Cambria Math" w:eastAsia="Times New Roman" w:hAnsi="Cambria Math"/>
                </w:rPr>
                <m:t>,</m:t>
              </m:r>
              <m:r>
                <w:rPr>
                  <w:rFonts w:ascii="Cambria Math" w:eastAsia="Times New Roman" w:hAnsi="Cambria Math"/>
                </w:rPr>
                <m:t>j</m:t>
              </m:r>
            </m:sub>
            <m:sup>
              <m:r>
                <w:rPr>
                  <w:rFonts w:ascii="Cambria Math" w:eastAsia="Times New Roman" w:hAnsi="Cambria Math"/>
                </w:rPr>
                <m:t>t</m:t>
              </m:r>
            </m:sup>
          </m:sSubSup>
          <m:sSubSup>
            <m:sSubSupPr>
              <m:ctrlPr>
                <w:rPr>
                  <w:rFonts w:ascii="Cambria Math" w:eastAsia="Times New Roman" w:hAnsi="Cambria Math"/>
                </w:rPr>
              </m:ctrlPr>
            </m:sSubSupPr>
            <m:e>
              <m:r>
                <w:rPr>
                  <w:rFonts w:ascii="Cambria Math" w:eastAsia="Times New Roman" w:hAnsi="Cambria Math"/>
                </w:rPr>
                <m:t>W</m:t>
              </m:r>
            </m:e>
            <m:sub>
              <m:r>
                <w:rPr>
                  <w:rFonts w:ascii="Cambria Math" w:eastAsia="Times New Roman" w:hAnsi="Cambria Math"/>
                </w:rPr>
                <m:t>s</m:t>
              </m:r>
            </m:sub>
            <m:sup>
              <m:r>
                <w:rPr>
                  <w:rFonts w:ascii="Cambria Math" w:eastAsia="Times New Roman" w:hAnsi="Cambria Math"/>
                </w:rPr>
                <m:t>t</m:t>
              </m:r>
            </m:sup>
          </m:sSubSup>
          <m:r>
            <m:rPr>
              <m:sty m:val="p"/>
            </m:rPr>
            <w:rPr>
              <w:rFonts w:ascii="Cambria Math" w:eastAsia="Times New Roman" w:hAnsi="Cambria Math"/>
            </w:rPr>
            <m:t>+</m:t>
          </m:r>
          <m:sSubSup>
            <m:sSubSupPr>
              <m:ctrlPr>
                <w:rPr>
                  <w:rFonts w:ascii="Cambria Math" w:eastAsia="Times New Roman" w:hAnsi="Cambria Math"/>
                </w:rPr>
              </m:ctrlPr>
            </m:sSubSupPr>
            <m:e>
              <m:r>
                <w:rPr>
                  <w:rFonts w:ascii="Cambria Math" w:eastAsia="Times New Roman" w:hAnsi="Cambria Math"/>
                </w:rPr>
                <m:t>b</m:t>
              </m:r>
            </m:e>
            <m:sub>
              <m:r>
                <w:rPr>
                  <w:rFonts w:ascii="Cambria Math" w:eastAsia="Times New Roman" w:hAnsi="Cambria Math"/>
                </w:rPr>
                <m:t>s</m:t>
              </m:r>
            </m:sub>
            <m:sup>
              <m:r>
                <w:rPr>
                  <w:rFonts w:ascii="Cambria Math" w:eastAsia="Times New Roman" w:hAnsi="Cambria Math"/>
                </w:rPr>
                <m:t>t</m:t>
              </m:r>
            </m:sup>
          </m:sSubSup>
          <m:r>
            <m:rPr>
              <m:sty m:val="p"/>
            </m:rPr>
            <w:rPr>
              <w:rFonts w:ascii="Cambria Math" w:eastAsia="Times New Roman" w:hAnsi="Cambria Math"/>
            </w:rPr>
            <m:t>)</m:t>
          </m:r>
        </m:oMath>
      </m:oMathPara>
    </w:p>
    <w:p w14:paraId="236449BD" w14:textId="1B6C9358" w:rsidR="00BB6794" w:rsidRDefault="006A5261" w:rsidP="00C92BD5">
      <w:pPr>
        <w:pStyle w:val="BodyText"/>
        <w:spacing w:line="360" w:lineRule="auto"/>
        <w:jc w:val="both"/>
        <w:rPr>
          <w:rFonts w:ascii="Times New Roman" w:eastAsia="Times New Roman" w:hAnsi="Times New Roman"/>
        </w:rPr>
      </w:pPr>
      <w:r>
        <w:rPr>
          <w:rFonts w:ascii="Times New Roman" w:eastAsia="Times New Roman" w:hAnsi="Times New Roman"/>
        </w:rPr>
        <w:t>w</w:t>
      </w:r>
      <w:r w:rsidR="00BB6794">
        <w:rPr>
          <w:rFonts w:ascii="Times New Roman" w:eastAsia="Times New Roman" w:hAnsi="Times New Roman"/>
        </w:rPr>
        <w:t>here</w:t>
      </w:r>
      <w:r>
        <w:rPr>
          <w:rFonts w:ascii="Times New Roman" w:eastAsia="Times New Roman" w:hAnsi="Times New Roman"/>
        </w:rPr>
        <w:t xml:space="preserve"> </w:t>
      </w:r>
      <m:oMath>
        <m:sSubSup>
          <m:sSubSupPr>
            <m:ctrlPr>
              <w:rPr>
                <w:rFonts w:ascii="Cambria Math" w:eastAsia="Times New Roman" w:hAnsi="Cambria Math"/>
              </w:rPr>
            </m:ctrlPr>
          </m:sSubSupPr>
          <m:e>
            <m:r>
              <w:rPr>
                <w:rFonts w:ascii="Cambria Math" w:eastAsia="Times New Roman" w:hAnsi="Cambria Math"/>
              </w:rPr>
              <m:t>W</m:t>
            </m:r>
          </m:e>
          <m:sub>
            <m:r>
              <w:rPr>
                <w:rFonts w:ascii="Cambria Math" w:eastAsia="Times New Roman" w:hAnsi="Cambria Math"/>
              </w:rPr>
              <m:t>f</m:t>
            </m:r>
          </m:sub>
          <m:sup>
            <m:r>
              <w:rPr>
                <w:rFonts w:ascii="Cambria Math" w:eastAsia="Times New Roman" w:hAnsi="Cambria Math"/>
              </w:rPr>
              <m:t>t</m:t>
            </m:r>
          </m:sup>
        </m:sSubSup>
      </m:oMath>
      <w:r w:rsidR="00C02F77">
        <w:rPr>
          <w:rFonts w:ascii="Times New Roman" w:eastAsia="Times New Roman" w:hAnsi="Times New Roman"/>
        </w:rPr>
        <w:t xml:space="preserve"> and</w:t>
      </w:r>
      <w:r w:rsidRPr="006A5261">
        <w:rPr>
          <w:rFonts w:ascii="Times New Roman" w:eastAsia="Times New Roman" w:hAnsi="Times New Roman"/>
        </w:rPr>
        <w:t xml:space="preserve"> </w:t>
      </w:r>
      <m:oMath>
        <m:sSubSup>
          <m:sSubSupPr>
            <m:ctrlPr>
              <w:rPr>
                <w:rFonts w:ascii="Cambria Math" w:eastAsia="Times New Roman" w:hAnsi="Cambria Math"/>
              </w:rPr>
            </m:ctrlPr>
          </m:sSubSupPr>
          <m:e>
            <m:r>
              <w:rPr>
                <w:rFonts w:ascii="Cambria Math" w:eastAsia="Times New Roman" w:hAnsi="Cambria Math"/>
              </w:rPr>
              <m:t>W</m:t>
            </m:r>
          </m:e>
          <m:sub>
            <m:r>
              <w:rPr>
                <w:rFonts w:ascii="Cambria Math" w:eastAsia="Times New Roman" w:hAnsi="Cambria Math"/>
              </w:rPr>
              <m:t>s</m:t>
            </m:r>
          </m:sub>
          <m:sup>
            <m:r>
              <w:rPr>
                <w:rFonts w:ascii="Cambria Math" w:eastAsia="Times New Roman" w:hAnsi="Cambria Math"/>
              </w:rPr>
              <m:t>t</m:t>
            </m:r>
          </m:sup>
        </m:sSubSup>
      </m:oMath>
      <w:r>
        <w:rPr>
          <w:rFonts w:ascii="Times New Roman" w:eastAsia="Times New Roman" w:hAnsi="Times New Roman"/>
        </w:rPr>
        <w:t xml:space="preserve"> are learnable weight </w:t>
      </w:r>
      <w:r w:rsidR="00C02F77" w:rsidRPr="00C02F77">
        <w:rPr>
          <w:rFonts w:ascii="Times New Roman" w:eastAsia="Times New Roman" w:hAnsi="Times New Roman"/>
        </w:rPr>
        <w:t>matrices</w:t>
      </w:r>
      <w:r>
        <w:rPr>
          <w:rFonts w:ascii="Times New Roman" w:eastAsia="Times New Roman" w:hAnsi="Times New Roman"/>
        </w:rPr>
        <w:t>,</w:t>
      </w:r>
      <w:r w:rsidRPr="006A5261">
        <w:rPr>
          <w:rFonts w:ascii="Times New Roman" w:eastAsia="Times New Roman" w:hAnsi="Times New Roman"/>
        </w:rPr>
        <w:t xml:space="preserve"> </w:t>
      </w:r>
      <m:oMath>
        <m:sSubSup>
          <m:sSubSupPr>
            <m:ctrlPr>
              <w:rPr>
                <w:rFonts w:ascii="Cambria Math" w:eastAsia="Times New Roman" w:hAnsi="Cambria Math"/>
              </w:rPr>
            </m:ctrlPr>
          </m:sSubSupPr>
          <m:e>
            <m:r>
              <w:rPr>
                <w:rFonts w:ascii="Cambria Math" w:eastAsia="Times New Roman" w:hAnsi="Cambria Math"/>
              </w:rPr>
              <m:t>b</m:t>
            </m:r>
          </m:e>
          <m:sub>
            <m:r>
              <w:rPr>
                <w:rFonts w:ascii="Cambria Math" w:eastAsia="Times New Roman" w:hAnsi="Cambria Math"/>
              </w:rPr>
              <m:t>f</m:t>
            </m:r>
          </m:sub>
          <m:sup>
            <m:r>
              <w:rPr>
                <w:rFonts w:ascii="Cambria Math" w:eastAsia="Times New Roman" w:hAnsi="Cambria Math"/>
              </w:rPr>
              <m:t>t</m:t>
            </m:r>
          </m:sup>
        </m:sSubSup>
      </m:oMath>
      <w:r w:rsidRPr="006A5261">
        <w:rPr>
          <w:rFonts w:ascii="Times New Roman" w:eastAsia="Times New Roman" w:hAnsi="Times New Roman"/>
        </w:rPr>
        <w:t xml:space="preserve"> </w:t>
      </w:r>
      <w:r>
        <w:rPr>
          <w:rFonts w:ascii="Times New Roman" w:eastAsia="Times New Roman" w:hAnsi="Times New Roman"/>
        </w:rPr>
        <w:t xml:space="preserve">and </w:t>
      </w:r>
      <m:oMath>
        <m:sSubSup>
          <m:sSubSupPr>
            <m:ctrlPr>
              <w:rPr>
                <w:rFonts w:ascii="Cambria Math" w:eastAsia="Times New Roman" w:hAnsi="Cambria Math"/>
              </w:rPr>
            </m:ctrlPr>
          </m:sSubSupPr>
          <m:e>
            <m:r>
              <w:rPr>
                <w:rFonts w:ascii="Cambria Math" w:eastAsia="Times New Roman" w:hAnsi="Cambria Math"/>
              </w:rPr>
              <m:t>b</m:t>
            </m:r>
          </m:e>
          <m:sub>
            <m:r>
              <w:rPr>
                <w:rFonts w:ascii="Cambria Math" w:eastAsia="Times New Roman" w:hAnsi="Cambria Math"/>
              </w:rPr>
              <m:t>s</m:t>
            </m:r>
          </m:sub>
          <m:sup>
            <m:r>
              <w:rPr>
                <w:rFonts w:ascii="Cambria Math" w:eastAsia="Times New Roman" w:hAnsi="Cambria Math"/>
              </w:rPr>
              <m:t>t</m:t>
            </m:r>
          </m:sup>
        </m:sSubSup>
      </m:oMath>
      <w:r>
        <w:rPr>
          <w:rFonts w:ascii="Times New Roman" w:eastAsia="Times New Roman" w:hAnsi="Times New Roman"/>
        </w:rPr>
        <w:t xml:space="preserve"> </w:t>
      </w:r>
      <w:r w:rsidRPr="006A5261">
        <w:rPr>
          <w:rFonts w:ascii="Times New Roman" w:eastAsia="Times New Roman" w:hAnsi="Times New Roman"/>
        </w:rPr>
        <w:t xml:space="preserve">are </w:t>
      </w:r>
      <w:r w:rsidR="00C02F77">
        <w:rPr>
          <w:rFonts w:ascii="Times New Roman" w:eastAsia="Times New Roman" w:hAnsi="Times New Roman"/>
        </w:rPr>
        <w:t xml:space="preserve">the </w:t>
      </w:r>
      <w:r w:rsidR="00C02F77" w:rsidRPr="00C02F77">
        <w:rPr>
          <w:rFonts w:ascii="Times New Roman" w:eastAsia="Times New Roman" w:hAnsi="Times New Roman"/>
        </w:rPr>
        <w:t>biases</w:t>
      </w:r>
      <w:r>
        <w:rPr>
          <w:rFonts w:ascii="Times New Roman" w:eastAsia="Times New Roman" w:hAnsi="Times New Roman"/>
        </w:rPr>
        <w:t xml:space="preserve"> of </w:t>
      </w:r>
      <w:r w:rsidRPr="006A5261">
        <w:rPr>
          <w:rFonts w:ascii="Times New Roman" w:eastAsia="Times New Roman" w:hAnsi="Times New Roman"/>
        </w:rPr>
        <w:t xml:space="preserve">the </w:t>
      </w:r>
      <m:oMath>
        <m:r>
          <w:rPr>
            <w:rFonts w:ascii="Cambria Math" w:eastAsia="Times New Roman" w:hAnsi="Cambria Math"/>
          </w:rPr>
          <m:t>t</m:t>
        </m:r>
      </m:oMath>
      <w:r w:rsidR="00C02F77">
        <w:rPr>
          <w:rFonts w:ascii="Times New Roman" w:eastAsia="Times New Roman" w:hAnsi="Times New Roman"/>
        </w:rPr>
        <w:t>-</w:t>
      </w:r>
      <w:r w:rsidRPr="006A5261">
        <w:rPr>
          <w:rFonts w:ascii="Times New Roman" w:eastAsia="Times New Roman" w:hAnsi="Times New Roman"/>
        </w:rPr>
        <w:t>th layer</w:t>
      </w:r>
      <w:r w:rsidR="00BB6794">
        <w:rPr>
          <w:rFonts w:ascii="Times New Roman" w:eastAsia="Times New Roman" w:hAnsi="Times New Roman"/>
        </w:rPr>
        <w:t>.</w:t>
      </w:r>
      <w:r w:rsidR="00C02F77">
        <w:rPr>
          <w:rFonts w:ascii="Times New Roman" w:eastAsia="Times New Roman" w:hAnsi="Times New Roman"/>
        </w:rPr>
        <w:t xml:space="preserve"> The functions</w:t>
      </w:r>
      <w:r w:rsidR="00C02F77" w:rsidRPr="00C92BD5">
        <w:rPr>
          <w:rFonts w:ascii="Times New Roman" w:eastAsia="Times New Roman" w:hAnsi="Times New Roman"/>
        </w:rPr>
        <w:t xml:space="preserve"> </w:t>
      </w:r>
      <m:oMath>
        <m:r>
          <w:rPr>
            <w:rFonts w:ascii="Cambria Math" w:eastAsia="Times New Roman" w:hAnsi="Cambria Math"/>
          </w:rPr>
          <m:t>σ</m:t>
        </m:r>
      </m:oMath>
      <w:r w:rsidR="007813D9">
        <w:rPr>
          <w:rFonts w:ascii="Times New Roman" w:eastAsia="Times New Roman" w:hAnsi="Times New Roman"/>
        </w:rPr>
        <w:t xml:space="preserve"> and </w:t>
      </w:r>
      <m:oMath>
        <m:r>
          <w:rPr>
            <w:rFonts w:ascii="Cambria Math" w:eastAsia="Times New Roman" w:hAnsi="Cambria Math"/>
          </w:rPr>
          <m:t>g</m:t>
        </m:r>
      </m:oMath>
      <w:r w:rsidRPr="006A5261">
        <w:rPr>
          <w:rFonts w:ascii="Times New Roman" w:eastAsia="Times New Roman" w:hAnsi="Times New Roman"/>
        </w:rPr>
        <w:t xml:space="preserve"> </w:t>
      </w:r>
      <w:r w:rsidR="00C02F77">
        <w:rPr>
          <w:rFonts w:ascii="Times New Roman" w:eastAsia="Times New Roman" w:hAnsi="Times New Roman"/>
        </w:rPr>
        <w:t>represent</w:t>
      </w:r>
      <w:r w:rsidRPr="006A5261">
        <w:rPr>
          <w:rFonts w:ascii="Times New Roman" w:eastAsia="Times New Roman" w:hAnsi="Times New Roman"/>
        </w:rPr>
        <w:t xml:space="preserve"> the activation function</w:t>
      </w:r>
      <w:r w:rsidR="00C02F77">
        <w:rPr>
          <w:rFonts w:ascii="Times New Roman" w:eastAsia="Times New Roman" w:hAnsi="Times New Roman"/>
        </w:rPr>
        <w:t>s</w:t>
      </w:r>
      <w:r w:rsidR="007813D9">
        <w:rPr>
          <w:rFonts w:ascii="Times New Roman" w:eastAsia="Times New Roman" w:hAnsi="Times New Roman"/>
        </w:rPr>
        <w:t>.</w:t>
      </w:r>
      <w:r w:rsidR="007813D9" w:rsidRPr="00C92BD5">
        <w:rPr>
          <w:rFonts w:ascii="Times New Roman" w:eastAsia="Times New Roman" w:hAnsi="Times New Roman"/>
        </w:rPr>
        <w:t xml:space="preserve"> </w:t>
      </w:r>
      <m:oMath>
        <m:sSub>
          <m:sSubPr>
            <m:ctrlPr>
              <w:rPr>
                <w:rFonts w:ascii="Cambria Math" w:eastAsia="Times New Roman" w:hAnsi="Cambria Math"/>
              </w:rPr>
            </m:ctrlPr>
          </m:sSubPr>
          <m:e>
            <m:r>
              <w:rPr>
                <w:rFonts w:ascii="Cambria Math" w:eastAsia="Times New Roman" w:hAnsi="Cambria Math"/>
              </w:rPr>
              <m:t>N</m:t>
            </m:r>
          </m:e>
          <m:sub>
            <m:r>
              <w:rPr>
                <w:rFonts w:ascii="Cambria Math" w:eastAsia="Times New Roman" w:hAnsi="Cambria Math"/>
              </w:rPr>
              <m:t>i</m:t>
            </m:r>
          </m:sub>
        </m:sSub>
      </m:oMath>
      <w:r w:rsidR="007813D9" w:rsidRPr="007813D9">
        <w:rPr>
          <w:rFonts w:ascii="Times New Roman" w:eastAsia="Times New Roman" w:hAnsi="Times New Roman"/>
        </w:rPr>
        <w:t xml:space="preserve"> </w:t>
      </w:r>
      <w:r w:rsidR="00C02F77">
        <w:rPr>
          <w:rFonts w:ascii="Times New Roman" w:eastAsia="Times New Roman" w:hAnsi="Times New Roman"/>
        </w:rPr>
        <w:t>denotes</w:t>
      </w:r>
      <w:r w:rsidR="007813D9" w:rsidRPr="007813D9">
        <w:rPr>
          <w:rFonts w:ascii="Times New Roman" w:eastAsia="Times New Roman" w:hAnsi="Times New Roman"/>
        </w:rPr>
        <w:t xml:space="preserve"> the neighbors of node </w:t>
      </w:r>
      <m:oMath>
        <m:r>
          <w:rPr>
            <w:rFonts w:ascii="Cambria Math" w:eastAsia="Times New Roman" w:hAnsi="Cambria Math"/>
          </w:rPr>
          <m:t>i</m:t>
        </m:r>
      </m:oMath>
      <w:r w:rsidR="007813D9">
        <w:rPr>
          <w:rFonts w:ascii="Times New Roman" w:eastAsia="Times New Roman" w:hAnsi="Times New Roman"/>
        </w:rPr>
        <w:t xml:space="preserve"> and </w:t>
      </w:r>
      <m:oMath>
        <m:sSub>
          <m:sSubPr>
            <m:ctrlPr>
              <w:rPr>
                <w:rFonts w:ascii="Cambria Math" w:eastAsia="Times New Roman" w:hAnsi="Cambria Math"/>
              </w:rPr>
            </m:ctrlPr>
          </m:sSubPr>
          <m:e>
            <m:r>
              <m:rPr>
                <m:sty m:val="p"/>
              </m:rPr>
              <w:rPr>
                <w:rFonts w:ascii="Cambria Math" w:eastAsia="Times New Roman" w:hAnsi="Cambria Math"/>
              </w:rPr>
              <m:t>deg</m:t>
            </m:r>
          </m:e>
          <m:sub>
            <m:r>
              <w:rPr>
                <w:rFonts w:ascii="Cambria Math" w:eastAsia="Times New Roman" w:hAnsi="Cambria Math"/>
              </w:rPr>
              <m:t>i</m:t>
            </m:r>
          </m:sub>
        </m:sSub>
      </m:oMath>
      <w:r w:rsidR="007813D9">
        <w:rPr>
          <w:rFonts w:ascii="Times New Roman" w:eastAsia="Times New Roman" w:hAnsi="Times New Roman"/>
        </w:rPr>
        <w:t xml:space="preserve"> is the degree of node </w:t>
      </w:r>
      <m:oMath>
        <m:r>
          <w:rPr>
            <w:rFonts w:ascii="Cambria Math" w:eastAsia="Times New Roman" w:hAnsi="Cambria Math"/>
          </w:rPr>
          <m:t>i</m:t>
        </m:r>
      </m:oMath>
      <w:r w:rsidR="007813D9">
        <w:rPr>
          <w:rFonts w:ascii="Times New Roman" w:eastAsia="Times New Roman" w:hAnsi="Times New Roman"/>
        </w:rPr>
        <w:t>.</w:t>
      </w:r>
      <w:r w:rsidRPr="006A5261">
        <w:rPr>
          <w:rFonts w:ascii="Times New Roman" w:eastAsia="Times New Roman" w:hAnsi="Times New Roman"/>
        </w:rPr>
        <w:t xml:space="preserve"> </w:t>
      </w:r>
      <w:r w:rsidR="00BB6794">
        <w:rPr>
          <w:rFonts w:ascii="Times New Roman" w:eastAsia="Times New Roman" w:hAnsi="Times New Roman"/>
        </w:rPr>
        <w:t xml:space="preserve">This </w:t>
      </w:r>
      <w:r w:rsidR="00F4047F" w:rsidRPr="00F4047F">
        <w:rPr>
          <w:rFonts w:ascii="Times New Roman" w:eastAsia="Times New Roman" w:hAnsi="Times New Roman"/>
        </w:rPr>
        <w:t>operation</w:t>
      </w:r>
      <w:r w:rsidR="00F4047F">
        <w:rPr>
          <w:rFonts w:ascii="Times New Roman" w:eastAsia="Times New Roman" w:hAnsi="Times New Roman"/>
        </w:rPr>
        <w:t xml:space="preserve"> </w:t>
      </w:r>
      <w:r w:rsidR="00BB6794">
        <w:rPr>
          <w:rFonts w:ascii="Times New Roman" w:eastAsia="Times New Roman" w:hAnsi="Times New Roman"/>
        </w:rPr>
        <w:t xml:space="preserve">results in </w:t>
      </w:r>
      <m:oMath>
        <m:r>
          <m:rPr>
            <m:sty m:val="p"/>
          </m:rPr>
          <w:rPr>
            <w:rFonts w:ascii="Cambria Math" w:eastAsia="Times New Roman" w:hAnsi="Cambria Math"/>
          </w:rPr>
          <m:t>8</m:t>
        </m:r>
        <m:sSubSup>
          <m:sSubSupPr>
            <m:ctrlPr>
              <w:rPr>
                <w:rFonts w:ascii="Cambria Math" w:eastAsia="Times New Roman" w:hAnsi="Cambria Math"/>
              </w:rPr>
            </m:ctrlPr>
          </m:sSubSupPr>
          <m:e>
            <m:r>
              <w:rPr>
                <w:rFonts w:ascii="Cambria Math" w:eastAsia="Times New Roman" w:hAnsi="Cambria Math"/>
              </w:rPr>
              <m:t>d</m:t>
            </m:r>
          </m:e>
          <m:sub>
            <m:r>
              <w:rPr>
                <w:rFonts w:ascii="Cambria Math" w:eastAsia="Times New Roman" w:hAnsi="Cambria Math"/>
              </w:rPr>
              <m:t>v</m:t>
            </m:r>
          </m:sub>
          <m:sup>
            <m:r>
              <m:rPr>
                <m:sty m:val="p"/>
              </m:rPr>
              <w:rPr>
                <w:rFonts w:ascii="Cambria Math" w:eastAsia="Times New Roman" w:hAnsi="Cambria Math"/>
              </w:rPr>
              <m:t>2</m:t>
            </m:r>
          </m:sup>
        </m:sSubSup>
        <m:sSub>
          <m:sSubPr>
            <m:ctrlPr>
              <w:rPr>
                <w:rFonts w:ascii="Cambria Math" w:eastAsia="Times New Roman" w:hAnsi="Cambria Math"/>
              </w:rPr>
            </m:ctrlPr>
          </m:sSubPr>
          <m:e>
            <m:r>
              <m:rPr>
                <m:sty m:val="p"/>
              </m:rPr>
              <w:rPr>
                <w:rFonts w:ascii="Cambria Math" w:eastAsia="Times New Roman" w:hAnsi="Cambria Math"/>
              </w:rPr>
              <m:t>deg</m:t>
            </m:r>
          </m:e>
          <m:sub>
            <m:r>
              <w:rPr>
                <w:rFonts w:ascii="Cambria Math" w:eastAsia="Times New Roman" w:hAnsi="Cambria Math"/>
              </w:rPr>
              <m:t>i</m:t>
            </m:r>
          </m:sub>
        </m:sSub>
        <m:r>
          <m:rPr>
            <m:sty m:val="p"/>
          </m:rPr>
          <w:rPr>
            <w:rFonts w:ascii="Cambria Math" w:eastAsia="Times New Roman" w:hAnsi="Cambria Math"/>
          </w:rPr>
          <m:t>+4</m:t>
        </m:r>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v</m:t>
            </m:r>
          </m:sub>
        </m:sSub>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e</m:t>
            </m:r>
          </m:sub>
        </m:sSub>
        <m:sSub>
          <m:sSubPr>
            <m:ctrlPr>
              <w:rPr>
                <w:rFonts w:ascii="Cambria Math" w:eastAsia="Times New Roman" w:hAnsi="Cambria Math"/>
              </w:rPr>
            </m:ctrlPr>
          </m:sSubPr>
          <m:e>
            <m:func>
              <m:funcPr>
                <m:ctrlPr>
                  <w:rPr>
                    <w:rFonts w:ascii="Cambria Math" w:eastAsia="Times New Roman" w:hAnsi="Cambria Math"/>
                  </w:rPr>
                </m:ctrlPr>
              </m:funcPr>
              <m:fName>
                <m:sSub>
                  <m:sSubPr>
                    <m:ctrlPr>
                      <w:rPr>
                        <w:rFonts w:ascii="Cambria Math" w:eastAsia="Times New Roman" w:hAnsi="Cambria Math"/>
                      </w:rPr>
                    </m:ctrlPr>
                  </m:sSubPr>
                  <m:e>
                    <m:r>
                      <m:rPr>
                        <m:sty m:val="p"/>
                      </m:rPr>
                      <w:rPr>
                        <w:rFonts w:ascii="Cambria Math" w:eastAsia="Times New Roman" w:hAnsi="Cambria Math"/>
                      </w:rPr>
                      <m:t>deg</m:t>
                    </m:r>
                  </m:e>
                  <m:sub>
                    <m:r>
                      <w:rPr>
                        <w:rFonts w:ascii="Cambria Math" w:eastAsia="Times New Roman" w:hAnsi="Cambria Math"/>
                      </w:rPr>
                      <m:t>i</m:t>
                    </m:r>
                  </m:sub>
                </m:sSub>
              </m:fName>
              <m:e>
                <m:r>
                  <m:rPr>
                    <m:sty m:val="p"/>
                  </m:rPr>
                  <w:rPr>
                    <w:rFonts w:ascii="Cambria Math" w:eastAsia="Times New Roman" w:hAnsi="Cambria Math"/>
                  </w:rPr>
                  <m:t>+4</m:t>
                </m:r>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v</m:t>
                    </m:r>
                  </m:sub>
                </m:sSub>
                <m:sSub>
                  <m:sSubPr>
                    <m:ctrlPr>
                      <w:rPr>
                        <w:rFonts w:ascii="Cambria Math" w:eastAsia="Times New Roman" w:hAnsi="Cambria Math"/>
                      </w:rPr>
                    </m:ctrlPr>
                  </m:sSubPr>
                  <m:e>
                    <m:r>
                      <m:rPr>
                        <m:sty m:val="p"/>
                      </m:rPr>
                      <w:rPr>
                        <w:rFonts w:ascii="Cambria Math" w:eastAsia="Times New Roman" w:hAnsi="Cambria Math"/>
                      </w:rPr>
                      <m:t>deg</m:t>
                    </m:r>
                  </m:e>
                  <m:sub>
                    <m:r>
                      <w:rPr>
                        <w:rFonts w:ascii="Cambria Math" w:eastAsia="Times New Roman" w:hAnsi="Cambria Math"/>
                      </w:rPr>
                      <m:t>i</m:t>
                    </m:r>
                  </m:sub>
                </m:sSub>
                <m:r>
                  <m:rPr>
                    <m:sty m:val="p"/>
                  </m:rPr>
                  <w:rPr>
                    <w:rFonts w:ascii="Cambria Math" w:eastAsia="Times New Roman" w:hAnsi="Cambria Math"/>
                  </w:rPr>
                  <m:t>+</m:t>
                </m:r>
                <m:r>
                  <w:rPr>
                    <w:rFonts w:ascii="Cambria Math" w:eastAsia="Times New Roman" w:hAnsi="Cambria Math"/>
                  </w:rPr>
                  <m:t>d</m:t>
                </m:r>
              </m:e>
            </m:func>
          </m:e>
          <m:sub>
            <m:r>
              <w:rPr>
                <w:rFonts w:ascii="Cambria Math" w:eastAsia="Times New Roman" w:hAnsi="Cambria Math"/>
              </w:rPr>
              <m:t>v</m:t>
            </m:r>
          </m:sub>
        </m:sSub>
      </m:oMath>
      <w:r w:rsidR="007813D9">
        <w:rPr>
          <w:rFonts w:ascii="Times New Roman" w:eastAsia="Times New Roman" w:hAnsi="Times New Roman"/>
        </w:rPr>
        <w:t xml:space="preserve"> </w:t>
      </w:r>
      <w:r w:rsidR="00BB6794">
        <w:rPr>
          <w:rFonts w:ascii="Times New Roman" w:eastAsia="Times New Roman" w:hAnsi="Times New Roman"/>
        </w:rPr>
        <w:t>FLOPs per node for a single convolution layer.</w:t>
      </w:r>
      <w:r w:rsidR="00795BB6">
        <w:rPr>
          <w:rFonts w:ascii="Times New Roman" w:eastAsia="Times New Roman" w:hAnsi="Times New Roman"/>
        </w:rPr>
        <w:t xml:space="preserve"> Aggregating the FLOPs over all nodes</w:t>
      </w:r>
      <w:r w:rsidR="00F4047F">
        <w:rPr>
          <w:rFonts w:ascii="Times New Roman" w:eastAsia="Times New Roman" w:hAnsi="Times New Roman"/>
        </w:rPr>
        <w:t xml:space="preserve"> yields the total FLOPs for the entire graph</w:t>
      </w:r>
      <w:r w:rsidR="00C02F77">
        <w:rPr>
          <w:rFonts w:ascii="Times New Roman" w:eastAsia="Times New Roman" w:hAnsi="Times New Roman"/>
        </w:rPr>
        <w:t xml:space="preserve"> as</w:t>
      </w:r>
    </w:p>
    <w:p w14:paraId="590828D6" w14:textId="3652FE8E" w:rsidR="00795BB6" w:rsidRPr="00F4047F" w:rsidRDefault="0046102E" w:rsidP="00C92BD5">
      <w:pPr>
        <w:pStyle w:val="BodyText"/>
        <w:spacing w:line="360" w:lineRule="auto"/>
        <w:jc w:val="center"/>
        <w:rPr>
          <w:rFonts w:ascii="Times New Roman" w:eastAsia="Times New Roman" w:hAnsi="Times New Roman"/>
        </w:rPr>
      </w:pPr>
      <m:oMathPara>
        <m:oMath>
          <m:r>
            <m:rPr>
              <m:sty m:val="p"/>
            </m:rPr>
            <w:rPr>
              <w:rFonts w:ascii="Cambria Math" w:eastAsia="Times New Roman" w:hAnsi="Cambria Math"/>
            </w:rPr>
            <m:t>FLOPs =</m:t>
          </m:r>
          <m:r>
            <m:rPr>
              <m:sty m:val="p"/>
            </m:rPr>
            <w:rPr>
              <w:rFonts w:ascii="Cambria Math" w:eastAsia="Times New Roman" w:hAnsi="Times New Roman"/>
            </w:rPr>
            <m:t>16</m:t>
          </m:r>
          <m:sSubSup>
            <m:sSubSupPr>
              <m:ctrlPr>
                <w:rPr>
                  <w:rFonts w:ascii="Cambria Math" w:eastAsia="Times New Roman" w:hAnsi="Cambria Math"/>
                </w:rPr>
              </m:ctrlPr>
            </m:sSubSupPr>
            <m:e>
              <m:r>
                <w:rPr>
                  <w:rFonts w:ascii="Cambria Math" w:eastAsia="Times New Roman" w:hAnsi="Cambria Math"/>
                </w:rPr>
                <m:t>d</m:t>
              </m:r>
            </m:e>
            <m:sub>
              <m:r>
                <w:rPr>
                  <w:rFonts w:ascii="Cambria Math" w:eastAsia="Times New Roman" w:hAnsi="Cambria Math"/>
                </w:rPr>
                <m:t>v</m:t>
              </m:r>
            </m:sub>
            <m:sup>
              <m:r>
                <m:rPr>
                  <m:sty m:val="p"/>
                </m:rPr>
                <w:rPr>
                  <w:rFonts w:ascii="Cambria Math" w:eastAsia="Times New Roman" w:hAnsi="Cambria Math"/>
                </w:rPr>
                <m:t>2</m:t>
              </m:r>
            </m:sup>
          </m:sSubSup>
          <m:d>
            <m:dPr>
              <m:begChr m:val="|"/>
              <m:endChr m:val="|"/>
              <m:ctrlPr>
                <w:rPr>
                  <w:rFonts w:ascii="Cambria Math" w:eastAsia="Times New Roman" w:hAnsi="Cambria Math"/>
                </w:rPr>
              </m:ctrlPr>
            </m:dPr>
            <m:e>
              <m:r>
                <w:rPr>
                  <w:rFonts w:ascii="Cambria Math" w:eastAsia="Times New Roman" w:hAnsi="Cambria Math"/>
                </w:rPr>
                <m:t>E</m:t>
              </m:r>
            </m:e>
          </m:d>
          <m:r>
            <m:rPr>
              <m:sty m:val="p"/>
            </m:rPr>
            <w:rPr>
              <w:rFonts w:ascii="Cambria Math" w:eastAsia="Times New Roman" w:hAnsi="Cambria Math"/>
            </w:rPr>
            <m:t>+8</m:t>
          </m:r>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v</m:t>
              </m:r>
            </m:sub>
          </m:sSub>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e</m:t>
              </m:r>
            </m:sub>
          </m:sSub>
          <m:d>
            <m:dPr>
              <m:begChr m:val="|"/>
              <m:endChr m:val="|"/>
              <m:ctrlPr>
                <w:rPr>
                  <w:rFonts w:ascii="Cambria Math" w:eastAsia="Times New Roman" w:hAnsi="Cambria Math"/>
                </w:rPr>
              </m:ctrlPr>
            </m:dPr>
            <m:e>
              <m:r>
                <w:rPr>
                  <w:rFonts w:ascii="Cambria Math" w:eastAsia="Times New Roman" w:hAnsi="Cambria Math"/>
                </w:rPr>
                <m:t>E</m:t>
              </m:r>
            </m:e>
          </m:d>
          <m:r>
            <m:rPr>
              <m:sty m:val="p"/>
            </m:rPr>
            <w:rPr>
              <w:rFonts w:ascii="Cambria Math" w:eastAsia="Times New Roman" w:hAnsi="Cambria Math"/>
            </w:rPr>
            <m:t>+8</m:t>
          </m:r>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v</m:t>
              </m:r>
            </m:sub>
          </m:sSub>
          <m:d>
            <m:dPr>
              <m:begChr m:val="|"/>
              <m:endChr m:val="|"/>
              <m:ctrlPr>
                <w:rPr>
                  <w:rFonts w:ascii="Cambria Math" w:eastAsia="Times New Roman" w:hAnsi="Cambria Math"/>
                </w:rPr>
              </m:ctrlPr>
            </m:dPr>
            <m:e>
              <m:r>
                <w:rPr>
                  <w:rFonts w:ascii="Cambria Math" w:eastAsia="Times New Roman" w:hAnsi="Cambria Math"/>
                </w:rPr>
                <m:t>E</m:t>
              </m:r>
            </m:e>
          </m:d>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v</m:t>
              </m:r>
            </m:sub>
          </m:sSub>
          <m:r>
            <m:rPr>
              <m:sty m:val="p"/>
            </m:rPr>
            <w:rPr>
              <w:rFonts w:ascii="Cambria Math" w:eastAsia="Times New Roman" w:hAnsi="Cambria Math"/>
            </w:rPr>
            <m:t>|</m:t>
          </m:r>
          <m:r>
            <w:rPr>
              <w:rFonts w:ascii="Cambria Math" w:eastAsia="Times New Roman" w:hAnsi="Cambria Math"/>
            </w:rPr>
            <m:t>V</m:t>
          </m:r>
          <m:r>
            <m:rPr>
              <m:sty m:val="p"/>
            </m:rPr>
            <w:rPr>
              <w:rFonts w:ascii="Cambria Math" w:eastAsia="Times New Roman" w:hAnsi="Cambria Math"/>
            </w:rPr>
            <m:t>|</m:t>
          </m:r>
        </m:oMath>
      </m:oMathPara>
    </w:p>
    <w:p w14:paraId="050D58C3" w14:textId="4C019827" w:rsidR="00795BB6" w:rsidRDefault="00795BB6" w:rsidP="00C92BD5">
      <w:pPr>
        <w:pStyle w:val="BodyText"/>
        <w:spacing w:line="360" w:lineRule="auto"/>
        <w:jc w:val="both"/>
        <w:rPr>
          <w:rFonts w:ascii="Times New Roman" w:eastAsia="Times New Roman" w:hAnsi="Times New Roman"/>
        </w:rPr>
      </w:pPr>
      <w:r>
        <w:rPr>
          <w:rFonts w:ascii="Times New Roman" w:eastAsia="Times New Roman" w:hAnsi="Times New Roman"/>
        </w:rPr>
        <w:t xml:space="preserve">For the CG-NET, </w:t>
      </w:r>
      <m:oMath>
        <m:d>
          <m:dPr>
            <m:begChr m:val="|"/>
            <m:endChr m:val="|"/>
            <m:ctrlPr>
              <w:rPr>
                <w:rFonts w:ascii="Cambria Math" w:eastAsia="Times New Roman" w:hAnsi="Cambria Math"/>
              </w:rPr>
            </m:ctrlPr>
          </m:dPr>
          <m:e>
            <m:r>
              <w:rPr>
                <w:rFonts w:ascii="Cambria Math" w:eastAsia="Times New Roman" w:hAnsi="Cambria Math"/>
              </w:rPr>
              <m:t>V</m:t>
            </m:r>
          </m:e>
        </m:d>
      </m:oMath>
      <w:r w:rsidR="00C02F77">
        <w:rPr>
          <w:rFonts w:ascii="Times New Roman" w:eastAsia="Times New Roman" w:hAnsi="Times New Roman"/>
        </w:rPr>
        <w:t xml:space="preserve"> and </w:t>
      </w:r>
      <m:oMath>
        <m:d>
          <m:dPr>
            <m:begChr m:val="|"/>
            <m:endChr m:val="|"/>
            <m:ctrlPr>
              <w:rPr>
                <w:rFonts w:ascii="Cambria Math" w:eastAsia="Times New Roman" w:hAnsi="Cambria Math"/>
              </w:rPr>
            </m:ctrlPr>
          </m:dPr>
          <m:e>
            <m:r>
              <w:rPr>
                <w:rFonts w:ascii="Cambria Math" w:eastAsia="Times New Roman" w:hAnsi="Cambria Math"/>
              </w:rPr>
              <m:t>E</m:t>
            </m:r>
          </m:e>
        </m:d>
      </m:oMath>
      <w:r w:rsidR="00C02F77">
        <w:rPr>
          <w:rFonts w:ascii="Times New Roman" w:eastAsia="Times New Roman" w:hAnsi="Times New Roman"/>
        </w:rPr>
        <w:t xml:space="preserve"> are largely reduced with the cluster graph representation, which makes FLOPs required by the </w:t>
      </w:r>
      <w:r w:rsidR="00B40B60">
        <w:rPr>
          <w:rFonts w:ascii="Times New Roman" w:eastAsia="Times New Roman" w:hAnsi="Times New Roman"/>
        </w:rPr>
        <w:t xml:space="preserve">entire </w:t>
      </w:r>
      <w:r w:rsidR="00C02F77">
        <w:rPr>
          <w:rFonts w:ascii="Times New Roman" w:eastAsia="Times New Roman" w:hAnsi="Times New Roman"/>
        </w:rPr>
        <w:t xml:space="preserve">graph datasets largely reduced. Additionally, </w:t>
      </w:r>
      <w:r w:rsidR="00F4047F" w:rsidRPr="00F4047F">
        <w:rPr>
          <w:rFonts w:ascii="Times New Roman" w:eastAsia="Times New Roman" w:hAnsi="Times New Roman"/>
        </w:rPr>
        <w:t>pseudo</w:t>
      </w:r>
      <w:r>
        <w:rPr>
          <w:rFonts w:ascii="Times New Roman" w:eastAsia="Times New Roman" w:hAnsi="Times New Roman"/>
        </w:rPr>
        <w:t xml:space="preserve"> node </w:t>
      </w:r>
      <w:r w:rsidR="00C02F77" w:rsidRPr="00C02F77">
        <w:rPr>
          <w:rFonts w:ascii="Times New Roman" w:eastAsia="Times New Roman" w:hAnsi="Times New Roman"/>
        </w:rPr>
        <w:t xml:space="preserve">in the cluster graph </w:t>
      </w:r>
      <w:r w:rsidR="00DF3917">
        <w:rPr>
          <w:rFonts w:ascii="Times New Roman" w:eastAsia="Times New Roman" w:hAnsi="Times New Roman"/>
        </w:rPr>
        <w:t xml:space="preserve">only </w:t>
      </w:r>
      <w:r w:rsidR="00B40B60" w:rsidRPr="00C02F77">
        <w:rPr>
          <w:rFonts w:ascii="Times New Roman" w:eastAsia="Times New Roman" w:hAnsi="Times New Roman"/>
        </w:rPr>
        <w:t>serves</w:t>
      </w:r>
      <w:r w:rsidR="00C02F77" w:rsidRPr="00C02F77">
        <w:rPr>
          <w:rFonts w:ascii="Times New Roman" w:eastAsia="Times New Roman" w:hAnsi="Times New Roman"/>
        </w:rPr>
        <w:t xml:space="preserve"> as neighboring coordinates but are not integrated into the convolution operation</w:t>
      </w:r>
      <w:r w:rsidR="00C02F77">
        <w:rPr>
          <w:rFonts w:ascii="Times New Roman" w:eastAsia="Times New Roman" w:hAnsi="Times New Roman"/>
        </w:rPr>
        <w:t xml:space="preserve">. </w:t>
      </w:r>
      <w:r w:rsidR="00C02F77" w:rsidRPr="00C02F77">
        <w:rPr>
          <w:rFonts w:ascii="Times New Roman" w:eastAsia="Times New Roman" w:hAnsi="Times New Roman"/>
        </w:rPr>
        <w:t>Consequently, they do not increase the FLOPs for each</w:t>
      </w:r>
      <w:r w:rsidR="005811D3">
        <w:rPr>
          <w:rFonts w:ascii="Times New Roman" w:eastAsia="Times New Roman" w:hAnsi="Times New Roman"/>
        </w:rPr>
        <w:t xml:space="preserve"> </w:t>
      </w:r>
      <w:r w:rsidR="005811D3" w:rsidRPr="005811D3">
        <w:rPr>
          <w:rFonts w:ascii="Times New Roman" w:eastAsia="Times New Roman" w:hAnsi="Times New Roman"/>
        </w:rPr>
        <w:t>convolution</w:t>
      </w:r>
      <w:r w:rsidR="00C02F77" w:rsidRPr="00C02F77">
        <w:rPr>
          <w:rFonts w:ascii="Times New Roman" w:eastAsia="Times New Roman" w:hAnsi="Times New Roman"/>
        </w:rPr>
        <w:t xml:space="preserve"> layer.</w:t>
      </w:r>
      <w:r>
        <w:rPr>
          <w:rFonts w:ascii="Times New Roman" w:eastAsia="Times New Roman" w:hAnsi="Times New Roman"/>
        </w:rPr>
        <w:t xml:space="preserve"> </w:t>
      </w:r>
      <w:r w:rsidR="00B40B60" w:rsidRPr="00B40B60">
        <w:rPr>
          <w:rFonts w:ascii="Times New Roman" w:eastAsia="Times New Roman" w:hAnsi="Times New Roman"/>
        </w:rPr>
        <w:t xml:space="preserve">In the FLOPs equation above, </w:t>
      </w:r>
      <m:oMath>
        <m:d>
          <m:dPr>
            <m:begChr m:val="|"/>
            <m:endChr m:val="|"/>
            <m:ctrlPr>
              <w:rPr>
                <w:rFonts w:ascii="Cambria Math" w:eastAsia="Times New Roman" w:hAnsi="Cambria Math"/>
              </w:rPr>
            </m:ctrlPr>
          </m:dPr>
          <m:e>
            <m:r>
              <w:rPr>
                <w:rFonts w:ascii="Cambria Math" w:eastAsia="Times New Roman" w:hAnsi="Cambria Math"/>
              </w:rPr>
              <m:t>V</m:t>
            </m:r>
          </m:e>
        </m:d>
      </m:oMath>
      <w:r w:rsidR="00B40B60">
        <w:rPr>
          <w:rFonts w:ascii="Times New Roman" w:eastAsia="Times New Roman" w:hAnsi="Times New Roman"/>
        </w:rPr>
        <w:t xml:space="preserve"> and </w:t>
      </w:r>
      <m:oMath>
        <m:d>
          <m:dPr>
            <m:begChr m:val="|"/>
            <m:endChr m:val="|"/>
            <m:ctrlPr>
              <w:rPr>
                <w:rFonts w:ascii="Cambria Math" w:eastAsia="Times New Roman" w:hAnsi="Cambria Math"/>
              </w:rPr>
            </m:ctrlPr>
          </m:dPr>
          <m:e>
            <m:r>
              <w:rPr>
                <w:rFonts w:ascii="Cambria Math" w:eastAsia="Times New Roman" w:hAnsi="Cambria Math"/>
              </w:rPr>
              <m:t>E</m:t>
            </m:r>
          </m:e>
        </m:d>
      </m:oMath>
      <w:r w:rsidR="00B40B60" w:rsidRPr="00B40B60">
        <w:rPr>
          <w:rFonts w:ascii="Times New Roman" w:eastAsia="Times New Roman" w:hAnsi="Times New Roman"/>
        </w:rPr>
        <w:t xml:space="preserve"> for the original </w:t>
      </w:r>
      <w:r w:rsidR="00B40B60" w:rsidRPr="00B40B60">
        <w:rPr>
          <w:rFonts w:ascii="Times New Roman" w:eastAsia="Times New Roman" w:hAnsi="Times New Roman"/>
        </w:rPr>
        <w:lastRenderedPageBreak/>
        <w:t>graph are replaced by |</w:t>
      </w:r>
      <m:oMath>
        <m:d>
          <m:dPr>
            <m:begChr m:val="|"/>
            <m:endChr m:val="|"/>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V</m:t>
                </m:r>
              </m:e>
              <m:sub>
                <m:r>
                  <w:rPr>
                    <w:rFonts w:ascii="Cambria Math" w:eastAsia="Times New Roman" w:hAnsi="Cambria Math"/>
                  </w:rPr>
                  <m:t>cluster</m:t>
                </m:r>
              </m:sub>
            </m:sSub>
          </m:e>
        </m:d>
      </m:oMath>
      <w:r w:rsidR="00B40B60">
        <w:rPr>
          <w:rFonts w:ascii="Times New Roman" w:eastAsia="Times New Roman" w:hAnsi="Times New Roman"/>
        </w:rPr>
        <w:t xml:space="preserve"> and </w:t>
      </w:r>
      <m:oMath>
        <m:d>
          <m:dPr>
            <m:begChr m:val="|"/>
            <m:endChr m:val="|"/>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E</m:t>
                </m:r>
              </m:e>
              <m:sub>
                <m:r>
                  <w:rPr>
                    <w:rFonts w:ascii="Cambria Math" w:eastAsia="Times New Roman" w:hAnsi="Cambria Math"/>
                  </w:rPr>
                  <m:t>cluster</m:t>
                </m:r>
              </m:sub>
            </m:sSub>
          </m:e>
        </m:d>
      </m:oMath>
      <w:r w:rsidR="00B40B60" w:rsidRPr="00B40B60">
        <w:rPr>
          <w:rFonts w:ascii="Times New Roman" w:eastAsia="Times New Roman" w:hAnsi="Times New Roman"/>
        </w:rPr>
        <w:t>, representing the reduced number of cluster nodes and edges in the cluster graph, resulting in significantly lower computational costs.</w:t>
      </w:r>
    </w:p>
    <w:p w14:paraId="609E2F79" w14:textId="049EA526" w:rsidR="0084143C" w:rsidRPr="00C92BD5" w:rsidRDefault="009D6CB6" w:rsidP="00C92BD5">
      <w:pPr>
        <w:pStyle w:val="BodyText"/>
        <w:spacing w:line="360" w:lineRule="auto"/>
        <w:jc w:val="both"/>
        <w:rPr>
          <w:rFonts w:ascii="SimSun" w:eastAsia="SimSun" w:hAnsi="SimSun" w:cs="SimSun"/>
          <w:lang w:eastAsia="zh-CN"/>
        </w:rPr>
      </w:pPr>
      <w:r w:rsidRPr="009D6CB6">
        <w:rPr>
          <w:rFonts w:ascii="Times New Roman" w:eastAsia="Times New Roman" w:hAnsi="Times New Roman"/>
        </w:rPr>
        <w:t xml:space="preserve">The statistical comparison of graph datasets generated using crystal graph and cluster graph representations is presented in Table </w:t>
      </w:r>
      <w:r w:rsidR="00890C32">
        <w:rPr>
          <w:rFonts w:ascii="Times New Roman" w:eastAsia="Times New Roman" w:hAnsi="Times New Roman"/>
        </w:rPr>
        <w:t>1</w:t>
      </w:r>
      <w:r w:rsidRPr="009D6CB6">
        <w:rPr>
          <w:rFonts w:ascii="Times New Roman" w:eastAsia="Times New Roman" w:hAnsi="Times New Roman"/>
        </w:rPr>
        <w:t xml:space="preserve">. Note that, for demonstration purposes, the ODAC23 dataset was filtered to a relatively small sample size. However, when using the </w:t>
      </w:r>
      <w:r w:rsidR="00167AA4">
        <w:rPr>
          <w:rFonts w:ascii="Times New Roman" w:eastAsia="Times New Roman" w:hAnsi="Times New Roman"/>
        </w:rPr>
        <w:t>complete</w:t>
      </w:r>
      <w:r w:rsidRPr="009D6CB6">
        <w:rPr>
          <w:rFonts w:ascii="Times New Roman" w:eastAsia="Times New Roman" w:hAnsi="Times New Roman"/>
        </w:rPr>
        <w:t xml:space="preserve"> dataset, the estimated FLOP</w:t>
      </w:r>
      <w:r w:rsidR="00E967C1">
        <w:rPr>
          <w:rFonts w:ascii="Times New Roman" w:eastAsia="Times New Roman" w:hAnsi="Times New Roman"/>
        </w:rPr>
        <w:t>s</w:t>
      </w:r>
      <w:r w:rsidR="008F357A">
        <w:rPr>
          <w:rFonts w:ascii="Times New Roman" w:eastAsia="Times New Roman" w:hAnsi="Times New Roman"/>
        </w:rPr>
        <w:t xml:space="preserve"> of a single convolution layer </w:t>
      </w:r>
      <w:r w:rsidRPr="009D6CB6">
        <w:rPr>
          <w:rFonts w:ascii="Times New Roman" w:eastAsia="Times New Roman" w:hAnsi="Times New Roman" w:hint="eastAsia"/>
          <w:lang w:eastAsia="zh-CN"/>
        </w:rPr>
        <w:t>f</w:t>
      </w:r>
      <w:r w:rsidRPr="009D6CB6">
        <w:rPr>
          <w:rFonts w:ascii="Times New Roman" w:eastAsia="Times New Roman" w:hAnsi="Times New Roman"/>
        </w:rPr>
        <w:t xml:space="preserve">or the ODAC23 dataset </w:t>
      </w:r>
      <w:r w:rsidR="00E321A9">
        <w:rPr>
          <w:rFonts w:ascii="Times New Roman" w:eastAsia="Times New Roman" w:hAnsi="Times New Roman"/>
        </w:rPr>
        <w:t>(</w:t>
      </w:r>
      <w:r w:rsidR="00E321A9" w:rsidRPr="00E321A9">
        <w:rPr>
          <w:rFonts w:ascii="Times New Roman" w:eastAsia="Times New Roman" w:hAnsi="Times New Roman"/>
        </w:rPr>
        <w:t>162,2</w:t>
      </w:r>
      <w:r w:rsidR="00053A40">
        <w:rPr>
          <w:rFonts w:ascii="Times New Roman" w:eastAsia="Times New Roman" w:hAnsi="Times New Roman"/>
        </w:rPr>
        <w:t>19</w:t>
      </w:r>
      <w:r w:rsidR="00E321A9" w:rsidRPr="00E321A9">
        <w:rPr>
          <w:rFonts w:ascii="Times New Roman" w:eastAsia="Times New Roman" w:hAnsi="Times New Roman"/>
        </w:rPr>
        <w:t xml:space="preserve"> structures, including </w:t>
      </w:r>
      <w:r w:rsidR="00053A40" w:rsidRPr="00053A40">
        <w:rPr>
          <w:rFonts w:ascii="Times New Roman" w:eastAsia="Times New Roman" w:hAnsi="Times New Roman"/>
        </w:rPr>
        <w:t>32,824,409</w:t>
      </w:r>
      <w:r w:rsidR="00E321A9" w:rsidRPr="00E321A9">
        <w:rPr>
          <w:rFonts w:ascii="Times New Roman" w:eastAsia="Times New Roman" w:hAnsi="Times New Roman"/>
        </w:rPr>
        <w:t xml:space="preserve"> atoms</w:t>
      </w:r>
      <w:r w:rsidR="00E321A9">
        <w:rPr>
          <w:rFonts w:ascii="Times New Roman" w:eastAsia="Times New Roman" w:hAnsi="Times New Roman"/>
        </w:rPr>
        <w:t xml:space="preserve">) </w:t>
      </w:r>
      <w:r w:rsidRPr="009D6CB6">
        <w:rPr>
          <w:rFonts w:ascii="Times New Roman" w:eastAsia="Times New Roman" w:hAnsi="Times New Roman"/>
        </w:rPr>
        <w:t xml:space="preserve">with the crystal graph representation are </w:t>
      </w:r>
      <w:r w:rsidR="00133925">
        <w:rPr>
          <w:rFonts w:ascii="Times New Roman" w:eastAsia="Times New Roman" w:hAnsi="Times New Roman"/>
        </w:rPr>
        <w:t>71.31 TFLOP</w:t>
      </w:r>
      <w:r w:rsidR="00E967C1">
        <w:rPr>
          <w:rFonts w:ascii="Times New Roman" w:eastAsia="Times New Roman" w:hAnsi="Times New Roman"/>
        </w:rPr>
        <w:t>s</w:t>
      </w:r>
      <w:r w:rsidR="00053A40">
        <w:rPr>
          <w:rFonts w:ascii="Times New Roman" w:eastAsia="Times New Roman" w:hAnsi="Times New Roman"/>
        </w:rPr>
        <w:t xml:space="preserve"> (32,824,409 nodes, 393,892,892 edges)</w:t>
      </w:r>
      <w:r w:rsidRPr="009D6CB6">
        <w:rPr>
          <w:rFonts w:ascii="Times New Roman" w:eastAsia="Times New Roman" w:hAnsi="Times New Roman"/>
        </w:rPr>
        <w:t xml:space="preserve">, </w:t>
      </w:r>
      <w:r w:rsidRPr="00133925">
        <w:rPr>
          <w:rFonts w:ascii="Times New Roman" w:eastAsia="Times New Roman" w:hAnsi="Times New Roman"/>
        </w:rPr>
        <w:t xml:space="preserve">which decrease to </w:t>
      </w:r>
      <w:r w:rsidR="00133925">
        <w:rPr>
          <w:rFonts w:ascii="Times New Roman" w:eastAsia="Times New Roman" w:hAnsi="Times New Roman"/>
        </w:rPr>
        <w:t>8.71 TFLOP</w:t>
      </w:r>
      <w:r w:rsidR="00E967C1">
        <w:rPr>
          <w:rFonts w:ascii="Times New Roman" w:eastAsia="Times New Roman" w:hAnsi="Times New Roman"/>
        </w:rPr>
        <w:t>s</w:t>
      </w:r>
      <w:r w:rsidR="00053A40">
        <w:rPr>
          <w:rFonts w:ascii="Times New Roman" w:eastAsia="Times New Roman" w:hAnsi="Times New Roman"/>
        </w:rPr>
        <w:t xml:space="preserve"> (2,919,942 nodes, 48,102,152 edges)</w:t>
      </w:r>
      <w:r w:rsidRPr="009D6CB6">
        <w:rPr>
          <w:rFonts w:ascii="Times New Roman" w:eastAsia="Times New Roman" w:hAnsi="Times New Roman"/>
        </w:rPr>
        <w:t xml:space="preserve"> with the cluster graph representation. This demonstrates the significant efficiency improvements achieved by CG-NET.</w:t>
      </w:r>
    </w:p>
    <w:p w14:paraId="09230F59" w14:textId="5E062C57" w:rsidR="00921591" w:rsidRPr="00FE0F54" w:rsidRDefault="00D65BA6" w:rsidP="00921591">
      <w:pPr>
        <w:pStyle w:val="BodyText"/>
        <w:jc w:val="both"/>
        <w:rPr>
          <w:rFonts w:ascii="Times New Roman" w:hAnsi="Times New Roman" w:cs="Times New Roman"/>
          <w:b/>
          <w:bCs/>
          <w:sz w:val="28"/>
          <w:szCs w:val="28"/>
        </w:rPr>
      </w:pPr>
      <w:r>
        <w:rPr>
          <w:rFonts w:ascii="Times New Roman" w:hAnsi="Times New Roman" w:cs="Times New Roman"/>
          <w:b/>
          <w:bCs/>
          <w:sz w:val="28"/>
          <w:szCs w:val="28"/>
        </w:rPr>
        <w:t>5</w:t>
      </w:r>
      <w:r w:rsidR="00921591">
        <w:rPr>
          <w:rFonts w:ascii="Times New Roman" w:hAnsi="Times New Roman" w:cs="Times New Roman"/>
          <w:b/>
          <w:bCs/>
          <w:sz w:val="28"/>
          <w:szCs w:val="28"/>
        </w:rPr>
        <w:t xml:space="preserve">. </w:t>
      </w:r>
      <w:r w:rsidR="00921591" w:rsidRPr="00FE0F54">
        <w:rPr>
          <w:rFonts w:ascii="Times New Roman" w:hAnsi="Times New Roman" w:cs="Times New Roman"/>
          <w:b/>
          <w:bCs/>
          <w:sz w:val="28"/>
          <w:szCs w:val="28"/>
        </w:rPr>
        <w:t>The pseudo neighboring nodes in the CG-NET</w:t>
      </w:r>
    </w:p>
    <w:p w14:paraId="21108175" w14:textId="77777777" w:rsidR="00921591" w:rsidRPr="007471BC" w:rsidRDefault="00921591" w:rsidP="00C92BD5">
      <w:pPr>
        <w:pStyle w:val="BodyText"/>
        <w:jc w:val="center"/>
        <w:rPr>
          <w:rFonts w:ascii="Times New Roman" w:hAnsi="Times New Roman" w:cs="Times New Roman"/>
          <w:sz w:val="20"/>
          <w:szCs w:val="20"/>
          <w:lang w:eastAsia="zh-CN"/>
        </w:rPr>
      </w:pPr>
      <w:r>
        <w:rPr>
          <w:rFonts w:ascii="Times New Roman" w:hAnsi="Times New Roman" w:cs="Times New Roman"/>
          <w:noProof/>
          <w:sz w:val="20"/>
          <w:szCs w:val="20"/>
          <w:lang w:eastAsia="zh-CN"/>
          <w14:ligatures w14:val="standardContextual"/>
        </w:rPr>
        <w:drawing>
          <wp:inline distT="0" distB="0" distL="0" distR="0" wp14:anchorId="4555A592" wp14:editId="242040B1">
            <wp:extent cx="4620519" cy="2409729"/>
            <wp:effectExtent l="0" t="0" r="0" b="0"/>
            <wp:docPr id="7934894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9487" name="图片 793489487"/>
                    <pic:cNvPicPr/>
                  </pic:nvPicPr>
                  <pic:blipFill>
                    <a:blip r:embed="rId6">
                      <a:extLst>
                        <a:ext uri="{28A0092B-C50C-407E-A947-70E740481C1C}">
                          <a14:useLocalDpi xmlns:a14="http://schemas.microsoft.com/office/drawing/2010/main" val="0"/>
                        </a:ext>
                      </a:extLst>
                    </a:blip>
                    <a:stretch>
                      <a:fillRect/>
                    </a:stretch>
                  </pic:blipFill>
                  <pic:spPr>
                    <a:xfrm>
                      <a:off x="0" y="0"/>
                      <a:ext cx="4629334" cy="2414326"/>
                    </a:xfrm>
                    <a:prstGeom prst="rect">
                      <a:avLst/>
                    </a:prstGeom>
                  </pic:spPr>
                </pic:pic>
              </a:graphicData>
            </a:graphic>
          </wp:inline>
        </w:drawing>
      </w:r>
    </w:p>
    <w:p w14:paraId="566A039F" w14:textId="50D2E99A" w:rsidR="00921591" w:rsidRDefault="00921591" w:rsidP="00C92BD5">
      <w:pPr>
        <w:pStyle w:val="BodyText"/>
        <w:jc w:val="center"/>
        <w:rPr>
          <w:rFonts w:ascii="Times New Roman" w:hAnsi="Times New Roman" w:cs="Times New Roman"/>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b/>
          <w:bCs/>
          <w:sz w:val="20"/>
          <w:szCs w:val="20"/>
          <w:lang w:eastAsia="zh-CN"/>
        </w:rPr>
        <w:t>Figure 2.</w:t>
      </w:r>
      <w:r w:rsidRPr="006878DC">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Illustration</w:t>
      </w:r>
      <w:r w:rsidRPr="006878DC">
        <w:rPr>
          <w:rFonts w:ascii="Times New Roman" w:hAnsi="Times New Roman" w:cs="Times New Roman"/>
          <w:sz w:val="20"/>
          <w:szCs w:val="20"/>
          <w:lang w:eastAsia="zh-CN"/>
        </w:rPr>
        <w:t xml:space="preserve"> of the CG-NET model</w:t>
      </w:r>
      <w:r>
        <w:rPr>
          <w:rFonts w:ascii="Times New Roman" w:hAnsi="Times New Roman" w:cs="Times New Roman"/>
          <w:sz w:val="20"/>
          <w:szCs w:val="20"/>
          <w:lang w:eastAsia="zh-CN"/>
        </w:rPr>
        <w:t>s</w:t>
      </w:r>
      <w:r w:rsidRPr="006878DC">
        <w:rPr>
          <w:rFonts w:ascii="Times New Roman" w:hAnsi="Times New Roman" w:cs="Times New Roman"/>
          <w:sz w:val="20"/>
          <w:szCs w:val="20"/>
          <w:lang w:eastAsia="zh-CN"/>
        </w:rPr>
        <w:t xml:space="preserve"> with and without pseudo neighboring nodes.</w:t>
      </w:r>
    </w:p>
    <w:p w14:paraId="01032EFE" w14:textId="77777777" w:rsidR="00C92BD5" w:rsidRDefault="00C92BD5" w:rsidP="00C92BD5">
      <w:pPr>
        <w:pStyle w:val="paragraph"/>
        <w:ind w:firstLineChars="200" w:firstLine="480"/>
      </w:pPr>
    </w:p>
    <w:p w14:paraId="5DD68116" w14:textId="2C101BB1" w:rsidR="00921591" w:rsidRPr="006878DC" w:rsidRDefault="00921591" w:rsidP="00C92BD5">
      <w:pPr>
        <w:pStyle w:val="paragraph"/>
        <w:ind w:firstLineChars="200" w:firstLine="480"/>
      </w:pPr>
      <w:r w:rsidRPr="00266E33">
        <w:t xml:space="preserve">To highlight the significance of pseudo neighboring nodes in the CG-NET, we construct a </w:t>
      </w:r>
      <w:r w:rsidR="00DA09D6" w:rsidRPr="00DA09D6">
        <w:t>version of</w:t>
      </w:r>
      <w:r w:rsidR="00DA09D6">
        <w:t xml:space="preserve"> </w:t>
      </w:r>
      <w:r w:rsidRPr="00266E33">
        <w:t xml:space="preserve">CG-NET without pseudo neighboring nodes and </w:t>
      </w:r>
      <w:r w:rsidR="00DA09D6">
        <w:t>compare</w:t>
      </w:r>
      <w:r w:rsidRPr="00266E33">
        <w:t xml:space="preserve"> the cluster graph with and without pseudo neighboring nodes, as illustrated in </w:t>
      </w:r>
      <w:r w:rsidRPr="000B7878">
        <w:t>Supplementary</w:t>
      </w:r>
      <w:r>
        <w:t xml:space="preserve"> </w:t>
      </w:r>
      <w:r w:rsidRPr="00266E33">
        <w:t>Fig. </w:t>
      </w:r>
      <w:r>
        <w:t>2</w:t>
      </w:r>
      <w:r w:rsidRPr="00266E33">
        <w:t xml:space="preserve">. The prediction performance of these models </w:t>
      </w:r>
      <w:r w:rsidR="00DA09D6" w:rsidRPr="00DA09D6">
        <w:t>across different datasets</w:t>
      </w:r>
      <w:r w:rsidRPr="00266E33">
        <w:t xml:space="preserve"> are shown in Figs. </w:t>
      </w:r>
      <w:r w:rsidRPr="006A71EE">
        <w:rPr>
          <w:rFonts w:cs="Times New Roman"/>
        </w:rPr>
        <w:t>2</w:t>
      </w:r>
      <w:r w:rsidRPr="00266E33">
        <w:t>(d</w:t>
      </w:r>
      <w:r>
        <w:t>–</w:t>
      </w:r>
      <w:r w:rsidRPr="00266E33">
        <w:t xml:space="preserve">f). In the absence of pseudo neighboring nodes, the coordination descriptions of nodes within the cluster graph </w:t>
      </w:r>
      <w:r w:rsidR="00DA09D6">
        <w:t>become</w:t>
      </w:r>
      <w:r w:rsidRPr="00266E33">
        <w:t xml:space="preserve"> </w:t>
      </w:r>
      <w:r w:rsidR="00DA09D6">
        <w:t>in</w:t>
      </w:r>
      <w:r w:rsidRPr="00266E33">
        <w:t xml:space="preserve">consistent. Nodes </w:t>
      </w:r>
      <w:r w:rsidR="00DA09D6">
        <w:t>located at</w:t>
      </w:r>
      <w:r w:rsidRPr="00266E33">
        <w:t xml:space="preserve"> the edge of the cluster </w:t>
      </w:r>
      <w:r w:rsidR="00DA09D6" w:rsidRPr="00DA09D6">
        <w:t>experience</w:t>
      </w:r>
      <w:r w:rsidR="00DA09D6">
        <w:t xml:space="preserve"> </w:t>
      </w:r>
      <w:r w:rsidRPr="00266E33">
        <w:t xml:space="preserve">a different coordination environment </w:t>
      </w:r>
      <w:r w:rsidR="00DA09D6">
        <w:t>than</w:t>
      </w:r>
      <w:r w:rsidRPr="00266E33">
        <w:t xml:space="preserve"> those near the center. </w:t>
      </w:r>
      <w:r w:rsidR="00DA09D6">
        <w:t>This</w:t>
      </w:r>
      <w:r w:rsidRPr="00266E33">
        <w:t xml:space="preserve"> </w:t>
      </w:r>
      <w:r w:rsidRPr="00266E33">
        <w:lastRenderedPageBreak/>
        <w:t xml:space="preserve">discontinuity of the coordination environment </w:t>
      </w:r>
      <w:r w:rsidR="00DA09D6" w:rsidRPr="00DA09D6">
        <w:t>leads to misinterpretations</w:t>
      </w:r>
      <w:r w:rsidR="00DA09D6">
        <w:t xml:space="preserve"> by</w:t>
      </w:r>
      <w:r w:rsidRPr="00266E33">
        <w:t xml:space="preserve"> the GNNs. The pseudo neighboring nodes are embedded with feature vectors based on their element species. However, the feature vectors are not updated </w:t>
      </w:r>
      <w:r w:rsidR="00DA09D6" w:rsidRPr="00266E33">
        <w:t xml:space="preserve">iteratively </w:t>
      </w:r>
      <w:r w:rsidRPr="00266E33">
        <w:t xml:space="preserve">through graph convolution, as they only propagate information to the nodes within the cluster graph and not in the reverse direction. It is important to </w:t>
      </w:r>
      <w:r w:rsidR="00DA09D6" w:rsidRPr="00DA09D6">
        <w:t>note</w:t>
      </w:r>
      <w:r w:rsidR="00DA09D6">
        <w:t xml:space="preserve"> </w:t>
      </w:r>
      <w:r w:rsidRPr="00266E33">
        <w:t xml:space="preserve">that the utilization of fixed embedding feature vectors for pseudo neighboring nodes may </w:t>
      </w:r>
      <w:r w:rsidR="00DA09D6" w:rsidRPr="00DA09D6">
        <w:t>reduce</w:t>
      </w:r>
      <w:r w:rsidR="00DA09D6">
        <w:t xml:space="preserve"> </w:t>
      </w:r>
      <w:r w:rsidRPr="00266E33">
        <w:t xml:space="preserve">the efficacy of the cluster graph, with </w:t>
      </w:r>
      <w:r w:rsidR="00DA09D6" w:rsidRPr="00DA09D6">
        <w:t>the degree of this reduction</w:t>
      </w:r>
      <w:r w:rsidRPr="00266E33">
        <w:t xml:space="preserve"> depending on the quality of the initial embedding feature vectors. </w:t>
      </w:r>
      <w:r w:rsidR="00DA09D6" w:rsidRPr="00DA09D6">
        <w:t>Nevertheless</w:t>
      </w:r>
      <w:r w:rsidRPr="00266E33">
        <w:t xml:space="preserve">, </w:t>
      </w:r>
      <w:r w:rsidR="00DA09D6" w:rsidRPr="00DA09D6">
        <w:t xml:space="preserve">since pseudo neighboring nodes </w:t>
      </w:r>
      <w:r w:rsidR="00E37398">
        <w:t>merely</w:t>
      </w:r>
      <w:r w:rsidR="00DA09D6" w:rsidRPr="00DA09D6">
        <w:t xml:space="preserve"> serve as coordinates for nodes within the cluster graph and are not included in the final readout phase, their overall impact on the model is somewhat mitigated.</w:t>
      </w:r>
      <w:r w:rsidRPr="00266E33">
        <w:t xml:space="preserve"> </w:t>
      </w:r>
      <w:r w:rsidR="008776F4" w:rsidRPr="008776F4">
        <w:t xml:space="preserve">In the main text, we have explored potential solutions to these issues, including the influence of higher-order pseudo nodes, as discussed in Fig. </w:t>
      </w:r>
      <w:r w:rsidR="00085512">
        <w:t>4</w:t>
      </w:r>
      <w:r w:rsidR="008776F4" w:rsidRPr="008776F4">
        <w:t>.</w:t>
      </w:r>
    </w:p>
    <w:p w14:paraId="6214DA14" w14:textId="5003DF27" w:rsidR="00024C92" w:rsidRPr="00FE0F54" w:rsidRDefault="00D65BA6" w:rsidP="006878DC">
      <w:pPr>
        <w:pStyle w:val="BodyText"/>
        <w:jc w:val="both"/>
        <w:rPr>
          <w:rFonts w:ascii="Times New Roman" w:hAnsi="Times New Roman" w:cs="Times New Roman"/>
          <w:b/>
          <w:bCs/>
          <w:sz w:val="28"/>
          <w:szCs w:val="28"/>
        </w:rPr>
      </w:pPr>
      <w:r>
        <w:rPr>
          <w:rFonts w:ascii="Times New Roman" w:hAnsi="Times New Roman" w:cs="Times New Roman"/>
          <w:b/>
          <w:bCs/>
          <w:sz w:val="28"/>
          <w:szCs w:val="28"/>
        </w:rPr>
        <w:t>6</w:t>
      </w:r>
      <w:r w:rsidR="00FE0F54" w:rsidRPr="00FE0F54">
        <w:rPr>
          <w:rFonts w:ascii="Times New Roman" w:hAnsi="Times New Roman" w:cs="Times New Roman"/>
          <w:b/>
          <w:bCs/>
          <w:sz w:val="28"/>
          <w:szCs w:val="28"/>
        </w:rPr>
        <w:t xml:space="preserve">. Convergence of the hyperparameters </w:t>
      </w:r>
      <m:oMath>
        <m:sSub>
          <m:sSubPr>
            <m:ctrlPr>
              <w:rPr>
                <w:rFonts w:ascii="Cambria Math" w:hAnsi="Cambria Math" w:cs="Times New Roman"/>
                <w:b/>
                <w:bCs/>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node</m:t>
            </m:r>
          </m:sub>
        </m:sSub>
      </m:oMath>
      <w:r w:rsidR="00FE0F54" w:rsidRPr="00FE0F54">
        <w:rPr>
          <w:rFonts w:ascii="Times New Roman" w:hAnsi="Times New Roman" w:cs="Times New Roman"/>
          <w:b/>
          <w:bCs/>
          <w:sz w:val="28"/>
          <w:szCs w:val="28"/>
        </w:rPr>
        <w:t xml:space="preserve"> and</w:t>
      </w:r>
      <w:r w:rsidR="00FE0F54">
        <w:rPr>
          <w:rFonts w:ascii="Times New Roman" w:hAnsi="Times New Roman" w:cs="Times New Roman"/>
          <w:b/>
          <w:bCs/>
          <w:sz w:val="28"/>
          <w:szCs w:val="28"/>
        </w:rPr>
        <w:t xml:space="preserve"> </w:t>
      </w:r>
      <m:oMath>
        <m:sSub>
          <m:sSubPr>
            <m:ctrlPr>
              <w:rPr>
                <w:rFonts w:ascii="Cambria Math" w:hAnsi="Cambria Math" w:cs="Times New Roman"/>
                <w:b/>
                <w:bCs/>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neighbor</m:t>
            </m:r>
          </m:sub>
        </m:sSub>
      </m:oMath>
    </w:p>
    <w:p w14:paraId="2AF9DD6A" w14:textId="4D88A5E6" w:rsidR="005C0877" w:rsidRPr="006878DC" w:rsidRDefault="000B7878" w:rsidP="00C92BD5">
      <w:pPr>
        <w:pStyle w:val="paragraph"/>
        <w:ind w:firstLine="420"/>
        <w:rPr>
          <w:lang w:eastAsia="zh-CN"/>
        </w:rPr>
      </w:pPr>
      <w:r w:rsidRPr="00444A34">
        <w:rPr>
          <w:rFonts w:cs="Times New Roman"/>
        </w:rPr>
        <w:t xml:space="preserve">Supplementary </w:t>
      </w:r>
      <w:r w:rsidR="008B1670" w:rsidRPr="00444A34">
        <w:rPr>
          <w:rFonts w:cs="Times New Roman"/>
        </w:rPr>
        <w:t>Fig</w:t>
      </w:r>
      <w:r w:rsidRPr="00444A34">
        <w:rPr>
          <w:rFonts w:cs="Times New Roman"/>
        </w:rPr>
        <w:t>.</w:t>
      </w:r>
      <w:r w:rsidR="0053199C" w:rsidRPr="00444A34">
        <w:rPr>
          <w:rFonts w:cs="Times New Roman"/>
        </w:rPr>
        <w:t xml:space="preserve"> </w:t>
      </w:r>
      <w:r w:rsidR="00085512">
        <w:rPr>
          <w:rFonts w:cs="Times New Roman"/>
        </w:rPr>
        <w:t>9</w:t>
      </w:r>
      <w:r w:rsidR="00910F57" w:rsidRPr="00444A34">
        <w:rPr>
          <w:rFonts w:cs="Times New Roman"/>
        </w:rPr>
        <w:t>a</w:t>
      </w:r>
      <w:r w:rsidR="00910F57" w:rsidRPr="008B1670">
        <w:rPr>
          <w:rFonts w:cs="Times New Roman"/>
        </w:rPr>
        <w:t xml:space="preserve"> </w:t>
      </w:r>
      <w:r w:rsidR="00024C92" w:rsidRPr="008B1670">
        <w:rPr>
          <w:rFonts w:cs="Times New Roman"/>
        </w:rPr>
        <w:t xml:space="preserve">illustrates the on-top and fcc hollow binding sites </w:t>
      </w:r>
      <w:r w:rsidR="00910F57">
        <w:rPr>
          <w:rFonts w:cs="Times New Roman"/>
        </w:rPr>
        <w:t>of</w:t>
      </w:r>
      <w:r w:rsidR="00910F57" w:rsidRPr="008B1670">
        <w:rPr>
          <w:rFonts w:cs="Times New Roman"/>
        </w:rPr>
        <w:t xml:space="preserve"> </w:t>
      </w:r>
      <w:r w:rsidR="00024C92" w:rsidRPr="008B1670">
        <w:rPr>
          <w:rFonts w:cs="Times New Roman"/>
        </w:rPr>
        <w:t xml:space="preserve">the HEA surface for </w:t>
      </w:r>
      <m:oMath>
        <m:r>
          <m:rPr>
            <m:nor/>
          </m:rPr>
          <w:rPr>
            <w:rFonts w:cs="Times New Roman"/>
          </w:rPr>
          <m:t>*CO</m:t>
        </m:r>
      </m:oMath>
      <w:r w:rsidR="00024C92" w:rsidRPr="008B1670">
        <w:rPr>
          <w:rFonts w:cs="Times New Roman"/>
        </w:rPr>
        <w:t xml:space="preserve"> and </w:t>
      </w:r>
      <m:oMath>
        <m:r>
          <m:rPr>
            <m:nor/>
          </m:rPr>
          <w:rPr>
            <w:rFonts w:cs="Times New Roman"/>
          </w:rPr>
          <m:t>*H</m:t>
        </m:r>
      </m:oMath>
      <w:r w:rsidR="00024C92" w:rsidRPr="008B1670">
        <w:rPr>
          <w:rFonts w:cs="Times New Roman"/>
        </w:rPr>
        <w:t xml:space="preserve"> adsorption, respectively. Notably, the local atomic environment surrounding these two binding sites varies, which can be assessed by evaluating their nearest-neighbor coordination. The neighboring atoms around the binding site can be categorized into different regions based on their relative positions. For example, at </w:t>
      </w:r>
      <m:oMath>
        <m:sSub>
          <m:sSubPr>
            <m:ctrlPr>
              <w:rPr>
                <w:rFonts w:ascii="Cambria Math" w:hAnsi="Cambria Math" w:cs="Times New Roman"/>
                <w:i/>
                <w:iCs/>
              </w:rPr>
            </m:ctrlPr>
          </m:sSubPr>
          <m:e>
            <m:r>
              <m:rPr>
                <m:nor/>
              </m:rPr>
              <w:rPr>
                <w:rFonts w:cs="Times New Roman"/>
                <w:i/>
                <w:iCs/>
              </w:rPr>
              <m:t>R</m:t>
            </m:r>
          </m:e>
          <m:sub>
            <m:r>
              <m:rPr>
                <m:nor/>
              </m:rPr>
              <w:rPr>
                <w:rFonts w:cs="Times New Roman"/>
                <w:i/>
                <w:iCs/>
              </w:rPr>
              <m:t>cluster</m:t>
            </m:r>
          </m:sub>
        </m:sSub>
        <m:r>
          <m:rPr>
            <m:nor/>
          </m:rPr>
          <w:rPr>
            <w:rFonts w:cs="Times New Roman"/>
          </w:rPr>
          <m:t xml:space="preserve"> = 5Å</m:t>
        </m:r>
      </m:oMath>
      <w:r w:rsidR="00024C92" w:rsidRPr="008B1670">
        <w:rPr>
          <w:rFonts w:cs="Times New Roman"/>
        </w:rPr>
        <w:t xml:space="preserve">, the on-top site for </w:t>
      </w:r>
      <m:oMath>
        <m:r>
          <m:rPr>
            <m:nor/>
          </m:rPr>
          <w:rPr>
            <w:rFonts w:cs="Times New Roman"/>
          </w:rPr>
          <m:t>*CO</m:t>
        </m:r>
      </m:oMath>
      <w:r w:rsidR="00024C92" w:rsidRPr="008B1670">
        <w:rPr>
          <w:rFonts w:cs="Times New Roman"/>
        </w:rPr>
        <w:t xml:space="preserve"> adsorption has 12 neighboring metal atoms, while the fcc hollow site for </w:t>
      </w:r>
      <m:oMath>
        <m:r>
          <m:rPr>
            <m:nor/>
          </m:rPr>
          <w:rPr>
            <w:rFonts w:cs="Times New Roman"/>
          </w:rPr>
          <m:t>*H</m:t>
        </m:r>
      </m:oMath>
      <w:r w:rsidR="00024C92" w:rsidRPr="008B1670">
        <w:rPr>
          <w:rFonts w:cs="Times New Roman"/>
        </w:rPr>
        <w:t xml:space="preserve"> adsorption has 14 neighboring metal atoms. The construction of the cluster graph thoughtfully considers the number of nodes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within the cluster, a factor that directly influences the prediction capability of GNNs. This enables us to identify the difference in the local atomic environment of materials. In </w:t>
      </w:r>
      <w:r w:rsidRPr="00444A34">
        <w:rPr>
          <w:rFonts w:cs="Times New Roman"/>
        </w:rPr>
        <w:t xml:space="preserve">Supplementary </w:t>
      </w:r>
      <w:r w:rsidR="00024C92" w:rsidRPr="00444A34">
        <w:rPr>
          <w:rFonts w:cs="Times New Roman"/>
        </w:rPr>
        <w:t>Fig</w:t>
      </w:r>
      <w:r w:rsidR="00F52766" w:rsidRPr="00444A34">
        <w:rPr>
          <w:rFonts w:cs="Times New Roman"/>
        </w:rPr>
        <w:t>s</w:t>
      </w:r>
      <w:r w:rsidR="00024C92" w:rsidRPr="00444A34">
        <w:rPr>
          <w:rFonts w:cs="Times New Roman"/>
        </w:rPr>
        <w:t>.</w:t>
      </w:r>
      <w:r w:rsidR="0053199C" w:rsidRPr="00444A34">
        <w:rPr>
          <w:rFonts w:cs="Times New Roman"/>
        </w:rPr>
        <w:t xml:space="preserve"> </w:t>
      </w:r>
      <w:r w:rsidR="00085512">
        <w:rPr>
          <w:rFonts w:cs="Times New Roman"/>
        </w:rPr>
        <w:t>9</w:t>
      </w:r>
      <w:r w:rsidR="00910F57" w:rsidRPr="00444A34">
        <w:rPr>
          <w:rFonts w:cs="Times New Roman"/>
        </w:rPr>
        <w:t>b</w:t>
      </w:r>
      <w:r w:rsidR="00910F57">
        <w:rPr>
          <w:rFonts w:cs="Times New Roman"/>
        </w:rPr>
        <w:t xml:space="preserve"> </w:t>
      </w:r>
      <w:r w:rsidR="00F52766">
        <w:rPr>
          <w:rFonts w:cs="Times New Roman"/>
        </w:rPr>
        <w:t xml:space="preserve">and </w:t>
      </w:r>
      <w:r w:rsidR="00F33636">
        <w:rPr>
          <w:rFonts w:cs="Times New Roman"/>
        </w:rPr>
        <w:t>8</w:t>
      </w:r>
      <w:r w:rsidR="00910F57">
        <w:rPr>
          <w:rFonts w:cs="Times New Roman"/>
        </w:rPr>
        <w:t>c</w:t>
      </w:r>
      <w:r w:rsidR="00024C92" w:rsidRPr="008B1670">
        <w:rPr>
          <w:rFonts w:cs="Times New Roman"/>
        </w:rPr>
        <w:t xml:space="preserve">, the variation in the validation MAE is depicted as a function of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and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neighbor</m:t>
            </m:r>
          </m:sub>
        </m:sSub>
      </m:oMath>
      <w:r w:rsidR="00024C92" w:rsidRPr="008B1670">
        <w:rPr>
          <w:rFonts w:cs="Times New Roman"/>
        </w:rPr>
        <w:t xml:space="preserve"> for the predicted </w:t>
      </w:r>
      <m:oMath>
        <m:r>
          <m:rPr>
            <m:nor/>
          </m:rPr>
          <w:rPr>
            <w:rFonts w:cs="Times New Roman"/>
          </w:rPr>
          <m:t>*CO</m:t>
        </m:r>
      </m:oMath>
      <w:r w:rsidR="00024C92" w:rsidRPr="008B1670">
        <w:rPr>
          <w:rFonts w:cs="Times New Roman"/>
        </w:rPr>
        <w:t xml:space="preserve"> and </w:t>
      </w:r>
      <m:oMath>
        <m:r>
          <m:rPr>
            <m:nor/>
          </m:rPr>
          <w:rPr>
            <w:rFonts w:cs="Times New Roman"/>
          </w:rPr>
          <m:t>*H</m:t>
        </m:r>
      </m:oMath>
      <w:r w:rsidR="00024C92" w:rsidRPr="008B1670">
        <w:rPr>
          <w:rFonts w:cs="Times New Roman"/>
        </w:rPr>
        <w:t xml:space="preserve"> adsorption energies on the HEA surface, respectively. The validation MAE decreases as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increases, eventually converging when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surpasses 21 and 19 for </w:t>
      </w:r>
      <m:oMath>
        <m:r>
          <m:rPr>
            <m:nor/>
          </m:rPr>
          <w:rPr>
            <w:rFonts w:cs="Times New Roman"/>
          </w:rPr>
          <m:t>*CO</m:t>
        </m:r>
      </m:oMath>
      <w:r w:rsidR="00024C92" w:rsidRPr="008B1670">
        <w:rPr>
          <w:rFonts w:cs="Times New Roman"/>
        </w:rPr>
        <w:t xml:space="preserve"> and </w:t>
      </w:r>
      <m:oMath>
        <m:r>
          <m:rPr>
            <m:nor/>
          </m:rPr>
          <w:rPr>
            <w:rFonts w:cs="Times New Roman"/>
          </w:rPr>
          <m:t>*H</m:t>
        </m:r>
      </m:oMath>
      <w:r w:rsidR="00024C92" w:rsidRPr="008B1670">
        <w:rPr>
          <w:rFonts w:cs="Times New Roman"/>
        </w:rPr>
        <w:t xml:space="preserve"> adsorption, respectively, which correspond to average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cluster</m:t>
            </m:r>
          </m:sub>
        </m:sSub>
      </m:oMath>
      <w:r w:rsidR="00024C92" w:rsidRPr="008B1670">
        <w:rPr>
          <w:rFonts w:cs="Times New Roman"/>
        </w:rPr>
        <w:t xml:space="preserve"> values of around 5.5 Å</w:t>
      </w:r>
      <w:r w:rsidR="006A71EE" w:rsidRPr="008B1670">
        <w:rPr>
          <w:rFonts w:cs="Times New Roman"/>
        </w:rPr>
        <w:t xml:space="preserve"> </w:t>
      </w:r>
      <w:r w:rsidR="00024C92" w:rsidRPr="008B1670">
        <w:rPr>
          <w:rFonts w:cs="Times New Roman"/>
        </w:rPr>
        <w:t>and 4.7 Å</w:t>
      </w:r>
      <w:r w:rsidR="006A71EE" w:rsidRPr="008B1670">
        <w:rPr>
          <w:rFonts w:cs="Times New Roman"/>
        </w:rPr>
        <w:t xml:space="preserve"> </w:t>
      </w:r>
      <w:r w:rsidR="00024C92" w:rsidRPr="008B1670">
        <w:rPr>
          <w:rFonts w:cs="Times New Roman"/>
        </w:rPr>
        <w:t xml:space="preserve">for the on-top and fcc hollow sites, respectively. This indicates that atoms within this cluster radius predominantly contribute to the short-range interaction with the binding site and thus determine the prediction </w:t>
      </w:r>
      <w:r w:rsidR="00024C92" w:rsidRPr="008B1670">
        <w:rPr>
          <w:rFonts w:cs="Times New Roman"/>
        </w:rPr>
        <w:lastRenderedPageBreak/>
        <w:t xml:space="preserve">performance of the cluster graph. </w:t>
      </w:r>
      <w:r w:rsidR="000B1DE6">
        <w:rPr>
          <w:rFonts w:cs="Times New Roman"/>
        </w:rPr>
        <w:t>T</w:t>
      </w:r>
      <w:r w:rsidR="00024C92" w:rsidRPr="008B1670">
        <w:rPr>
          <w:rFonts w:cs="Times New Roman"/>
        </w:rPr>
        <w:t xml:space="preserve">he slope of the validation MAE with respect to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shows an obvious variation for </w:t>
      </w:r>
      <m:oMath>
        <m:r>
          <m:rPr>
            <m:nor/>
          </m:rPr>
          <w:rPr>
            <w:rFonts w:cs="Times New Roman"/>
          </w:rPr>
          <m:t>*CO</m:t>
        </m:r>
      </m:oMath>
      <w:r w:rsidR="00024C92" w:rsidRPr="007935C5">
        <w:rPr>
          <w:rFonts w:cs="Times New Roman"/>
        </w:rPr>
        <w:t xml:space="preserve"> and </w:t>
      </w:r>
      <m:oMath>
        <m:r>
          <m:rPr>
            <m:nor/>
          </m:rPr>
          <w:rPr>
            <w:rFonts w:cs="Times New Roman"/>
          </w:rPr>
          <m:t>*H</m:t>
        </m:r>
      </m:oMath>
      <w:r w:rsidR="00024C92" w:rsidRPr="007935C5">
        <w:rPr>
          <w:rFonts w:cs="Times New Roman"/>
        </w:rPr>
        <w:t xml:space="preserve"> adsorption</w:t>
      </w:r>
      <w:r w:rsidR="00024C92" w:rsidRPr="008B1670">
        <w:rPr>
          <w:rFonts w:cs="Times New Roman"/>
        </w:rPr>
        <w:t xml:space="preserve">, signifying the capacity of the cluster graph to identify the local structure of materials. With a small value of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w:t>
      </w:r>
      <m:oMath>
        <m:r>
          <m:rPr>
            <m:nor/>
          </m:rPr>
          <w:rPr>
            <w:rFonts w:cs="Times New Roman"/>
          </w:rPr>
          <m:t>*H</m:t>
        </m:r>
      </m:oMath>
      <w:r w:rsidR="00024C92" w:rsidRPr="008B1670">
        <w:rPr>
          <w:rFonts w:cs="Times New Roman"/>
        </w:rPr>
        <w:t xml:space="preserve"> adsorption on the fcc hollow site yields a smaller validation MAE than </w:t>
      </w:r>
      <m:oMath>
        <m:r>
          <m:rPr>
            <m:nor/>
          </m:rPr>
          <w:rPr>
            <w:rFonts w:cs="Times New Roman"/>
          </w:rPr>
          <m:t>*CO</m:t>
        </m:r>
      </m:oMath>
      <w:r w:rsidR="00024C92" w:rsidRPr="008B1670">
        <w:rPr>
          <w:rFonts w:cs="Times New Roman"/>
        </w:rPr>
        <w:t xml:space="preserve"> adsorption on the on-top site. This is because the fcc hollow site, given the same cluster radius, accommodates more nodes within the cluster than the on-top site does. As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node</m:t>
            </m:r>
          </m:sub>
        </m:sSub>
      </m:oMath>
      <w:r w:rsidR="00024C92" w:rsidRPr="008B1670">
        <w:rPr>
          <w:rFonts w:cs="Times New Roman"/>
        </w:rPr>
        <w:t xml:space="preserve"> increases, the validation MAE for on-top site adsorption decreases more rapidly than that for fcc hollow site adsorption, eventually converging to comparable values. On the other hand,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neighbor</m:t>
            </m:r>
          </m:sub>
        </m:sSub>
      </m:oMath>
      <w:r w:rsidR="00024C92" w:rsidRPr="008B1670">
        <w:rPr>
          <w:rFonts w:cs="Times New Roman"/>
        </w:rPr>
        <w:t xml:space="preserve"> exhibits a similar fluctuation in the validation MAE for both on-top and fcc hollow site adsorption, eventually achieving convergence at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neighbor</m:t>
            </m:r>
          </m:sub>
        </m:sSub>
      </m:oMath>
      <w:r w:rsidR="00024C92" w:rsidRPr="008B1670">
        <w:rPr>
          <w:rFonts w:cs="Times New Roman"/>
        </w:rPr>
        <w:t xml:space="preserve">=12 for the HEA dataset. </w:t>
      </w:r>
    </w:p>
    <w:p w14:paraId="1ACB474C" w14:textId="55A11B0A" w:rsidR="00D42926" w:rsidRPr="006878DC" w:rsidRDefault="004C3F46" w:rsidP="006A71EE">
      <w:pPr>
        <w:pStyle w:val="BodyText"/>
        <w:jc w:val="center"/>
      </w:pPr>
      <w:r w:rsidRPr="006878DC">
        <w:rPr>
          <w:noProof/>
          <w14:ligatures w14:val="standardContextual"/>
        </w:rPr>
        <w:drawing>
          <wp:inline distT="0" distB="0" distL="0" distR="0" wp14:anchorId="46427318" wp14:editId="215139CE">
            <wp:extent cx="3772961" cy="3546764"/>
            <wp:effectExtent l="0" t="0" r="0" b="0"/>
            <wp:docPr id="11290343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34363" name="图片 1129034363"/>
                    <pic:cNvPicPr/>
                  </pic:nvPicPr>
                  <pic:blipFill>
                    <a:blip r:embed="rId7">
                      <a:extLst>
                        <a:ext uri="{28A0092B-C50C-407E-A947-70E740481C1C}">
                          <a14:useLocalDpi xmlns:a14="http://schemas.microsoft.com/office/drawing/2010/main" val="0"/>
                        </a:ext>
                      </a:extLst>
                    </a:blip>
                    <a:stretch>
                      <a:fillRect/>
                    </a:stretch>
                  </pic:blipFill>
                  <pic:spPr>
                    <a:xfrm>
                      <a:off x="0" y="0"/>
                      <a:ext cx="3820710" cy="3591651"/>
                    </a:xfrm>
                    <a:prstGeom prst="rect">
                      <a:avLst/>
                    </a:prstGeom>
                  </pic:spPr>
                </pic:pic>
              </a:graphicData>
            </a:graphic>
          </wp:inline>
        </w:drawing>
      </w:r>
    </w:p>
    <w:p w14:paraId="004F0752" w14:textId="1E5F9304" w:rsidR="00DD7684" w:rsidRDefault="000B7878" w:rsidP="006878DC">
      <w:pPr>
        <w:pStyle w:val="BodyText"/>
        <w:jc w:val="both"/>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b/>
          <w:bCs/>
          <w:sz w:val="20"/>
          <w:szCs w:val="20"/>
          <w:lang w:eastAsia="zh-CN"/>
        </w:rPr>
        <w:t xml:space="preserve">Figure </w:t>
      </w:r>
      <w:r w:rsidR="00162B2F">
        <w:rPr>
          <w:rFonts w:ascii="Times New Roman" w:hAnsi="Times New Roman" w:cs="Times New Roman"/>
          <w:b/>
          <w:bCs/>
          <w:sz w:val="20"/>
          <w:szCs w:val="20"/>
          <w:lang w:eastAsia="zh-CN"/>
        </w:rPr>
        <w:t>3</w:t>
      </w:r>
      <w:r w:rsidRPr="006878DC">
        <w:rPr>
          <w:rFonts w:ascii="Times New Roman" w:hAnsi="Times New Roman" w:cs="Times New Roman"/>
          <w:b/>
          <w:bCs/>
          <w:sz w:val="20"/>
          <w:szCs w:val="20"/>
          <w:lang w:eastAsia="zh-CN"/>
        </w:rPr>
        <w:t xml:space="preserve">. </w:t>
      </w:r>
      <w:r w:rsidRPr="006878DC">
        <w:rPr>
          <w:rFonts w:ascii="Times New Roman" w:hAnsi="Times New Roman" w:cs="Times New Roman"/>
          <w:sz w:val="20"/>
          <w:szCs w:val="20"/>
          <w:lang w:eastAsia="zh-CN"/>
        </w:rPr>
        <w:t xml:space="preserve">Linear scaling </w:t>
      </w:r>
      <w:r>
        <w:rPr>
          <w:rFonts w:ascii="Times New Roman" w:hAnsi="Times New Roman" w:cs="Times New Roman"/>
          <w:sz w:val="20"/>
          <w:szCs w:val="20"/>
          <w:lang w:eastAsia="zh-CN"/>
        </w:rPr>
        <w:t>relationships</w:t>
      </w:r>
      <w:r w:rsidRPr="006878DC">
        <w:rPr>
          <w:rFonts w:ascii="Times New Roman" w:hAnsi="Times New Roman" w:cs="Times New Roman"/>
          <w:sz w:val="20"/>
          <w:szCs w:val="20"/>
          <w:lang w:eastAsia="zh-CN"/>
        </w:rPr>
        <w:t xml:space="preserve"> for the CO</w:t>
      </w:r>
      <w:r w:rsidRPr="006878DC">
        <w:rPr>
          <w:rFonts w:ascii="Times New Roman" w:hAnsi="Times New Roman" w:cs="Times New Roman"/>
          <w:sz w:val="20"/>
          <w:szCs w:val="20"/>
          <w:vertAlign w:val="subscript"/>
          <w:lang w:eastAsia="zh-CN"/>
        </w:rPr>
        <w:t>2</w:t>
      </w:r>
      <w:r w:rsidRPr="006878DC">
        <w:rPr>
          <w:rFonts w:ascii="Times New Roman" w:hAnsi="Times New Roman" w:cs="Times New Roman"/>
          <w:sz w:val="20"/>
          <w:szCs w:val="20"/>
          <w:lang w:eastAsia="zh-CN"/>
        </w:rPr>
        <w:t>RR and HER intermediates on the fcc (111) surface of pristine metals.</w:t>
      </w:r>
    </w:p>
    <w:p w14:paraId="236DD843" w14:textId="384D9651" w:rsidR="005E1FF7" w:rsidRDefault="005E1FF7" w:rsidP="00C015CA">
      <w:pPr>
        <w:pStyle w:val="BodyText"/>
        <w:jc w:val="both"/>
        <w:rPr>
          <w:rFonts w:ascii="Times New Roman" w:hAnsi="Times New Roman" w:cs="Times New Roman"/>
          <w:b/>
          <w:bCs/>
          <w:sz w:val="20"/>
          <w:szCs w:val="20"/>
          <w:highlight w:val="yellow"/>
          <w:lang w:eastAsia="zh-CN"/>
        </w:rPr>
      </w:pPr>
      <w:r>
        <w:rPr>
          <w:rFonts w:ascii="Times New Roman" w:hAnsi="Times New Roman" w:cs="Times New Roman"/>
          <w:b/>
          <w:bCs/>
          <w:noProof/>
          <w:sz w:val="20"/>
          <w:szCs w:val="20"/>
          <w:lang w:eastAsia="zh-CN"/>
          <w14:ligatures w14:val="standardContextual"/>
        </w:rPr>
        <w:lastRenderedPageBreak/>
        <w:drawing>
          <wp:inline distT="0" distB="0" distL="0" distR="0" wp14:anchorId="138C71E7" wp14:editId="25019A96">
            <wp:extent cx="5486400" cy="2035810"/>
            <wp:effectExtent l="0" t="0" r="0" b="0"/>
            <wp:docPr id="179104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816" name="图片 179104816"/>
                    <pic:cNvPicPr/>
                  </pic:nvPicPr>
                  <pic:blipFill>
                    <a:blip r:embed="rId8"/>
                    <a:stretch>
                      <a:fillRect/>
                    </a:stretch>
                  </pic:blipFill>
                  <pic:spPr>
                    <a:xfrm>
                      <a:off x="0" y="0"/>
                      <a:ext cx="5486400" cy="2035810"/>
                    </a:xfrm>
                    <a:prstGeom prst="rect">
                      <a:avLst/>
                    </a:prstGeom>
                  </pic:spPr>
                </pic:pic>
              </a:graphicData>
            </a:graphic>
          </wp:inline>
        </w:drawing>
      </w:r>
    </w:p>
    <w:p w14:paraId="4217718B" w14:textId="2B64234A" w:rsidR="00C015CA" w:rsidRDefault="00C015CA" w:rsidP="00C015CA">
      <w:pPr>
        <w:pStyle w:val="BodyText"/>
        <w:jc w:val="both"/>
        <w:rPr>
          <w:rFonts w:ascii="Times New Roman" w:hAnsi="Times New Roman" w:cs="Times New Roman"/>
          <w:sz w:val="20"/>
          <w:szCs w:val="20"/>
          <w:lang w:eastAsia="zh-CN"/>
        </w:rPr>
      </w:pPr>
      <w:r w:rsidRPr="00091A4F">
        <w:rPr>
          <w:rFonts w:ascii="Times New Roman" w:hAnsi="Times New Roman" w:cs="Times New Roman"/>
          <w:b/>
          <w:bCs/>
          <w:sz w:val="20"/>
          <w:szCs w:val="20"/>
          <w:lang w:eastAsia="zh-CN"/>
        </w:rPr>
        <w:t xml:space="preserve">Supplementary Figure </w:t>
      </w:r>
      <w:r w:rsidR="00D36CAA" w:rsidRPr="00091A4F">
        <w:rPr>
          <w:rFonts w:ascii="Times New Roman" w:hAnsi="Times New Roman" w:cs="Times New Roman"/>
          <w:b/>
          <w:bCs/>
          <w:sz w:val="20"/>
          <w:szCs w:val="20"/>
          <w:lang w:eastAsia="zh-CN"/>
        </w:rPr>
        <w:t>4</w:t>
      </w:r>
      <w:r w:rsidRPr="00091A4F">
        <w:rPr>
          <w:rFonts w:ascii="Times New Roman" w:hAnsi="Times New Roman" w:cs="Times New Roman"/>
          <w:b/>
          <w:bCs/>
          <w:sz w:val="20"/>
          <w:szCs w:val="20"/>
          <w:lang w:eastAsia="zh-CN"/>
        </w:rPr>
        <w:t>.</w:t>
      </w:r>
      <w:r w:rsidRPr="00091A4F">
        <w:rPr>
          <w:rFonts w:ascii="Times New Roman" w:hAnsi="Times New Roman" w:cs="Times New Roman"/>
          <w:sz w:val="20"/>
          <w:szCs w:val="20"/>
          <w:lang w:eastAsia="zh-CN"/>
        </w:rPr>
        <w:t xml:space="preserve"> The </w:t>
      </w:r>
      <w:r w:rsidR="005E1FF7" w:rsidRPr="00091A4F">
        <w:rPr>
          <w:rFonts w:ascii="Times New Roman" w:hAnsi="Times New Roman" w:cs="Times New Roman"/>
          <w:sz w:val="20"/>
          <w:szCs w:val="20"/>
          <w:lang w:eastAsia="zh-CN"/>
        </w:rPr>
        <w:t>(</w:t>
      </w:r>
      <w:r w:rsidR="005E1FF7" w:rsidRPr="00091A4F">
        <w:rPr>
          <w:rFonts w:ascii="Times New Roman" w:hAnsi="Times New Roman" w:cs="Times New Roman"/>
          <w:b/>
          <w:bCs/>
          <w:sz w:val="20"/>
          <w:szCs w:val="20"/>
          <w:lang w:eastAsia="zh-CN"/>
        </w:rPr>
        <w:t>a</w:t>
      </w:r>
      <w:r w:rsidR="005E1FF7" w:rsidRPr="00091A4F">
        <w:rPr>
          <w:rFonts w:ascii="Times New Roman" w:hAnsi="Times New Roman" w:cs="Times New Roman"/>
          <w:sz w:val="20"/>
          <w:szCs w:val="20"/>
          <w:lang w:eastAsia="zh-CN"/>
        </w:rPr>
        <w:t xml:space="preserve">) </w:t>
      </w:r>
      <w:r w:rsidRPr="00091A4F">
        <w:rPr>
          <w:rFonts w:ascii="Times New Roman" w:hAnsi="Times New Roman" w:cs="Times New Roman"/>
          <w:sz w:val="20"/>
          <w:szCs w:val="20"/>
          <w:lang w:eastAsia="zh-CN"/>
        </w:rPr>
        <w:t>train</w:t>
      </w:r>
      <w:r w:rsidR="00FD495E" w:rsidRPr="00091A4F">
        <w:rPr>
          <w:rFonts w:ascii="Times New Roman" w:hAnsi="Times New Roman" w:cs="Times New Roman"/>
          <w:sz w:val="20"/>
          <w:szCs w:val="20"/>
          <w:lang w:eastAsia="zh-CN"/>
        </w:rPr>
        <w:t>ing</w:t>
      </w:r>
      <w:r w:rsidR="005E1FF7" w:rsidRPr="00091A4F">
        <w:rPr>
          <w:rFonts w:ascii="Times New Roman" w:hAnsi="Times New Roman" w:cs="Times New Roman"/>
          <w:sz w:val="20"/>
          <w:szCs w:val="20"/>
          <w:lang w:eastAsia="zh-CN"/>
        </w:rPr>
        <w:t xml:space="preserve"> and (</w:t>
      </w:r>
      <w:r w:rsidR="005E1FF7" w:rsidRPr="00091A4F">
        <w:rPr>
          <w:rFonts w:ascii="Times New Roman" w:hAnsi="Times New Roman" w:cs="Times New Roman"/>
          <w:b/>
          <w:bCs/>
          <w:sz w:val="20"/>
          <w:szCs w:val="20"/>
          <w:lang w:eastAsia="zh-CN"/>
        </w:rPr>
        <w:t>b</w:t>
      </w:r>
      <w:r w:rsidR="005E1FF7" w:rsidRPr="00091A4F">
        <w:rPr>
          <w:rFonts w:ascii="Times New Roman" w:hAnsi="Times New Roman" w:cs="Times New Roman"/>
          <w:sz w:val="20"/>
          <w:szCs w:val="20"/>
          <w:lang w:eastAsia="zh-CN"/>
        </w:rPr>
        <w:t>) validation MAEs</w:t>
      </w:r>
      <w:r w:rsidRPr="00091A4F">
        <w:rPr>
          <w:rFonts w:ascii="Times New Roman" w:hAnsi="Times New Roman" w:cs="Times New Roman"/>
          <w:sz w:val="20"/>
          <w:szCs w:val="20"/>
          <w:lang w:eastAsia="zh-CN"/>
        </w:rPr>
        <w:t xml:space="preserve"> as a function of the number of epochs for 10,000, 20,000, 30,000, and 40,000 samples randomly selected from the ODAC23 dataset.</w:t>
      </w:r>
    </w:p>
    <w:p w14:paraId="349A2884" w14:textId="77777777" w:rsidR="00B90735" w:rsidRDefault="00B90735" w:rsidP="00C015CA">
      <w:pPr>
        <w:pStyle w:val="BodyText"/>
        <w:jc w:val="both"/>
        <w:rPr>
          <w:rFonts w:ascii="Times New Roman" w:hAnsi="Times New Roman" w:cs="Times New Roman"/>
          <w:sz w:val="20"/>
          <w:szCs w:val="20"/>
          <w:lang w:eastAsia="zh-CN"/>
        </w:rPr>
      </w:pPr>
    </w:p>
    <w:p w14:paraId="3859FDAF" w14:textId="14648ED8" w:rsidR="002A3AEC" w:rsidRDefault="000928E8" w:rsidP="00C92BD5">
      <w:pPr>
        <w:pStyle w:val="BodyText"/>
        <w:jc w:val="center"/>
        <w:rPr>
          <w:rFonts w:ascii="Times New Roman" w:hAnsi="Times New Roman" w:cs="Times New Roman"/>
          <w:sz w:val="20"/>
          <w:szCs w:val="20"/>
          <w:lang w:eastAsia="zh-CN"/>
        </w:rPr>
      </w:pPr>
      <w:r>
        <w:rPr>
          <w:rFonts w:ascii="Times New Roman" w:hAnsi="Times New Roman" w:cs="Times New Roman"/>
          <w:noProof/>
          <w:sz w:val="20"/>
          <w:szCs w:val="20"/>
          <w:lang w:eastAsia="zh-CN"/>
          <w14:ligatures w14:val="standardContextual"/>
        </w:rPr>
        <w:drawing>
          <wp:inline distT="0" distB="0" distL="0" distR="0" wp14:anchorId="70C8A877" wp14:editId="4B182BB2">
            <wp:extent cx="4765964" cy="3861312"/>
            <wp:effectExtent l="0" t="0" r="0" b="0"/>
            <wp:docPr id="141408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8859" name="图片 141408859"/>
                    <pic:cNvPicPr/>
                  </pic:nvPicPr>
                  <pic:blipFill>
                    <a:blip r:embed="rId9"/>
                    <a:stretch>
                      <a:fillRect/>
                    </a:stretch>
                  </pic:blipFill>
                  <pic:spPr>
                    <a:xfrm>
                      <a:off x="0" y="0"/>
                      <a:ext cx="4801335" cy="3889969"/>
                    </a:xfrm>
                    <a:prstGeom prst="rect">
                      <a:avLst/>
                    </a:prstGeom>
                  </pic:spPr>
                </pic:pic>
              </a:graphicData>
            </a:graphic>
          </wp:inline>
        </w:drawing>
      </w:r>
    </w:p>
    <w:p w14:paraId="68261929" w14:textId="7942C8D5" w:rsidR="00C015CA" w:rsidRPr="006878DC" w:rsidRDefault="00CD09DB" w:rsidP="006878DC">
      <w:pPr>
        <w:pStyle w:val="BodyText"/>
        <w:jc w:val="both"/>
        <w:rPr>
          <w:rFonts w:ascii="Times New Roman" w:hAnsi="Times New Roman" w:cs="Times New Roman"/>
          <w:sz w:val="20"/>
          <w:szCs w:val="20"/>
          <w:lang w:eastAsia="zh-CN"/>
        </w:rPr>
      </w:pPr>
      <w:r w:rsidRPr="00C92BD5">
        <w:rPr>
          <w:rFonts w:ascii="Times New Roman" w:hAnsi="Times New Roman" w:cs="Times New Roman"/>
          <w:b/>
          <w:bCs/>
          <w:sz w:val="20"/>
          <w:szCs w:val="20"/>
          <w:lang w:eastAsia="zh-CN"/>
        </w:rPr>
        <w:t>Su</w:t>
      </w:r>
      <w:r w:rsidR="002A3AEC" w:rsidRPr="00C92BD5">
        <w:rPr>
          <w:rFonts w:ascii="Times New Roman" w:hAnsi="Times New Roman" w:cs="Times New Roman"/>
          <w:b/>
          <w:bCs/>
          <w:sz w:val="20"/>
          <w:szCs w:val="20"/>
          <w:lang w:eastAsia="zh-CN"/>
        </w:rPr>
        <w:t xml:space="preserve">pplementary Figure </w:t>
      </w:r>
      <w:r w:rsidR="002A3AEC">
        <w:rPr>
          <w:rFonts w:ascii="Times New Roman" w:hAnsi="Times New Roman" w:cs="Times New Roman"/>
          <w:b/>
          <w:bCs/>
          <w:sz w:val="20"/>
          <w:szCs w:val="20"/>
          <w:lang w:eastAsia="zh-CN"/>
        </w:rPr>
        <w:t>5</w:t>
      </w:r>
      <w:r w:rsidR="002A3AEC" w:rsidRPr="00C92BD5">
        <w:rPr>
          <w:rFonts w:ascii="Times New Roman" w:hAnsi="Times New Roman" w:cs="Times New Roman"/>
          <w:b/>
          <w:bCs/>
          <w:sz w:val="20"/>
          <w:szCs w:val="20"/>
          <w:lang w:eastAsia="zh-CN"/>
        </w:rPr>
        <w:t>.</w:t>
      </w:r>
      <w:r w:rsidR="008F54D7">
        <w:rPr>
          <w:rFonts w:ascii="Times New Roman" w:hAnsi="Times New Roman" w:cs="Times New Roman"/>
          <w:sz w:val="20"/>
          <w:szCs w:val="20"/>
          <w:lang w:eastAsia="zh-CN"/>
        </w:rPr>
        <w:t xml:space="preserve"> </w:t>
      </w:r>
      <w:r w:rsidR="008F54D7" w:rsidRPr="008F54D7">
        <w:rPr>
          <w:rFonts w:ascii="Times New Roman" w:hAnsi="Times New Roman" w:cs="Times New Roman"/>
          <w:sz w:val="20"/>
          <w:szCs w:val="20"/>
          <w:lang w:eastAsia="zh-CN"/>
        </w:rPr>
        <w:t>A performance comparison between graphs considering only the first nearest neighbors</w:t>
      </w:r>
      <w:r w:rsidR="00AA4EE0">
        <w:rPr>
          <w:rFonts w:ascii="Times New Roman" w:hAnsi="Times New Roman" w:cs="Times New Roman"/>
          <w:sz w:val="20"/>
          <w:szCs w:val="20"/>
          <w:lang w:eastAsia="zh-CN"/>
        </w:rPr>
        <w:t xml:space="preserve"> (1NN)</w:t>
      </w:r>
      <w:r w:rsidR="008F54D7" w:rsidRPr="008F54D7">
        <w:rPr>
          <w:rFonts w:ascii="Times New Roman" w:hAnsi="Times New Roman" w:cs="Times New Roman"/>
          <w:sz w:val="20"/>
          <w:szCs w:val="20"/>
          <w:lang w:eastAsia="zh-CN"/>
        </w:rPr>
        <w:t xml:space="preserve"> and cluster graphs including additional neighboring atoms</w:t>
      </w:r>
      <w:r w:rsidR="008F54D7">
        <w:rPr>
          <w:rFonts w:ascii="Times New Roman" w:hAnsi="Times New Roman" w:cs="Times New Roman"/>
          <w:sz w:val="20"/>
          <w:szCs w:val="20"/>
          <w:lang w:eastAsia="zh-CN"/>
        </w:rPr>
        <w:t xml:space="preserve"> on the </w:t>
      </w:r>
      <w:r w:rsidR="008F54D7" w:rsidRPr="008F54D7">
        <w:rPr>
          <w:rFonts w:ascii="Times New Roman" w:hAnsi="Times New Roman" w:cs="Times New Roman"/>
          <w:sz w:val="20"/>
          <w:szCs w:val="20"/>
          <w:lang w:eastAsia="zh-CN"/>
        </w:rPr>
        <w:t>(a) HEA, (b) 2D-impurity, (c) OC20 and (d) ODAC23 datasets</w:t>
      </w:r>
      <w:r w:rsidR="002A3AEC" w:rsidRPr="002A3AEC">
        <w:rPr>
          <w:rFonts w:ascii="Times New Roman" w:hAnsi="Times New Roman" w:cs="Times New Roman"/>
          <w:sz w:val="20"/>
          <w:szCs w:val="20"/>
          <w:lang w:eastAsia="zh-CN"/>
        </w:rPr>
        <w:t>.</w:t>
      </w:r>
    </w:p>
    <w:p w14:paraId="07B11FEC" w14:textId="0B87586F" w:rsidR="00F9034F" w:rsidRPr="006878DC" w:rsidRDefault="004C3F46" w:rsidP="006878DC">
      <w:pPr>
        <w:pStyle w:val="BodyText"/>
        <w:jc w:val="both"/>
        <w:rPr>
          <w:rFonts w:ascii="Times New Roman" w:hAnsi="Times New Roman" w:cs="Times New Roman"/>
          <w:lang w:eastAsia="zh-CN"/>
        </w:rPr>
      </w:pPr>
      <w:r w:rsidRPr="006878DC">
        <w:rPr>
          <w:rFonts w:ascii="Times New Roman" w:hAnsi="Times New Roman" w:cs="Times New Roman"/>
          <w:noProof/>
          <w:lang w:eastAsia="zh-CN"/>
          <w14:ligatures w14:val="standardContextual"/>
        </w:rPr>
        <w:lastRenderedPageBreak/>
        <w:drawing>
          <wp:inline distT="0" distB="0" distL="0" distR="0" wp14:anchorId="6899436B" wp14:editId="5ABC54AF">
            <wp:extent cx="5486400" cy="2813685"/>
            <wp:effectExtent l="0" t="0" r="0" b="5715"/>
            <wp:docPr id="1378555000" name="图片 2"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55000" name="图片 2" descr="图片包含 地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486400" cy="2813685"/>
                    </a:xfrm>
                    <a:prstGeom prst="rect">
                      <a:avLst/>
                    </a:prstGeom>
                  </pic:spPr>
                </pic:pic>
              </a:graphicData>
            </a:graphic>
          </wp:inline>
        </w:drawing>
      </w:r>
    </w:p>
    <w:p w14:paraId="2C0C9B4E" w14:textId="121F7B4F" w:rsidR="005B6CDB" w:rsidRDefault="000B7878" w:rsidP="006878DC">
      <w:pPr>
        <w:pStyle w:val="BodyText"/>
        <w:jc w:val="both"/>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b/>
          <w:bCs/>
          <w:sz w:val="20"/>
          <w:szCs w:val="20"/>
          <w:lang w:eastAsia="zh-CN"/>
        </w:rPr>
        <w:t xml:space="preserve">Figure </w:t>
      </w:r>
      <w:r w:rsidR="00BE5587">
        <w:rPr>
          <w:rFonts w:ascii="Times New Roman" w:hAnsi="Times New Roman" w:cs="Times New Roman"/>
          <w:b/>
          <w:bCs/>
          <w:sz w:val="20"/>
          <w:szCs w:val="20"/>
          <w:lang w:eastAsia="zh-CN"/>
        </w:rPr>
        <w:t>6</w:t>
      </w:r>
      <w:r w:rsidRPr="006878DC">
        <w:rPr>
          <w:rFonts w:ascii="Times New Roman" w:hAnsi="Times New Roman" w:cs="Times New Roman"/>
          <w:b/>
          <w:bCs/>
          <w:sz w:val="20"/>
          <w:szCs w:val="20"/>
          <w:lang w:eastAsia="zh-CN"/>
        </w:rPr>
        <w:t xml:space="preserve">. </w:t>
      </w:r>
      <w:r w:rsidRPr="006878DC">
        <w:rPr>
          <w:rFonts w:ascii="Times New Roman" w:hAnsi="Times New Roman" w:cs="Times New Roman" w:hint="eastAsia"/>
          <w:sz w:val="20"/>
          <w:szCs w:val="20"/>
          <w:lang w:eastAsia="zh-CN"/>
        </w:rPr>
        <w:t xml:space="preserve">Principal </w:t>
      </w:r>
      <w:r w:rsidRPr="006878DC">
        <w:rPr>
          <w:rFonts w:ascii="Times New Roman" w:hAnsi="Times New Roman" w:cs="Times New Roman"/>
          <w:sz w:val="20"/>
          <w:szCs w:val="20"/>
          <w:lang w:eastAsia="zh-CN"/>
        </w:rPr>
        <w:t>c</w:t>
      </w:r>
      <w:r w:rsidRPr="006878DC">
        <w:rPr>
          <w:rFonts w:ascii="Times New Roman" w:hAnsi="Times New Roman" w:cs="Times New Roman" w:hint="eastAsia"/>
          <w:sz w:val="20"/>
          <w:szCs w:val="20"/>
          <w:lang w:eastAsia="zh-CN"/>
        </w:rPr>
        <w:t xml:space="preserve">omponent </w:t>
      </w:r>
      <w:r w:rsidRPr="006878DC">
        <w:rPr>
          <w:rFonts w:ascii="Times New Roman" w:hAnsi="Times New Roman" w:cs="Times New Roman"/>
          <w:sz w:val="20"/>
          <w:szCs w:val="20"/>
          <w:lang w:eastAsia="zh-CN"/>
        </w:rPr>
        <w:t>a</w:t>
      </w:r>
      <w:r w:rsidRPr="006878DC">
        <w:rPr>
          <w:rFonts w:ascii="Times New Roman" w:hAnsi="Times New Roman" w:cs="Times New Roman" w:hint="eastAsia"/>
          <w:sz w:val="20"/>
          <w:szCs w:val="20"/>
          <w:lang w:eastAsia="zh-CN"/>
        </w:rPr>
        <w:t xml:space="preserve">nalysis (PCA) of embedding features of </w:t>
      </w:r>
      <w:r w:rsidRPr="006878DC">
        <w:rPr>
          <w:rFonts w:ascii="Times New Roman" w:hAnsi="Times New Roman" w:cs="Times New Roman"/>
          <w:sz w:val="20"/>
          <w:szCs w:val="20"/>
          <w:lang w:eastAsia="zh-CN"/>
        </w:rPr>
        <w:t xml:space="preserve">the </w:t>
      </w:r>
      <w:r w:rsidRPr="006878DC">
        <w:rPr>
          <w:rFonts w:ascii="Times New Roman" w:hAnsi="Times New Roman" w:cs="Times New Roman" w:hint="eastAsia"/>
          <w:sz w:val="20"/>
          <w:szCs w:val="20"/>
          <w:lang w:eastAsia="zh-CN"/>
        </w:rPr>
        <w:t>CGCNN trained on the CO adsorption of</w:t>
      </w:r>
      <w:r w:rsidRPr="006878DC">
        <w:rPr>
          <w:rFonts w:ascii="Times New Roman" w:hAnsi="Times New Roman" w:cs="Times New Roman"/>
          <w:sz w:val="20"/>
          <w:szCs w:val="20"/>
          <w:lang w:eastAsia="zh-CN"/>
        </w:rPr>
        <w:t xml:space="preserve"> the </w:t>
      </w:r>
      <w:r>
        <w:rPr>
          <w:rFonts w:ascii="Times New Roman" w:hAnsi="Times New Roman" w:cs="Times New Roman"/>
          <w:sz w:val="20"/>
          <w:szCs w:val="20"/>
          <w:lang w:eastAsia="zh-CN"/>
        </w:rPr>
        <w:t>HEA</w:t>
      </w:r>
      <w:r w:rsidRPr="006878DC">
        <w:rPr>
          <w:rFonts w:ascii="Times New Roman" w:hAnsi="Times New Roman" w:cs="Times New Roman" w:hint="eastAsia"/>
          <w:sz w:val="20"/>
          <w:szCs w:val="20"/>
          <w:lang w:eastAsia="zh-CN"/>
        </w:rPr>
        <w:t xml:space="preserve"> dataset.</w:t>
      </w:r>
      <w:r w:rsidRPr="006878DC">
        <w:rPr>
          <w:rFonts w:ascii="Times New Roman" w:hAnsi="Times New Roman" w:cs="Times New Roman"/>
          <w:sz w:val="20"/>
          <w:szCs w:val="20"/>
          <w:lang w:eastAsia="zh-CN"/>
        </w:rPr>
        <w:t xml:space="preserve"> (</w:t>
      </w:r>
      <w:r w:rsidRPr="001343EE">
        <w:rPr>
          <w:rFonts w:ascii="Times New Roman" w:hAnsi="Times New Roman" w:cs="Times New Roman"/>
          <w:b/>
          <w:bCs/>
          <w:sz w:val="20"/>
          <w:szCs w:val="20"/>
          <w:lang w:eastAsia="zh-CN"/>
        </w:rPr>
        <w:t>a</w:t>
      </w:r>
      <w:r w:rsidRPr="006878DC">
        <w:rPr>
          <w:rFonts w:ascii="Times New Roman" w:hAnsi="Times New Roman" w:cs="Times New Roman"/>
          <w:sz w:val="20"/>
          <w:szCs w:val="20"/>
          <w:lang w:eastAsia="zh-CN"/>
        </w:rPr>
        <w:t xml:space="preserve">) Two-dimensional visualization of element-dependent adsorption sites on the </w:t>
      </w:r>
      <w:r>
        <w:rPr>
          <w:rFonts w:ascii="Times New Roman" w:hAnsi="Times New Roman" w:cs="Times New Roman"/>
          <w:sz w:val="20"/>
          <w:szCs w:val="20"/>
          <w:lang w:eastAsia="zh-CN"/>
        </w:rPr>
        <w:t>HEA</w:t>
      </w:r>
      <w:r w:rsidRPr="006878DC">
        <w:rPr>
          <w:rFonts w:ascii="Times New Roman" w:hAnsi="Times New Roman" w:cs="Times New Roman"/>
          <w:sz w:val="20"/>
          <w:szCs w:val="20"/>
          <w:lang w:eastAsia="zh-CN"/>
        </w:rPr>
        <w:t xml:space="preserve"> surface; (</w:t>
      </w:r>
      <w:r w:rsidRPr="001343EE">
        <w:rPr>
          <w:rFonts w:ascii="Times New Roman" w:hAnsi="Times New Roman" w:cs="Times New Roman"/>
          <w:b/>
          <w:bCs/>
          <w:sz w:val="20"/>
          <w:szCs w:val="20"/>
          <w:lang w:eastAsia="zh-CN"/>
        </w:rPr>
        <w:t>b-f</w:t>
      </w:r>
      <w:r w:rsidRPr="006878DC">
        <w:rPr>
          <w:rFonts w:ascii="Times New Roman" w:hAnsi="Times New Roman" w:cs="Times New Roman"/>
          <w:sz w:val="20"/>
          <w:szCs w:val="20"/>
          <w:lang w:eastAsia="zh-CN"/>
        </w:rPr>
        <w:t xml:space="preserve">) </w:t>
      </w:r>
      <w:r w:rsidR="001343EE">
        <w:rPr>
          <w:rFonts w:ascii="Times New Roman" w:hAnsi="Times New Roman" w:cs="Times New Roman"/>
          <w:sz w:val="20"/>
          <w:szCs w:val="20"/>
          <w:lang w:eastAsia="zh-CN"/>
        </w:rPr>
        <w:t>C</w:t>
      </w:r>
      <w:r w:rsidRPr="006878DC">
        <w:rPr>
          <w:rFonts w:ascii="Times New Roman" w:hAnsi="Times New Roman" w:cs="Times New Roman"/>
          <w:sz w:val="20"/>
          <w:szCs w:val="20"/>
          <w:lang w:eastAsia="zh-CN"/>
        </w:rPr>
        <w:t>orresponding representation of the local atomic environment</w:t>
      </w:r>
      <w:r w:rsidR="001343EE">
        <w:rPr>
          <w:rFonts w:ascii="Times New Roman" w:hAnsi="Times New Roman" w:cs="Times New Roman"/>
          <w:sz w:val="20"/>
          <w:szCs w:val="20"/>
          <w:lang w:eastAsia="zh-CN"/>
        </w:rPr>
        <w:t>. T</w:t>
      </w:r>
      <w:r w:rsidRPr="006878DC">
        <w:rPr>
          <w:rFonts w:ascii="Times New Roman" w:hAnsi="Times New Roman" w:cs="Times New Roman"/>
          <w:sz w:val="20"/>
          <w:szCs w:val="20"/>
          <w:lang w:eastAsia="zh-CN"/>
        </w:rPr>
        <w:t>riangle symbols denote the atomic features of the binding site, and circles denote the other surrounding atoms in the cluster graph.</w:t>
      </w:r>
    </w:p>
    <w:p w14:paraId="1A41746A" w14:textId="77777777" w:rsidR="00C34837" w:rsidRPr="006878DC" w:rsidRDefault="00C34837" w:rsidP="006878DC">
      <w:pPr>
        <w:pStyle w:val="BodyText"/>
        <w:jc w:val="both"/>
        <w:rPr>
          <w:rFonts w:ascii="Times New Roman" w:hAnsi="Times New Roman" w:cs="Times New Roman"/>
          <w:noProof/>
          <w:color w:val="000000"/>
          <w:sz w:val="20"/>
          <w:szCs w:val="20"/>
        </w:rPr>
      </w:pPr>
    </w:p>
    <w:p w14:paraId="312244DA" w14:textId="1E6C4F12" w:rsidR="00F9034F" w:rsidRPr="006878DC" w:rsidRDefault="004C3F46" w:rsidP="006878DC">
      <w:pPr>
        <w:pStyle w:val="BodyText"/>
        <w:jc w:val="both"/>
        <w:rPr>
          <w:rFonts w:ascii="Times New Roman" w:hAnsi="Times New Roman" w:cs="Times New Roman"/>
          <w:b/>
          <w:bCs/>
          <w:sz w:val="20"/>
          <w:szCs w:val="20"/>
          <w:lang w:eastAsia="zh-CN"/>
        </w:rPr>
      </w:pPr>
      <w:r w:rsidRPr="006878DC">
        <w:rPr>
          <w:rFonts w:ascii="Times New Roman" w:hAnsi="Times New Roman" w:cs="Times New Roman"/>
          <w:b/>
          <w:bCs/>
          <w:noProof/>
          <w:sz w:val="20"/>
          <w:szCs w:val="20"/>
          <w:lang w:eastAsia="zh-CN"/>
          <w14:ligatures w14:val="standardContextual"/>
        </w:rPr>
        <w:drawing>
          <wp:inline distT="0" distB="0" distL="0" distR="0" wp14:anchorId="06099E3C" wp14:editId="3A082369">
            <wp:extent cx="5486400" cy="2813685"/>
            <wp:effectExtent l="0" t="0" r="0" b="5715"/>
            <wp:docPr id="1158123916"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23916" name="图片 4" descr="图表, 散点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486400" cy="2813685"/>
                    </a:xfrm>
                    <a:prstGeom prst="rect">
                      <a:avLst/>
                    </a:prstGeom>
                  </pic:spPr>
                </pic:pic>
              </a:graphicData>
            </a:graphic>
          </wp:inline>
        </w:drawing>
      </w:r>
    </w:p>
    <w:p w14:paraId="5639A818" w14:textId="5CCA36C7" w:rsidR="00F9034F" w:rsidRPr="006878DC" w:rsidRDefault="000B7878" w:rsidP="006878DC">
      <w:pPr>
        <w:pStyle w:val="BodyText"/>
        <w:jc w:val="both"/>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b/>
          <w:bCs/>
          <w:sz w:val="20"/>
          <w:szCs w:val="20"/>
          <w:lang w:eastAsia="zh-CN"/>
        </w:rPr>
        <w:t xml:space="preserve">Figure </w:t>
      </w:r>
      <w:r w:rsidR="00BE5587">
        <w:rPr>
          <w:rFonts w:ascii="Times New Roman" w:hAnsi="Times New Roman" w:cs="Times New Roman"/>
          <w:b/>
          <w:bCs/>
          <w:sz w:val="20"/>
          <w:szCs w:val="20"/>
          <w:lang w:eastAsia="zh-CN"/>
        </w:rPr>
        <w:t>7</w:t>
      </w:r>
      <w:r w:rsidRPr="006878DC">
        <w:rPr>
          <w:rFonts w:ascii="Times New Roman" w:hAnsi="Times New Roman" w:cs="Times New Roman"/>
          <w:b/>
          <w:bCs/>
          <w:sz w:val="20"/>
          <w:szCs w:val="20"/>
          <w:lang w:eastAsia="zh-CN"/>
        </w:rPr>
        <w:t xml:space="preserve">. </w:t>
      </w:r>
      <w:r w:rsidR="00F07528" w:rsidRPr="00F07528">
        <w:rPr>
          <w:rFonts w:ascii="Times New Roman" w:hAnsi="Times New Roman" w:cs="Times New Roman"/>
          <w:sz w:val="20"/>
          <w:szCs w:val="20"/>
          <w:lang w:eastAsia="zh-CN"/>
        </w:rPr>
        <w:t>Stochastic Neighbor Embedding (t-SNE)</w:t>
      </w:r>
      <w:r w:rsidR="00F07528" w:rsidRPr="00F07528">
        <w:rPr>
          <w:rFonts w:ascii="Times New Roman" w:hAnsi="Times New Roman" w:cs="Times New Roman" w:hint="eastAsia"/>
          <w:sz w:val="20"/>
          <w:szCs w:val="20"/>
          <w:lang w:eastAsia="zh-CN"/>
        </w:rPr>
        <w:t xml:space="preserve"> </w:t>
      </w:r>
      <w:r w:rsidRPr="006878DC">
        <w:rPr>
          <w:rFonts w:ascii="Times New Roman" w:hAnsi="Times New Roman" w:cs="Times New Roman" w:hint="eastAsia"/>
          <w:sz w:val="20"/>
          <w:szCs w:val="20"/>
          <w:lang w:eastAsia="zh-CN"/>
        </w:rPr>
        <w:t xml:space="preserve">of embedding features of </w:t>
      </w:r>
      <w:r w:rsidRPr="006878DC">
        <w:rPr>
          <w:rFonts w:ascii="Times New Roman" w:hAnsi="Times New Roman" w:cs="Times New Roman"/>
          <w:sz w:val="20"/>
          <w:szCs w:val="20"/>
          <w:lang w:eastAsia="zh-CN"/>
        </w:rPr>
        <w:t>the CG-NET</w:t>
      </w:r>
      <w:r w:rsidRPr="006878DC">
        <w:rPr>
          <w:rFonts w:ascii="Times New Roman" w:hAnsi="Times New Roman" w:cs="Times New Roman" w:hint="eastAsia"/>
          <w:sz w:val="20"/>
          <w:szCs w:val="20"/>
          <w:lang w:eastAsia="zh-CN"/>
        </w:rPr>
        <w:t xml:space="preserve"> trained on the CO adsorption of</w:t>
      </w:r>
      <w:r w:rsidRPr="006878DC">
        <w:rPr>
          <w:rFonts w:ascii="Times New Roman" w:hAnsi="Times New Roman" w:cs="Times New Roman"/>
          <w:sz w:val="20"/>
          <w:szCs w:val="20"/>
          <w:lang w:eastAsia="zh-CN"/>
        </w:rPr>
        <w:t xml:space="preserve"> the </w:t>
      </w:r>
      <w:r>
        <w:rPr>
          <w:rFonts w:ascii="Times New Roman" w:hAnsi="Times New Roman" w:cs="Times New Roman"/>
          <w:sz w:val="20"/>
          <w:szCs w:val="20"/>
          <w:lang w:eastAsia="zh-CN"/>
        </w:rPr>
        <w:t>HEA</w:t>
      </w:r>
      <w:r w:rsidRPr="006878DC">
        <w:rPr>
          <w:rFonts w:ascii="Times New Roman" w:hAnsi="Times New Roman" w:cs="Times New Roman" w:hint="eastAsia"/>
          <w:sz w:val="20"/>
          <w:szCs w:val="20"/>
          <w:lang w:eastAsia="zh-CN"/>
        </w:rPr>
        <w:t xml:space="preserve"> dataset.</w:t>
      </w:r>
      <w:r w:rsidRPr="006878DC">
        <w:rPr>
          <w:rFonts w:ascii="Times New Roman" w:hAnsi="Times New Roman" w:cs="Times New Roman"/>
          <w:sz w:val="20"/>
          <w:szCs w:val="20"/>
          <w:lang w:eastAsia="zh-CN"/>
        </w:rPr>
        <w:t xml:space="preserve"> (</w:t>
      </w:r>
      <w:r w:rsidRPr="001343EE">
        <w:rPr>
          <w:rFonts w:ascii="Times New Roman" w:hAnsi="Times New Roman" w:cs="Times New Roman"/>
          <w:b/>
          <w:bCs/>
          <w:sz w:val="20"/>
          <w:szCs w:val="20"/>
          <w:lang w:eastAsia="zh-CN"/>
        </w:rPr>
        <w:t>a</w:t>
      </w:r>
      <w:r w:rsidRPr="006878DC">
        <w:rPr>
          <w:rFonts w:ascii="Times New Roman" w:hAnsi="Times New Roman" w:cs="Times New Roman"/>
          <w:sz w:val="20"/>
          <w:szCs w:val="20"/>
          <w:lang w:eastAsia="zh-CN"/>
        </w:rPr>
        <w:t xml:space="preserve">) Two-dimensional visualization of element-dependent adsorption sites on the </w:t>
      </w:r>
      <w:r>
        <w:rPr>
          <w:rFonts w:ascii="Times New Roman" w:hAnsi="Times New Roman" w:cs="Times New Roman"/>
          <w:sz w:val="20"/>
          <w:szCs w:val="20"/>
          <w:lang w:eastAsia="zh-CN"/>
        </w:rPr>
        <w:t>HEA</w:t>
      </w:r>
      <w:r w:rsidRPr="006878DC">
        <w:rPr>
          <w:rFonts w:ascii="Times New Roman" w:hAnsi="Times New Roman" w:cs="Times New Roman"/>
          <w:sz w:val="20"/>
          <w:szCs w:val="20"/>
          <w:lang w:eastAsia="zh-CN"/>
        </w:rPr>
        <w:t xml:space="preserve"> surface; (</w:t>
      </w:r>
      <w:r w:rsidRPr="001343EE">
        <w:rPr>
          <w:rFonts w:ascii="Times New Roman" w:hAnsi="Times New Roman" w:cs="Times New Roman"/>
          <w:b/>
          <w:bCs/>
          <w:sz w:val="20"/>
          <w:szCs w:val="20"/>
          <w:lang w:eastAsia="zh-CN"/>
        </w:rPr>
        <w:t>b-f</w:t>
      </w:r>
      <w:r w:rsidRPr="006878DC">
        <w:rPr>
          <w:rFonts w:ascii="Times New Roman" w:hAnsi="Times New Roman" w:cs="Times New Roman"/>
          <w:sz w:val="20"/>
          <w:szCs w:val="20"/>
          <w:lang w:eastAsia="zh-CN"/>
        </w:rPr>
        <w:t xml:space="preserve">) </w:t>
      </w:r>
      <w:r w:rsidR="001343EE">
        <w:rPr>
          <w:rFonts w:ascii="Times New Roman" w:hAnsi="Times New Roman" w:cs="Times New Roman"/>
          <w:sz w:val="20"/>
          <w:szCs w:val="20"/>
          <w:lang w:eastAsia="zh-CN"/>
        </w:rPr>
        <w:t>C</w:t>
      </w:r>
      <w:r w:rsidRPr="006878DC">
        <w:rPr>
          <w:rFonts w:ascii="Times New Roman" w:hAnsi="Times New Roman" w:cs="Times New Roman"/>
          <w:sz w:val="20"/>
          <w:szCs w:val="20"/>
          <w:lang w:eastAsia="zh-CN"/>
        </w:rPr>
        <w:t>orresponding representation of the local atomic environment</w:t>
      </w:r>
      <w:r w:rsidR="001343EE">
        <w:rPr>
          <w:rFonts w:ascii="Times New Roman" w:hAnsi="Times New Roman" w:cs="Times New Roman"/>
          <w:sz w:val="20"/>
          <w:szCs w:val="20"/>
          <w:lang w:eastAsia="zh-CN"/>
        </w:rPr>
        <w:t>. T</w:t>
      </w:r>
      <w:r w:rsidRPr="006878DC">
        <w:rPr>
          <w:rFonts w:ascii="Times New Roman" w:hAnsi="Times New Roman" w:cs="Times New Roman"/>
          <w:sz w:val="20"/>
          <w:szCs w:val="20"/>
          <w:lang w:eastAsia="zh-CN"/>
        </w:rPr>
        <w:t>riangle symbols denote the atomic features of the binding site, and circles denote the other surrounding atoms in the cluster graph.</w:t>
      </w:r>
    </w:p>
    <w:p w14:paraId="4CFC528B" w14:textId="3E4FD732" w:rsidR="001E6D6E" w:rsidRPr="006878DC" w:rsidRDefault="004C3F46" w:rsidP="006878DC">
      <w:pPr>
        <w:pStyle w:val="BodyText"/>
        <w:jc w:val="both"/>
        <w:rPr>
          <w:rFonts w:ascii="Times New Roman" w:hAnsi="Times New Roman" w:cs="Times New Roman"/>
          <w:b/>
          <w:bCs/>
          <w:sz w:val="20"/>
          <w:szCs w:val="20"/>
          <w:lang w:eastAsia="zh-CN"/>
        </w:rPr>
      </w:pPr>
      <w:r w:rsidRPr="006878DC">
        <w:rPr>
          <w:rFonts w:ascii="Times New Roman" w:hAnsi="Times New Roman" w:cs="Times New Roman"/>
          <w:b/>
          <w:bCs/>
          <w:noProof/>
          <w:sz w:val="20"/>
          <w:szCs w:val="20"/>
          <w:lang w:eastAsia="zh-CN"/>
          <w14:ligatures w14:val="standardContextual"/>
        </w:rPr>
        <w:lastRenderedPageBreak/>
        <w:drawing>
          <wp:inline distT="0" distB="0" distL="0" distR="0" wp14:anchorId="65435526" wp14:editId="6326831F">
            <wp:extent cx="5486400" cy="2813685"/>
            <wp:effectExtent l="0" t="0" r="0" b="5715"/>
            <wp:docPr id="861044162" name="图片 5" descr="日历, 散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44162" name="图片 5" descr="日历, 散点图&#10;&#10;中度可信度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486400" cy="2813685"/>
                    </a:xfrm>
                    <a:prstGeom prst="rect">
                      <a:avLst/>
                    </a:prstGeom>
                  </pic:spPr>
                </pic:pic>
              </a:graphicData>
            </a:graphic>
          </wp:inline>
        </w:drawing>
      </w:r>
    </w:p>
    <w:p w14:paraId="0B906604" w14:textId="54A44928" w:rsidR="00310F02" w:rsidRPr="006878DC" w:rsidRDefault="000B7878" w:rsidP="006878DC">
      <w:pPr>
        <w:pStyle w:val="BodyText"/>
        <w:jc w:val="both"/>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b/>
          <w:bCs/>
          <w:sz w:val="20"/>
          <w:szCs w:val="20"/>
          <w:lang w:eastAsia="zh-CN"/>
        </w:rPr>
        <w:t xml:space="preserve">Figure </w:t>
      </w:r>
      <w:r w:rsidR="00BE5587">
        <w:rPr>
          <w:rFonts w:ascii="Times New Roman" w:hAnsi="Times New Roman" w:cs="Times New Roman"/>
          <w:b/>
          <w:bCs/>
          <w:sz w:val="20"/>
          <w:szCs w:val="20"/>
          <w:lang w:eastAsia="zh-CN"/>
        </w:rPr>
        <w:t>8</w:t>
      </w:r>
      <w:r w:rsidRPr="006878DC">
        <w:rPr>
          <w:rFonts w:ascii="Times New Roman" w:hAnsi="Times New Roman" w:cs="Times New Roman"/>
          <w:b/>
          <w:bCs/>
          <w:sz w:val="20"/>
          <w:szCs w:val="20"/>
          <w:lang w:eastAsia="zh-CN"/>
        </w:rPr>
        <w:t xml:space="preserve">. </w:t>
      </w:r>
      <w:r w:rsidR="001343EE" w:rsidRPr="001343EE">
        <w:rPr>
          <w:rFonts w:ascii="Times New Roman" w:hAnsi="Times New Roman" w:cs="Times New Roman"/>
          <w:sz w:val="20"/>
          <w:szCs w:val="20"/>
          <w:lang w:eastAsia="zh-CN"/>
        </w:rPr>
        <w:t>Stochastic Neighbor Embedding (t-SNE)</w:t>
      </w:r>
      <w:r w:rsidR="001343EE" w:rsidRPr="001343EE">
        <w:rPr>
          <w:rFonts w:ascii="Times New Roman" w:hAnsi="Times New Roman" w:cs="Times New Roman" w:hint="eastAsia"/>
          <w:sz w:val="20"/>
          <w:szCs w:val="20"/>
          <w:lang w:eastAsia="zh-CN"/>
        </w:rPr>
        <w:t xml:space="preserve"> </w:t>
      </w:r>
      <w:r w:rsidR="001343EE" w:rsidRPr="001343EE">
        <w:rPr>
          <w:rFonts w:ascii="Times New Roman" w:hAnsi="Times New Roman" w:cs="Times New Roman"/>
          <w:sz w:val="20"/>
          <w:szCs w:val="20"/>
          <w:lang w:eastAsia="zh-CN"/>
        </w:rPr>
        <w:t xml:space="preserve">analysis </w:t>
      </w:r>
      <w:r w:rsidRPr="006878DC">
        <w:rPr>
          <w:rFonts w:ascii="Times New Roman" w:hAnsi="Times New Roman" w:cs="Times New Roman" w:hint="eastAsia"/>
          <w:sz w:val="20"/>
          <w:szCs w:val="20"/>
          <w:lang w:eastAsia="zh-CN"/>
        </w:rPr>
        <w:t xml:space="preserve">of embedding features of </w:t>
      </w:r>
      <w:r w:rsidRPr="006878DC">
        <w:rPr>
          <w:rFonts w:ascii="Times New Roman" w:hAnsi="Times New Roman" w:cs="Times New Roman"/>
          <w:sz w:val="20"/>
          <w:szCs w:val="20"/>
          <w:lang w:eastAsia="zh-CN"/>
        </w:rPr>
        <w:t>the CGCNN</w:t>
      </w:r>
      <w:r w:rsidRPr="006878DC">
        <w:rPr>
          <w:rFonts w:ascii="Times New Roman" w:hAnsi="Times New Roman" w:cs="Times New Roman" w:hint="eastAsia"/>
          <w:sz w:val="20"/>
          <w:szCs w:val="20"/>
          <w:lang w:eastAsia="zh-CN"/>
        </w:rPr>
        <w:t xml:space="preserve"> trained on the CO adsorption of</w:t>
      </w:r>
      <w:r w:rsidRPr="006878DC">
        <w:rPr>
          <w:rFonts w:ascii="Times New Roman" w:hAnsi="Times New Roman" w:cs="Times New Roman"/>
          <w:sz w:val="20"/>
          <w:szCs w:val="20"/>
          <w:lang w:eastAsia="zh-CN"/>
        </w:rPr>
        <w:t xml:space="preserve"> the </w:t>
      </w:r>
      <w:r>
        <w:rPr>
          <w:rFonts w:ascii="Times New Roman" w:hAnsi="Times New Roman" w:cs="Times New Roman"/>
          <w:sz w:val="20"/>
          <w:szCs w:val="20"/>
          <w:lang w:eastAsia="zh-CN"/>
        </w:rPr>
        <w:t>HEA</w:t>
      </w:r>
      <w:r w:rsidRPr="006878DC">
        <w:rPr>
          <w:rFonts w:ascii="Times New Roman" w:hAnsi="Times New Roman" w:cs="Times New Roman" w:hint="eastAsia"/>
          <w:sz w:val="20"/>
          <w:szCs w:val="20"/>
          <w:lang w:eastAsia="zh-CN"/>
        </w:rPr>
        <w:t xml:space="preserve"> dataset.</w:t>
      </w:r>
      <w:r w:rsidRPr="006878DC">
        <w:rPr>
          <w:rFonts w:ascii="Times New Roman" w:hAnsi="Times New Roman" w:cs="Times New Roman"/>
          <w:sz w:val="20"/>
          <w:szCs w:val="20"/>
          <w:lang w:eastAsia="zh-CN"/>
        </w:rPr>
        <w:t xml:space="preserve"> (</w:t>
      </w:r>
      <w:r w:rsidRPr="001343EE">
        <w:rPr>
          <w:rFonts w:ascii="Times New Roman" w:hAnsi="Times New Roman" w:cs="Times New Roman"/>
          <w:b/>
          <w:bCs/>
          <w:sz w:val="20"/>
          <w:szCs w:val="20"/>
          <w:lang w:eastAsia="zh-CN"/>
        </w:rPr>
        <w:t>a</w:t>
      </w:r>
      <w:r w:rsidRPr="006878DC">
        <w:rPr>
          <w:rFonts w:ascii="Times New Roman" w:hAnsi="Times New Roman" w:cs="Times New Roman"/>
          <w:sz w:val="20"/>
          <w:szCs w:val="20"/>
          <w:lang w:eastAsia="zh-CN"/>
        </w:rPr>
        <w:t xml:space="preserve">) Two-dimensional visualization of element-dependent adsorption sites on the </w:t>
      </w:r>
      <w:r>
        <w:rPr>
          <w:rFonts w:ascii="Times New Roman" w:hAnsi="Times New Roman" w:cs="Times New Roman"/>
          <w:sz w:val="20"/>
          <w:szCs w:val="20"/>
          <w:lang w:eastAsia="zh-CN"/>
        </w:rPr>
        <w:t>HEA</w:t>
      </w:r>
      <w:r w:rsidRPr="006878DC">
        <w:rPr>
          <w:rFonts w:ascii="Times New Roman" w:hAnsi="Times New Roman" w:cs="Times New Roman"/>
          <w:sz w:val="20"/>
          <w:szCs w:val="20"/>
          <w:lang w:eastAsia="zh-CN"/>
        </w:rPr>
        <w:t xml:space="preserve"> surface; (</w:t>
      </w:r>
      <w:r w:rsidRPr="001343EE">
        <w:rPr>
          <w:rFonts w:ascii="Times New Roman" w:hAnsi="Times New Roman" w:cs="Times New Roman"/>
          <w:b/>
          <w:bCs/>
          <w:sz w:val="20"/>
          <w:szCs w:val="20"/>
          <w:lang w:eastAsia="zh-CN"/>
        </w:rPr>
        <w:t>b-f</w:t>
      </w:r>
      <w:r w:rsidRPr="006878DC">
        <w:rPr>
          <w:rFonts w:ascii="Times New Roman" w:hAnsi="Times New Roman" w:cs="Times New Roman"/>
          <w:sz w:val="20"/>
          <w:szCs w:val="20"/>
          <w:lang w:eastAsia="zh-CN"/>
        </w:rPr>
        <w:t xml:space="preserve">) </w:t>
      </w:r>
      <w:r w:rsidR="001343EE">
        <w:rPr>
          <w:rFonts w:ascii="Times New Roman" w:hAnsi="Times New Roman" w:cs="Times New Roman"/>
          <w:sz w:val="20"/>
          <w:szCs w:val="20"/>
          <w:lang w:eastAsia="zh-CN"/>
        </w:rPr>
        <w:t>C</w:t>
      </w:r>
      <w:r w:rsidRPr="006878DC">
        <w:rPr>
          <w:rFonts w:ascii="Times New Roman" w:hAnsi="Times New Roman" w:cs="Times New Roman"/>
          <w:sz w:val="20"/>
          <w:szCs w:val="20"/>
          <w:lang w:eastAsia="zh-CN"/>
        </w:rPr>
        <w:t>orresponding representation of the local atomic environment</w:t>
      </w:r>
      <w:r w:rsidR="001343EE">
        <w:rPr>
          <w:rFonts w:ascii="Times New Roman" w:hAnsi="Times New Roman" w:cs="Times New Roman"/>
          <w:sz w:val="20"/>
          <w:szCs w:val="20"/>
          <w:lang w:eastAsia="zh-CN"/>
        </w:rPr>
        <w:t>.</w:t>
      </w:r>
      <w:r w:rsidRPr="006878DC">
        <w:rPr>
          <w:rFonts w:ascii="Times New Roman" w:hAnsi="Times New Roman" w:cs="Times New Roman"/>
          <w:sz w:val="20"/>
          <w:szCs w:val="20"/>
          <w:lang w:eastAsia="zh-CN"/>
        </w:rPr>
        <w:t xml:space="preserve"> </w:t>
      </w:r>
      <w:r w:rsidR="001343EE">
        <w:rPr>
          <w:rFonts w:ascii="Times New Roman" w:hAnsi="Times New Roman" w:cs="Times New Roman"/>
          <w:sz w:val="20"/>
          <w:szCs w:val="20"/>
          <w:lang w:eastAsia="zh-CN"/>
        </w:rPr>
        <w:t>T</w:t>
      </w:r>
      <w:r w:rsidRPr="006878DC">
        <w:rPr>
          <w:rFonts w:ascii="Times New Roman" w:hAnsi="Times New Roman" w:cs="Times New Roman"/>
          <w:sz w:val="20"/>
          <w:szCs w:val="20"/>
          <w:lang w:eastAsia="zh-CN"/>
        </w:rPr>
        <w:t>riangle symbols denote the atomic features of the binding site, and circles denote the other surrounding atoms in the cluster graph.</w:t>
      </w:r>
    </w:p>
    <w:p w14:paraId="02E8AE4C" w14:textId="77777777" w:rsidR="004D4167" w:rsidRPr="006878DC" w:rsidRDefault="004D4167" w:rsidP="006878DC">
      <w:pPr>
        <w:pStyle w:val="BodyText"/>
        <w:jc w:val="both"/>
        <w:rPr>
          <w:rFonts w:ascii="Times New Roman" w:hAnsi="Times New Roman" w:cs="Times New Roman"/>
          <w:b/>
          <w:bCs/>
          <w:sz w:val="20"/>
          <w:szCs w:val="20"/>
          <w:lang w:eastAsia="zh-CN"/>
        </w:rPr>
      </w:pPr>
    </w:p>
    <w:p w14:paraId="281B090D" w14:textId="1C9838E2" w:rsidR="007F6D95" w:rsidRPr="006878DC" w:rsidRDefault="004C3F46" w:rsidP="006878DC">
      <w:pPr>
        <w:pStyle w:val="BodyText"/>
        <w:jc w:val="both"/>
        <w:rPr>
          <w:rFonts w:ascii="Times New Roman" w:hAnsi="Times New Roman" w:cs="Times New Roman"/>
          <w:b/>
          <w:bCs/>
          <w:sz w:val="20"/>
          <w:szCs w:val="20"/>
          <w:lang w:eastAsia="zh-CN"/>
        </w:rPr>
      </w:pPr>
      <w:r w:rsidRPr="006878DC">
        <w:rPr>
          <w:rFonts w:ascii="Times New Roman" w:hAnsi="Times New Roman" w:cs="Times New Roman"/>
          <w:b/>
          <w:bCs/>
          <w:noProof/>
          <w:sz w:val="20"/>
          <w:szCs w:val="20"/>
          <w:lang w:eastAsia="zh-CN"/>
          <w14:ligatures w14:val="standardContextual"/>
        </w:rPr>
        <w:drawing>
          <wp:inline distT="0" distB="0" distL="0" distR="0" wp14:anchorId="578120D0" wp14:editId="0FD4C2A0">
            <wp:extent cx="5486400" cy="1463040"/>
            <wp:effectExtent l="0" t="0" r="0" b="0"/>
            <wp:docPr id="1464208776"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08776" name="图片 6" descr="图表, 散点图&#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486400" cy="1463040"/>
                    </a:xfrm>
                    <a:prstGeom prst="rect">
                      <a:avLst/>
                    </a:prstGeom>
                  </pic:spPr>
                </pic:pic>
              </a:graphicData>
            </a:graphic>
          </wp:inline>
        </w:drawing>
      </w:r>
    </w:p>
    <w:p w14:paraId="62B5A7A1" w14:textId="3D976DB5" w:rsidR="007F6D95" w:rsidRPr="006878DC" w:rsidRDefault="000B7878" w:rsidP="006878DC">
      <w:pPr>
        <w:pStyle w:val="BodyText"/>
        <w:jc w:val="both"/>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hint="eastAsia"/>
          <w:b/>
          <w:bCs/>
          <w:sz w:val="20"/>
          <w:szCs w:val="20"/>
          <w:lang w:eastAsia="zh-CN"/>
        </w:rPr>
        <w:t>F</w:t>
      </w:r>
      <w:r w:rsidRPr="006878DC">
        <w:rPr>
          <w:rFonts w:ascii="Times New Roman" w:hAnsi="Times New Roman" w:cs="Times New Roman"/>
          <w:b/>
          <w:bCs/>
          <w:sz w:val="20"/>
          <w:szCs w:val="20"/>
          <w:lang w:eastAsia="zh-CN"/>
        </w:rPr>
        <w:t xml:space="preserve">igure </w:t>
      </w:r>
      <w:r w:rsidR="00BE5587">
        <w:rPr>
          <w:rFonts w:ascii="Times New Roman" w:hAnsi="Times New Roman" w:cs="Times New Roman"/>
          <w:b/>
          <w:bCs/>
          <w:sz w:val="20"/>
          <w:szCs w:val="20"/>
          <w:lang w:eastAsia="zh-CN"/>
        </w:rPr>
        <w:t>9</w:t>
      </w:r>
      <w:r w:rsidRPr="006878DC">
        <w:rPr>
          <w:rFonts w:ascii="Times New Roman" w:hAnsi="Times New Roman" w:cs="Times New Roman"/>
          <w:b/>
          <w:bCs/>
          <w:sz w:val="20"/>
          <w:szCs w:val="20"/>
          <w:lang w:eastAsia="zh-CN"/>
        </w:rPr>
        <w:t xml:space="preserve">: </w:t>
      </w:r>
      <w:r w:rsidR="007471BC" w:rsidRPr="007471BC">
        <w:rPr>
          <w:rFonts w:ascii="Times New Roman" w:hAnsi="Times New Roman" w:cs="Times New Roman"/>
          <w:sz w:val="20"/>
          <w:szCs w:val="20"/>
          <w:lang w:eastAsia="zh-CN"/>
        </w:rPr>
        <w:t xml:space="preserve">Illustration of </w:t>
      </w:r>
      <w:r w:rsidR="007471BC">
        <w:rPr>
          <w:rFonts w:ascii="Times New Roman" w:hAnsi="Times New Roman" w:cs="Times New Roman"/>
          <w:sz w:val="20"/>
          <w:szCs w:val="20"/>
          <w:lang w:eastAsia="zh-CN"/>
        </w:rPr>
        <w:t>t</w:t>
      </w:r>
      <w:r w:rsidR="0078401D" w:rsidRPr="006878DC">
        <w:rPr>
          <w:rFonts w:ascii="Times New Roman" w:hAnsi="Times New Roman" w:cs="Times New Roman"/>
          <w:sz w:val="20"/>
          <w:szCs w:val="20"/>
          <w:lang w:eastAsia="zh-CN"/>
        </w:rPr>
        <w:t xml:space="preserve">he local structure of *CO and *H adsorption and the convergence of the hyperparameters </w:t>
      </w:r>
      <m:oMath>
        <m:sSub>
          <m:sSubPr>
            <m:ctrlPr>
              <w:rPr>
                <w:rFonts w:ascii="Cambria Math" w:hAnsi="Cambria Math" w:cs="Times New Roman"/>
                <w:sz w:val="20"/>
                <w:szCs w:val="20"/>
                <w:lang w:eastAsia="zh-CN"/>
              </w:rPr>
            </m:ctrlPr>
          </m:sSubPr>
          <m:e>
            <m:r>
              <w:rPr>
                <w:rFonts w:ascii="Cambria Math" w:hAnsi="Cambria Math" w:cs="Times New Roman"/>
                <w:sz w:val="20"/>
                <w:szCs w:val="20"/>
                <w:lang w:eastAsia="zh-CN"/>
              </w:rPr>
              <m:t>N</m:t>
            </m:r>
          </m:e>
          <m:sub>
            <m:r>
              <w:rPr>
                <w:rFonts w:ascii="Cambria Math" w:hAnsi="Cambria Math" w:cs="Times New Roman"/>
                <w:sz w:val="20"/>
                <w:szCs w:val="20"/>
                <w:lang w:eastAsia="zh-CN"/>
              </w:rPr>
              <m:t>node</m:t>
            </m:r>
          </m:sub>
        </m:sSub>
      </m:oMath>
      <w:r w:rsidR="0078401D" w:rsidRPr="006878DC">
        <w:rPr>
          <w:rFonts w:ascii="Times New Roman" w:hAnsi="Times New Roman" w:cs="Times New Roman" w:hint="eastAsia"/>
          <w:sz w:val="20"/>
          <w:szCs w:val="20"/>
          <w:lang w:eastAsia="zh-CN"/>
        </w:rPr>
        <w:t xml:space="preserve"> a</w:t>
      </w:r>
      <w:r w:rsidR="0078401D" w:rsidRPr="006878DC">
        <w:rPr>
          <w:rFonts w:ascii="Times New Roman" w:hAnsi="Times New Roman" w:cs="Times New Roman"/>
          <w:sz w:val="20"/>
          <w:szCs w:val="20"/>
          <w:lang w:eastAsia="zh-CN"/>
        </w:rPr>
        <w:t xml:space="preserve">nd </w:t>
      </w:r>
      <m:oMath>
        <m:sSub>
          <m:sSubPr>
            <m:ctrlPr>
              <w:rPr>
                <w:rFonts w:ascii="Cambria Math" w:hAnsi="Cambria Math" w:cs="Times New Roman"/>
                <w:sz w:val="20"/>
                <w:szCs w:val="20"/>
                <w:lang w:eastAsia="zh-CN"/>
              </w:rPr>
            </m:ctrlPr>
          </m:sSubPr>
          <m:e>
            <m:r>
              <w:rPr>
                <w:rFonts w:ascii="Cambria Math" w:hAnsi="Cambria Math" w:cs="Times New Roman"/>
                <w:sz w:val="20"/>
                <w:szCs w:val="20"/>
                <w:lang w:eastAsia="zh-CN"/>
              </w:rPr>
              <m:t>N</m:t>
            </m:r>
          </m:e>
          <m:sub>
            <m:r>
              <w:rPr>
                <w:rFonts w:ascii="Cambria Math" w:hAnsi="Cambria Math" w:cs="Times New Roman"/>
                <w:sz w:val="20"/>
                <w:szCs w:val="20"/>
                <w:lang w:eastAsia="zh-CN"/>
              </w:rPr>
              <m:t>neighbor</m:t>
            </m:r>
          </m:sub>
        </m:sSub>
      </m:oMath>
      <w:r w:rsidR="0078401D" w:rsidRPr="006878DC">
        <w:rPr>
          <w:rFonts w:ascii="Times New Roman" w:hAnsi="Times New Roman" w:cs="Times New Roman" w:hint="eastAsia"/>
          <w:sz w:val="20"/>
          <w:szCs w:val="20"/>
          <w:lang w:eastAsia="zh-CN"/>
        </w:rPr>
        <w:t>.</w:t>
      </w:r>
      <w:r w:rsidRPr="006878DC">
        <w:rPr>
          <w:rFonts w:ascii="Times New Roman" w:hAnsi="Times New Roman" w:cs="Times New Roman"/>
          <w:sz w:val="20"/>
          <w:szCs w:val="20"/>
          <w:lang w:eastAsia="zh-CN"/>
        </w:rPr>
        <w:t xml:space="preserve"> (</w:t>
      </w:r>
      <w:r w:rsidRPr="007471BC">
        <w:rPr>
          <w:rFonts w:ascii="Times New Roman" w:hAnsi="Times New Roman" w:cs="Times New Roman"/>
          <w:b/>
          <w:bCs/>
          <w:sz w:val="20"/>
          <w:szCs w:val="20"/>
          <w:lang w:eastAsia="zh-CN"/>
        </w:rPr>
        <w:t>a</w:t>
      </w:r>
      <w:r w:rsidRPr="006878DC">
        <w:rPr>
          <w:rFonts w:ascii="Times New Roman" w:hAnsi="Times New Roman" w:cs="Times New Roman"/>
          <w:sz w:val="20"/>
          <w:szCs w:val="20"/>
          <w:lang w:eastAsia="zh-CN"/>
        </w:rPr>
        <w:t xml:space="preserve">) </w:t>
      </w:r>
      <w:r w:rsidR="007471BC">
        <w:rPr>
          <w:rFonts w:ascii="Times New Roman" w:hAnsi="Times New Roman" w:cs="Times New Roman"/>
          <w:sz w:val="20"/>
          <w:szCs w:val="20"/>
          <w:lang w:eastAsia="zh-CN"/>
        </w:rPr>
        <w:t>T</w:t>
      </w:r>
      <w:r w:rsidRPr="006878DC">
        <w:rPr>
          <w:rFonts w:ascii="Times New Roman" w:hAnsi="Times New Roman" w:cs="Times New Roman"/>
          <w:sz w:val="20"/>
          <w:szCs w:val="20"/>
          <w:lang w:eastAsia="zh-CN"/>
        </w:rPr>
        <w:t>he adsorption site of *CO (on-top site</w:t>
      </w:r>
      <w:r w:rsidR="007471BC">
        <w:rPr>
          <w:rFonts w:ascii="Times New Roman" w:hAnsi="Times New Roman" w:cs="Times New Roman"/>
          <w:sz w:val="20"/>
          <w:szCs w:val="20"/>
          <w:lang w:eastAsia="zh-CN"/>
        </w:rPr>
        <w:t>, left</w:t>
      </w:r>
      <w:r w:rsidRPr="006878DC">
        <w:rPr>
          <w:rFonts w:ascii="Times New Roman" w:hAnsi="Times New Roman" w:cs="Times New Roman"/>
          <w:sz w:val="20"/>
          <w:szCs w:val="20"/>
          <w:lang w:eastAsia="zh-CN"/>
        </w:rPr>
        <w:t>) and *H (fcc hollow site</w:t>
      </w:r>
      <w:r w:rsidR="007471BC">
        <w:rPr>
          <w:rFonts w:ascii="Times New Roman" w:hAnsi="Times New Roman" w:cs="Times New Roman"/>
          <w:sz w:val="20"/>
          <w:szCs w:val="20"/>
          <w:lang w:eastAsia="zh-CN"/>
        </w:rPr>
        <w:t>, right</w:t>
      </w:r>
      <w:r w:rsidRPr="006878DC">
        <w:rPr>
          <w:rFonts w:ascii="Times New Roman" w:hAnsi="Times New Roman" w:cs="Times New Roman"/>
          <w:sz w:val="20"/>
          <w:szCs w:val="20"/>
          <w:lang w:eastAsia="zh-CN"/>
        </w:rPr>
        <w:t xml:space="preserve">) adsorbates on the </w:t>
      </w:r>
      <w:r>
        <w:rPr>
          <w:rFonts w:ascii="Times New Roman" w:hAnsi="Times New Roman" w:cs="Times New Roman"/>
          <w:sz w:val="20"/>
          <w:szCs w:val="20"/>
          <w:lang w:eastAsia="zh-CN"/>
        </w:rPr>
        <w:t>HEA</w:t>
      </w:r>
      <w:r w:rsidRPr="006878DC">
        <w:rPr>
          <w:rFonts w:ascii="Times New Roman" w:hAnsi="Times New Roman" w:cs="Times New Roman"/>
          <w:sz w:val="20"/>
          <w:szCs w:val="20"/>
          <w:lang w:eastAsia="zh-CN"/>
        </w:rPr>
        <w:t xml:space="preserve"> surface, with numbered nearest neighbors indicating their distinctive zones within the surface configuration</w:t>
      </w:r>
      <w:r w:rsidR="007471BC">
        <w:rPr>
          <w:rFonts w:ascii="Times New Roman" w:hAnsi="Times New Roman" w:cs="Times New Roman"/>
          <w:sz w:val="20"/>
          <w:szCs w:val="20"/>
          <w:lang w:eastAsia="zh-CN"/>
        </w:rPr>
        <w:t>;</w:t>
      </w:r>
      <w:r w:rsidRPr="006878DC">
        <w:rPr>
          <w:rFonts w:ascii="Times New Roman" w:hAnsi="Times New Roman" w:cs="Times New Roman"/>
          <w:sz w:val="20"/>
          <w:szCs w:val="20"/>
          <w:lang w:eastAsia="zh-CN"/>
        </w:rPr>
        <w:t xml:space="preserve"> (</w:t>
      </w:r>
      <w:r w:rsidRPr="007471BC">
        <w:rPr>
          <w:rFonts w:ascii="Times New Roman" w:hAnsi="Times New Roman" w:cs="Times New Roman"/>
          <w:b/>
          <w:bCs/>
          <w:sz w:val="20"/>
          <w:szCs w:val="20"/>
          <w:lang w:eastAsia="zh-CN"/>
        </w:rPr>
        <w:t>b</w:t>
      </w:r>
      <w:r w:rsidRPr="006878DC">
        <w:rPr>
          <w:rFonts w:ascii="Times New Roman" w:hAnsi="Times New Roman" w:cs="Times New Roman"/>
          <w:sz w:val="20"/>
          <w:szCs w:val="20"/>
          <w:lang w:eastAsia="zh-CN"/>
        </w:rPr>
        <w:t xml:space="preserve">) Variation in the validation MAE as a function of the number of nodes </w:t>
      </w:r>
      <m:oMath>
        <m:sSub>
          <m:sSubPr>
            <m:ctrlPr>
              <w:rPr>
                <w:rFonts w:ascii="Cambria Math" w:hAnsi="Cambria Math" w:cs="Times New Roman"/>
                <w:sz w:val="20"/>
                <w:szCs w:val="20"/>
                <w:lang w:eastAsia="zh-CN"/>
              </w:rPr>
            </m:ctrlPr>
          </m:sSubPr>
          <m:e>
            <m:r>
              <w:rPr>
                <w:rFonts w:ascii="Cambria Math" w:hAnsi="Cambria Math" w:cs="Times New Roman"/>
                <w:sz w:val="20"/>
                <w:szCs w:val="20"/>
                <w:lang w:eastAsia="zh-CN"/>
              </w:rPr>
              <m:t>N</m:t>
            </m:r>
          </m:e>
          <m:sub>
            <m:r>
              <w:rPr>
                <w:rFonts w:ascii="Cambria Math" w:hAnsi="Cambria Math" w:cs="Times New Roman"/>
                <w:sz w:val="20"/>
                <w:szCs w:val="20"/>
                <w:lang w:eastAsia="zh-CN"/>
              </w:rPr>
              <m:t>node</m:t>
            </m:r>
          </m:sub>
        </m:sSub>
      </m:oMath>
      <w:r w:rsidR="007471BC">
        <w:rPr>
          <w:rFonts w:ascii="Times New Roman" w:hAnsi="Times New Roman" w:cs="Times New Roman"/>
          <w:sz w:val="20"/>
          <w:szCs w:val="20"/>
          <w:lang w:eastAsia="zh-CN"/>
        </w:rPr>
        <w:t>;</w:t>
      </w:r>
      <w:r w:rsidRPr="006878DC">
        <w:rPr>
          <w:rFonts w:ascii="Times New Roman" w:hAnsi="Times New Roman" w:cs="Times New Roman"/>
          <w:sz w:val="20"/>
          <w:szCs w:val="20"/>
          <w:lang w:eastAsia="zh-CN"/>
        </w:rPr>
        <w:t xml:space="preserve"> (</w:t>
      </w:r>
      <w:r w:rsidRPr="007471BC">
        <w:rPr>
          <w:rFonts w:ascii="Times New Roman" w:hAnsi="Times New Roman" w:cs="Times New Roman"/>
          <w:b/>
          <w:bCs/>
          <w:sz w:val="20"/>
          <w:szCs w:val="20"/>
          <w:lang w:eastAsia="zh-CN"/>
        </w:rPr>
        <w:t>c</w:t>
      </w:r>
      <w:r w:rsidRPr="006878DC">
        <w:rPr>
          <w:rFonts w:ascii="Times New Roman" w:hAnsi="Times New Roman" w:cs="Times New Roman"/>
          <w:sz w:val="20"/>
          <w:szCs w:val="20"/>
          <w:lang w:eastAsia="zh-CN"/>
        </w:rPr>
        <w:t xml:space="preserve">) the number of neighbors </w:t>
      </w:r>
      <m:oMath>
        <m:sSub>
          <m:sSubPr>
            <m:ctrlPr>
              <w:rPr>
                <w:rFonts w:ascii="Cambria Math" w:hAnsi="Cambria Math" w:cs="Times New Roman"/>
                <w:sz w:val="20"/>
                <w:szCs w:val="20"/>
                <w:lang w:eastAsia="zh-CN"/>
              </w:rPr>
            </m:ctrlPr>
          </m:sSubPr>
          <m:e>
            <m:r>
              <w:rPr>
                <w:rFonts w:ascii="Cambria Math" w:hAnsi="Cambria Math" w:cs="Times New Roman"/>
                <w:sz w:val="20"/>
                <w:szCs w:val="20"/>
                <w:lang w:eastAsia="zh-CN"/>
              </w:rPr>
              <m:t>N</m:t>
            </m:r>
          </m:e>
          <m:sub>
            <m:r>
              <w:rPr>
                <w:rFonts w:ascii="Cambria Math" w:hAnsi="Cambria Math" w:cs="Times New Roman"/>
                <w:sz w:val="20"/>
                <w:szCs w:val="20"/>
                <w:lang w:eastAsia="zh-CN"/>
              </w:rPr>
              <m:t>neighbor</m:t>
            </m:r>
          </m:sub>
        </m:sSub>
      </m:oMath>
      <w:r w:rsidRPr="006878DC">
        <w:rPr>
          <w:rFonts w:ascii="Times New Roman" w:hAnsi="Times New Roman" w:cs="Times New Roman"/>
          <w:sz w:val="20"/>
          <w:szCs w:val="20"/>
          <w:lang w:eastAsia="zh-CN"/>
        </w:rPr>
        <w:t xml:space="preserve"> for predicting the adsorption energy.</w:t>
      </w:r>
    </w:p>
    <w:p w14:paraId="3D09A23B" w14:textId="77777777" w:rsidR="004D4167" w:rsidRPr="006878DC" w:rsidRDefault="004D4167" w:rsidP="006878DC">
      <w:pPr>
        <w:pStyle w:val="BodyText"/>
        <w:jc w:val="both"/>
        <w:rPr>
          <w:rFonts w:ascii="Times New Roman" w:hAnsi="Times New Roman" w:cs="Times New Roman"/>
          <w:sz w:val="20"/>
          <w:szCs w:val="20"/>
          <w:lang w:eastAsia="zh-CN"/>
        </w:rPr>
      </w:pPr>
    </w:p>
    <w:p w14:paraId="6B3611F0" w14:textId="4E05A12B" w:rsidR="00166E58" w:rsidRPr="006878DC" w:rsidRDefault="000B7878" w:rsidP="006878DC">
      <w:pPr>
        <w:spacing w:after="0"/>
        <w:jc w:val="both"/>
        <w:rPr>
          <w:rFonts w:ascii="Times New Roman" w:hAnsi="Times New Roman" w:cs="Times New Roman"/>
          <w:sz w:val="20"/>
          <w:szCs w:val="20"/>
          <w:lang w:eastAsia="zh-CN"/>
        </w:rPr>
      </w:pPr>
      <w:r w:rsidRPr="000B7878">
        <w:rPr>
          <w:rFonts w:ascii="Times New Roman" w:hAnsi="Times New Roman" w:cs="Times New Roman"/>
          <w:b/>
          <w:bCs/>
          <w:sz w:val="20"/>
          <w:szCs w:val="20"/>
          <w:lang w:eastAsia="zh-CN"/>
        </w:rPr>
        <w:t xml:space="preserve">Supplementary </w:t>
      </w:r>
      <w:r w:rsidRPr="006878DC">
        <w:rPr>
          <w:rFonts w:ascii="Times New Roman" w:hAnsi="Times New Roman" w:cs="Times New Roman" w:hint="eastAsia"/>
          <w:b/>
          <w:bCs/>
          <w:sz w:val="20"/>
          <w:szCs w:val="20"/>
          <w:lang w:eastAsia="zh-CN"/>
        </w:rPr>
        <w:t>Ta</w:t>
      </w:r>
      <w:r w:rsidRPr="006878DC">
        <w:rPr>
          <w:rFonts w:ascii="Times New Roman" w:hAnsi="Times New Roman" w:cs="Times New Roman"/>
          <w:b/>
          <w:bCs/>
          <w:sz w:val="20"/>
          <w:szCs w:val="20"/>
          <w:lang w:eastAsia="zh-CN"/>
        </w:rPr>
        <w:t xml:space="preserve">ble 1. </w:t>
      </w:r>
      <w:r w:rsidRPr="0060181D">
        <w:rPr>
          <w:rFonts w:ascii="Times New Roman" w:hAnsi="Times New Roman" w:cs="Times New Roman"/>
          <w:sz w:val="20"/>
          <w:szCs w:val="20"/>
          <w:lang w:eastAsia="zh-CN"/>
        </w:rPr>
        <w:t>The fcc lattice parameters of pristine metals determined via DFT calculations</w:t>
      </w:r>
      <w:r w:rsidRPr="00E25740">
        <w:rPr>
          <w:rFonts w:ascii="Times New Roman" w:hAnsi="Times New Roman" w:cs="Times New Roman"/>
          <w:sz w:val="20"/>
          <w:szCs w:val="20"/>
          <w:lang w:eastAsia="zh-CN"/>
        </w:rPr>
        <w:t>.</w:t>
      </w:r>
    </w:p>
    <w:p w14:paraId="69739D99" w14:textId="22E54A7F" w:rsidR="00ED13F1" w:rsidRDefault="00091A4F" w:rsidP="007471BC">
      <w:pPr>
        <w:pStyle w:val="BodyText"/>
        <w:jc w:val="center"/>
        <w:rPr>
          <w:rFonts w:ascii="Times New Roman" w:hAnsi="Times New Roman" w:cs="Times New Roman"/>
          <w:b/>
          <w:bCs/>
          <w:sz w:val="20"/>
          <w:szCs w:val="20"/>
          <w:lang w:eastAsia="zh-CN"/>
        </w:rPr>
      </w:pPr>
      <w:r w:rsidRPr="00091A4F">
        <w:rPr>
          <w:rFonts w:ascii="Times New Roman" w:hAnsi="Times New Roman" w:cs="Times New Roman"/>
          <w:b/>
          <w:bCs/>
          <w:noProof/>
          <w:sz w:val="20"/>
          <w:szCs w:val="20"/>
          <w:lang w:eastAsia="zh-CN"/>
        </w:rPr>
        <w:drawing>
          <wp:inline distT="0" distB="0" distL="0" distR="0" wp14:anchorId="5167BC08" wp14:editId="21EC475F">
            <wp:extent cx="5486400" cy="596265"/>
            <wp:effectExtent l="0" t="0" r="0" b="635"/>
            <wp:docPr id="1650191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91611" name=""/>
                    <pic:cNvPicPr/>
                  </pic:nvPicPr>
                  <pic:blipFill>
                    <a:blip r:embed="rId14"/>
                    <a:stretch>
                      <a:fillRect/>
                    </a:stretch>
                  </pic:blipFill>
                  <pic:spPr>
                    <a:xfrm>
                      <a:off x="0" y="0"/>
                      <a:ext cx="5486400" cy="596265"/>
                    </a:xfrm>
                    <a:prstGeom prst="rect">
                      <a:avLst/>
                    </a:prstGeom>
                  </pic:spPr>
                </pic:pic>
              </a:graphicData>
            </a:graphic>
          </wp:inline>
        </w:drawing>
      </w:r>
    </w:p>
    <w:p w14:paraId="42D4CFE9" w14:textId="77777777" w:rsidR="007471BC" w:rsidRDefault="007471BC" w:rsidP="007471BC">
      <w:pPr>
        <w:pStyle w:val="BodyText"/>
        <w:jc w:val="center"/>
        <w:rPr>
          <w:rFonts w:ascii="Times New Roman" w:hAnsi="Times New Roman" w:cs="Times New Roman"/>
          <w:b/>
          <w:bCs/>
          <w:sz w:val="20"/>
          <w:szCs w:val="20"/>
          <w:lang w:eastAsia="zh-CN"/>
        </w:rPr>
      </w:pPr>
    </w:p>
    <w:p w14:paraId="63375175" w14:textId="77777777" w:rsidR="00E4538D" w:rsidRPr="006878DC" w:rsidRDefault="00E4538D" w:rsidP="007471BC">
      <w:pPr>
        <w:pStyle w:val="BodyText"/>
        <w:jc w:val="center"/>
        <w:rPr>
          <w:rFonts w:ascii="Times New Roman" w:hAnsi="Times New Roman" w:cs="Times New Roman"/>
          <w:b/>
          <w:bCs/>
          <w:sz w:val="20"/>
          <w:szCs w:val="20"/>
          <w:lang w:eastAsia="zh-CN"/>
        </w:rPr>
      </w:pPr>
    </w:p>
    <w:p w14:paraId="0FADAFEC" w14:textId="09DD7308" w:rsidR="00166E58" w:rsidRPr="006878DC" w:rsidRDefault="000B7878" w:rsidP="006878DC">
      <w:pPr>
        <w:pStyle w:val="BodyText"/>
        <w:jc w:val="both"/>
        <w:rPr>
          <w:rFonts w:ascii="Times New Roman" w:hAnsi="Times New Roman" w:cs="Times New Roman"/>
          <w:b/>
          <w:bCs/>
          <w:sz w:val="20"/>
          <w:szCs w:val="20"/>
          <w:lang w:eastAsia="zh-CN"/>
        </w:rPr>
      </w:pPr>
      <w:r w:rsidRPr="000B7878">
        <w:rPr>
          <w:rFonts w:ascii="Times New Roman" w:hAnsi="Times New Roman" w:cs="Times New Roman"/>
          <w:b/>
          <w:bCs/>
          <w:sz w:val="20"/>
          <w:szCs w:val="20"/>
          <w:lang w:eastAsia="zh-CN"/>
        </w:rPr>
        <w:lastRenderedPageBreak/>
        <w:t xml:space="preserve">Supplementary </w:t>
      </w:r>
      <w:r w:rsidRPr="006878DC">
        <w:rPr>
          <w:rFonts w:ascii="Times New Roman" w:hAnsi="Times New Roman" w:cs="Times New Roman"/>
          <w:b/>
          <w:bCs/>
          <w:sz w:val="20"/>
          <w:szCs w:val="20"/>
          <w:lang w:eastAsia="zh-CN"/>
        </w:rPr>
        <w:t xml:space="preserve">Table 2. </w:t>
      </w:r>
      <w:r w:rsidRPr="006878DC">
        <w:rPr>
          <w:rFonts w:ascii="Times New Roman" w:hAnsi="Times New Roman" w:cs="Times New Roman"/>
          <w:sz w:val="20"/>
          <w:szCs w:val="20"/>
          <w:lang w:eastAsia="zh-CN"/>
        </w:rPr>
        <w:t>List of hyperparameter</w:t>
      </w:r>
      <w:r w:rsidR="007471BC">
        <w:rPr>
          <w:rFonts w:ascii="Times New Roman" w:hAnsi="Times New Roman" w:cs="Times New Roman"/>
          <w:sz w:val="20"/>
          <w:szCs w:val="20"/>
          <w:lang w:eastAsia="zh-CN"/>
        </w:rPr>
        <w:t xml:space="preserve"> values</w:t>
      </w:r>
      <w:r w:rsidRPr="006878DC">
        <w:rPr>
          <w:rFonts w:ascii="Times New Roman" w:hAnsi="Times New Roman" w:cs="Times New Roman"/>
          <w:sz w:val="20"/>
          <w:szCs w:val="20"/>
          <w:lang w:eastAsia="zh-CN"/>
        </w:rPr>
        <w:t xml:space="preserve"> for the CG-NET model.</w:t>
      </w:r>
    </w:p>
    <w:p w14:paraId="65CFD216" w14:textId="0741BCAE" w:rsidR="00C1756B" w:rsidRDefault="006A71EE" w:rsidP="00C92BD5">
      <w:pPr>
        <w:pStyle w:val="BodyText"/>
        <w:jc w:val="center"/>
        <w:rPr>
          <w:rFonts w:ascii="Times New Roman" w:hAnsi="Times New Roman" w:cs="Times New Roman"/>
          <w:b/>
          <w:bCs/>
          <w:sz w:val="28"/>
          <w:szCs w:val="28"/>
          <w:lang w:eastAsia="zh-CN"/>
        </w:rPr>
      </w:pPr>
      <w:r w:rsidRPr="006A71EE">
        <w:rPr>
          <w:noProof/>
          <w:lang w:eastAsia="zh-CN"/>
        </w:rPr>
        <w:drawing>
          <wp:inline distT="0" distB="0" distL="0" distR="0" wp14:anchorId="128E88C3" wp14:editId="3B1049A2">
            <wp:extent cx="5209309" cy="2281484"/>
            <wp:effectExtent l="0" t="0" r="0" b="5080"/>
            <wp:docPr id="683011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11861" name=""/>
                    <pic:cNvPicPr/>
                  </pic:nvPicPr>
                  <pic:blipFill>
                    <a:blip r:embed="rId15"/>
                    <a:stretch>
                      <a:fillRect/>
                    </a:stretch>
                  </pic:blipFill>
                  <pic:spPr>
                    <a:xfrm>
                      <a:off x="0" y="0"/>
                      <a:ext cx="5246372" cy="2297716"/>
                    </a:xfrm>
                    <a:prstGeom prst="rect">
                      <a:avLst/>
                    </a:prstGeom>
                  </pic:spPr>
                </pic:pic>
              </a:graphicData>
            </a:graphic>
          </wp:inline>
        </w:drawing>
      </w:r>
    </w:p>
    <w:p w14:paraId="560CA2AA" w14:textId="7648E6EC" w:rsidR="00D42926" w:rsidRPr="006878DC" w:rsidRDefault="004C3F46" w:rsidP="006878DC">
      <w:pPr>
        <w:pStyle w:val="BodyText"/>
        <w:jc w:val="both"/>
        <w:rPr>
          <w:rFonts w:ascii="Times New Roman" w:hAnsi="Times New Roman" w:cs="Times New Roman"/>
          <w:b/>
          <w:bCs/>
          <w:sz w:val="28"/>
          <w:szCs w:val="28"/>
          <w:lang w:eastAsia="zh-CN"/>
        </w:rPr>
      </w:pPr>
      <w:r w:rsidRPr="006878DC">
        <w:rPr>
          <w:rFonts w:ascii="Times New Roman" w:hAnsi="Times New Roman" w:cs="Times New Roman"/>
          <w:b/>
          <w:bCs/>
          <w:sz w:val="28"/>
          <w:szCs w:val="28"/>
          <w:lang w:eastAsia="zh-CN"/>
        </w:rPr>
        <w:t>References</w:t>
      </w:r>
    </w:p>
    <w:p w14:paraId="1E41E14F" w14:textId="77777777" w:rsidR="00425DEF" w:rsidRPr="00425DEF" w:rsidRDefault="00C34837" w:rsidP="00425DEF">
      <w:pPr>
        <w:pStyle w:val="Bibliography0"/>
        <w:rPr>
          <w:rFonts w:ascii="Times New Roman" w:hAnsi="Times New Roman" w:cs="Times New Roman"/>
          <w:lang w:eastAsia="zh-CN"/>
          <w14:ligatures w14:val="standardContextual"/>
        </w:rPr>
      </w:pPr>
      <w:r w:rsidRPr="00C34837">
        <w:fldChar w:fldCharType="begin"/>
      </w:r>
      <w:r w:rsidR="00425DEF">
        <w:instrText xml:space="preserve"> ADDIN ZOTERO_BIBL {"uncited":[],"omitted":[],"custom":[[["http://zotero.org/users/9631491/items/6Q7EQ9CK"],"10.\\tab{}Robbins, H. &amp; Monro, S. A stochastic approximation method. {\\i{}The Annals of Mathematical Statistics} {\\b{}22}, 400\\uc0\\u8211{}407 (1951)."],[["http://zotero.org/users/9631491/items/27ASVCPB"],"9.\\tab{}Nellaiappan, S. {\\i{}et al.} High-entropy alloys as catalysts for the CO2 and CO reduction reactions: experimental realization. {\\i{}ACS Catalysis} {\\b{}10}, 3658\\uc0\\u8211{}3663 (2020)."],[["http://zotero.org/users/9631491/items/BNFN7E7Q"],"8.\\tab{}Pedersen, J. K., Batchelor, T. A. A., Bagger, A. &amp; Rossmeisl, J. High-entropy alloys as catalysts for the CO2 and CO reduction reactions. {\\i{}ACS Catalysis} {\\b{}10}, 2169\\uc0\\u8211{}2176 (2020)."],[["http://zotero.org/users/9631491/items/DSIWRYXL"],"6.\\tab{}Peterson, A. A. &amp; N\\uc0\\u248{}rskov, J. K. Activity descriptors for CO2 electroreduction to methane on transition-metal catalysts. {\\i{}J. Phys. Chem. Lett.} {\\b{}3}, 251\\uc0\\u8211{}258 (2012)."],[["http://zotero.org/users/9631491/items/9RELX4W9"],"2.\\tab{}Enkovaara, J. {\\i{}et al.} Electronic structure calculations with GPAW: a real-space implementation of the projector augmented-wave method. {\\i{}J. Phys.: Condens. Matter} {\\b{}22}, 253202 (2010)."],[["http://zotero.org/users/9631491/items/5XQCHY7Q"],"7.\\tab{}Chan, K., Tsai, C., Hansen, H. A. &amp; N\\uc0\\u248{}rskov, J. K. Molybdenum sulfides and selenides as possible electrocatalysts for CO2 Reduction. {\\i{}ChemCatChem} {\\b{}6}, 1899\\uc0\\u8211{}1905 (2014)."]]} CSL_BIBLIOGRAPHY </w:instrText>
      </w:r>
      <w:r w:rsidRPr="00C34837">
        <w:fldChar w:fldCharType="separate"/>
      </w:r>
      <w:r w:rsidR="00425DEF" w:rsidRPr="00425DEF">
        <w:rPr>
          <w:rFonts w:ascii="Times New Roman" w:hAnsi="Times New Roman" w:cs="Times New Roman"/>
          <w:lang w:eastAsia="zh-CN"/>
          <w14:ligatures w14:val="standardContextual"/>
        </w:rPr>
        <w:t>1.</w:t>
      </w:r>
      <w:r w:rsidR="00425DEF" w:rsidRPr="00425DEF">
        <w:rPr>
          <w:rFonts w:ascii="Times New Roman" w:hAnsi="Times New Roman" w:cs="Times New Roman"/>
          <w:lang w:eastAsia="zh-CN"/>
          <w14:ligatures w14:val="standardContextual"/>
        </w:rPr>
        <w:tab/>
        <w:t xml:space="preserve">Mortensen, J. J., Hansen, L. B. &amp; Jacobsen, K. W. Real-space grid implementation of the projector augmented wave method. </w:t>
      </w:r>
      <w:r w:rsidR="00425DEF" w:rsidRPr="00425DEF">
        <w:rPr>
          <w:rFonts w:ascii="Times New Roman" w:hAnsi="Times New Roman" w:cs="Times New Roman"/>
          <w:i/>
          <w:iCs/>
          <w:lang w:eastAsia="zh-CN"/>
          <w14:ligatures w14:val="standardContextual"/>
        </w:rPr>
        <w:t>Phys. Rev. B</w:t>
      </w:r>
      <w:r w:rsidR="00425DEF" w:rsidRPr="00425DEF">
        <w:rPr>
          <w:rFonts w:ascii="Times New Roman" w:hAnsi="Times New Roman" w:cs="Times New Roman"/>
          <w:lang w:eastAsia="zh-CN"/>
          <w14:ligatures w14:val="standardContextual"/>
        </w:rPr>
        <w:t xml:space="preserve"> </w:t>
      </w:r>
      <w:r w:rsidR="00425DEF" w:rsidRPr="00425DEF">
        <w:rPr>
          <w:rFonts w:ascii="Times New Roman" w:hAnsi="Times New Roman" w:cs="Times New Roman"/>
          <w:b/>
          <w:bCs/>
          <w:lang w:eastAsia="zh-CN"/>
          <w14:ligatures w14:val="standardContextual"/>
        </w:rPr>
        <w:t>71</w:t>
      </w:r>
      <w:r w:rsidR="00425DEF" w:rsidRPr="00425DEF">
        <w:rPr>
          <w:rFonts w:ascii="Times New Roman" w:hAnsi="Times New Roman" w:cs="Times New Roman"/>
          <w:lang w:eastAsia="zh-CN"/>
          <w14:ligatures w14:val="standardContextual"/>
        </w:rPr>
        <w:t>, 035109 (2005).</w:t>
      </w:r>
    </w:p>
    <w:p w14:paraId="606D62E6"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2.</w:t>
      </w:r>
      <w:r w:rsidRPr="00425DEF">
        <w:rPr>
          <w:rFonts w:ascii="Times New Roman" w:hAnsi="Times New Roman" w:cs="Times New Roman"/>
          <w:lang w:eastAsia="zh-CN"/>
          <w14:ligatures w14:val="standardContextual"/>
        </w:rPr>
        <w:tab/>
        <w:t xml:space="preserve">Enkovaara, J. </w:t>
      </w:r>
      <w:r w:rsidRPr="00425DEF">
        <w:rPr>
          <w:rFonts w:ascii="Times New Roman" w:hAnsi="Times New Roman" w:cs="Times New Roman"/>
          <w:i/>
          <w:iCs/>
          <w:lang w:eastAsia="zh-CN"/>
          <w14:ligatures w14:val="standardContextual"/>
        </w:rPr>
        <w:t>et al.</w:t>
      </w:r>
      <w:r w:rsidRPr="00425DEF">
        <w:rPr>
          <w:rFonts w:ascii="Times New Roman" w:hAnsi="Times New Roman" w:cs="Times New Roman"/>
          <w:lang w:eastAsia="zh-CN"/>
          <w14:ligatures w14:val="standardContextual"/>
        </w:rPr>
        <w:t xml:space="preserve"> Electronic structure calculations with GPAW: a real-space implementation of the projector augmented-wave method. </w:t>
      </w:r>
      <w:r w:rsidRPr="00425DEF">
        <w:rPr>
          <w:rFonts w:ascii="Times New Roman" w:hAnsi="Times New Roman" w:cs="Times New Roman"/>
          <w:i/>
          <w:iCs/>
          <w:lang w:eastAsia="zh-CN"/>
          <w14:ligatures w14:val="standardContextual"/>
        </w:rPr>
        <w:t>J. Phys.: Condens. Matter</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22</w:t>
      </w:r>
      <w:r w:rsidRPr="00425DEF">
        <w:rPr>
          <w:rFonts w:ascii="Times New Roman" w:hAnsi="Times New Roman" w:cs="Times New Roman"/>
          <w:lang w:eastAsia="zh-CN"/>
          <w14:ligatures w14:val="standardContextual"/>
        </w:rPr>
        <w:t>, 253202 (2010).</w:t>
      </w:r>
    </w:p>
    <w:p w14:paraId="5F77EB2B"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3.</w:t>
      </w:r>
      <w:r w:rsidRPr="00425DEF">
        <w:rPr>
          <w:rFonts w:ascii="Times New Roman" w:hAnsi="Times New Roman" w:cs="Times New Roman"/>
          <w:lang w:eastAsia="zh-CN"/>
          <w14:ligatures w14:val="standardContextual"/>
        </w:rPr>
        <w:tab/>
        <w:t xml:space="preserve">Larsen, A. H. </w:t>
      </w:r>
      <w:r w:rsidRPr="00425DEF">
        <w:rPr>
          <w:rFonts w:ascii="Times New Roman" w:hAnsi="Times New Roman" w:cs="Times New Roman"/>
          <w:i/>
          <w:iCs/>
          <w:lang w:eastAsia="zh-CN"/>
          <w14:ligatures w14:val="standardContextual"/>
        </w:rPr>
        <w:t>et al.</w:t>
      </w:r>
      <w:r w:rsidRPr="00425DEF">
        <w:rPr>
          <w:rFonts w:ascii="Times New Roman" w:hAnsi="Times New Roman" w:cs="Times New Roman"/>
          <w:lang w:eastAsia="zh-CN"/>
          <w14:ligatures w14:val="standardContextual"/>
        </w:rPr>
        <w:t xml:space="preserve"> The atomic simulation environment—a Python library for working with atoms. </w:t>
      </w:r>
      <w:r w:rsidRPr="00425DEF">
        <w:rPr>
          <w:rFonts w:ascii="Times New Roman" w:hAnsi="Times New Roman" w:cs="Times New Roman"/>
          <w:i/>
          <w:iCs/>
          <w:lang w:eastAsia="zh-CN"/>
          <w14:ligatures w14:val="standardContextual"/>
        </w:rPr>
        <w:t>J. Phys.: Condens. Matter</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29</w:t>
      </w:r>
      <w:r w:rsidRPr="00425DEF">
        <w:rPr>
          <w:rFonts w:ascii="Times New Roman" w:hAnsi="Times New Roman" w:cs="Times New Roman"/>
          <w:lang w:eastAsia="zh-CN"/>
          <w14:ligatures w14:val="standardContextual"/>
        </w:rPr>
        <w:t>, 273002 (2017).</w:t>
      </w:r>
    </w:p>
    <w:p w14:paraId="1685B3C1"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4.</w:t>
      </w:r>
      <w:r w:rsidRPr="00425DEF">
        <w:rPr>
          <w:rFonts w:ascii="Times New Roman" w:hAnsi="Times New Roman" w:cs="Times New Roman"/>
          <w:lang w:eastAsia="zh-CN"/>
          <w14:ligatures w14:val="standardContextual"/>
        </w:rPr>
        <w:tab/>
        <w:t xml:space="preserve">Hammer, B., Hansen, L. B. &amp; Nørskov, J. K. Improved adsorption energetics within density-functional theory using revised Perdew-Burke-Ernzerhof functionals. </w:t>
      </w:r>
      <w:r w:rsidRPr="00425DEF">
        <w:rPr>
          <w:rFonts w:ascii="Times New Roman" w:hAnsi="Times New Roman" w:cs="Times New Roman"/>
          <w:i/>
          <w:iCs/>
          <w:lang w:eastAsia="zh-CN"/>
          <w14:ligatures w14:val="standardContextual"/>
        </w:rPr>
        <w:t>Physical Review B</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59</w:t>
      </w:r>
      <w:r w:rsidRPr="00425DEF">
        <w:rPr>
          <w:rFonts w:ascii="Times New Roman" w:hAnsi="Times New Roman" w:cs="Times New Roman"/>
          <w:lang w:eastAsia="zh-CN"/>
          <w14:ligatures w14:val="standardContextual"/>
        </w:rPr>
        <w:t>, 7413–7421 (1999).</w:t>
      </w:r>
    </w:p>
    <w:p w14:paraId="224DB281"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5.</w:t>
      </w:r>
      <w:r w:rsidRPr="00425DEF">
        <w:rPr>
          <w:rFonts w:ascii="Times New Roman" w:hAnsi="Times New Roman" w:cs="Times New Roman"/>
          <w:lang w:eastAsia="zh-CN"/>
          <w14:ligatures w14:val="standardContextual"/>
        </w:rPr>
        <w:tab/>
        <w:t xml:space="preserve">Denton, A. R. &amp; Ashcroft, N. W. Vegard’s law. </w:t>
      </w:r>
      <w:r w:rsidRPr="00425DEF">
        <w:rPr>
          <w:rFonts w:ascii="Times New Roman" w:hAnsi="Times New Roman" w:cs="Times New Roman"/>
          <w:i/>
          <w:iCs/>
          <w:lang w:eastAsia="zh-CN"/>
          <w14:ligatures w14:val="standardContextual"/>
        </w:rPr>
        <w:t>Phys. Rev. A</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43</w:t>
      </w:r>
      <w:r w:rsidRPr="00425DEF">
        <w:rPr>
          <w:rFonts w:ascii="Times New Roman" w:hAnsi="Times New Roman" w:cs="Times New Roman"/>
          <w:lang w:eastAsia="zh-CN"/>
          <w14:ligatures w14:val="standardContextual"/>
        </w:rPr>
        <w:t>, 3161–3164 (1991).</w:t>
      </w:r>
    </w:p>
    <w:p w14:paraId="19C5CBF8"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6.</w:t>
      </w:r>
      <w:r w:rsidRPr="00425DEF">
        <w:rPr>
          <w:rFonts w:ascii="Times New Roman" w:hAnsi="Times New Roman" w:cs="Times New Roman"/>
          <w:lang w:eastAsia="zh-CN"/>
          <w14:ligatures w14:val="standardContextual"/>
        </w:rPr>
        <w:tab/>
        <w:t xml:space="preserve">Peterson, A. A. &amp; Nørskov, J. K. Activity descriptors for CO2 electroreduction to methane on transition-metal catalysts. </w:t>
      </w:r>
      <w:r w:rsidRPr="00425DEF">
        <w:rPr>
          <w:rFonts w:ascii="Times New Roman" w:hAnsi="Times New Roman" w:cs="Times New Roman"/>
          <w:i/>
          <w:iCs/>
          <w:lang w:eastAsia="zh-CN"/>
          <w14:ligatures w14:val="standardContextual"/>
        </w:rPr>
        <w:t>J. Phys. Chem. Lett.</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3</w:t>
      </w:r>
      <w:r w:rsidRPr="00425DEF">
        <w:rPr>
          <w:rFonts w:ascii="Times New Roman" w:hAnsi="Times New Roman" w:cs="Times New Roman"/>
          <w:lang w:eastAsia="zh-CN"/>
          <w14:ligatures w14:val="standardContextual"/>
        </w:rPr>
        <w:t>, 251–258 (2012).</w:t>
      </w:r>
    </w:p>
    <w:p w14:paraId="542E990C"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7.</w:t>
      </w:r>
      <w:r w:rsidRPr="00425DEF">
        <w:rPr>
          <w:rFonts w:ascii="Times New Roman" w:hAnsi="Times New Roman" w:cs="Times New Roman"/>
          <w:lang w:eastAsia="zh-CN"/>
          <w14:ligatures w14:val="standardContextual"/>
        </w:rPr>
        <w:tab/>
        <w:t xml:space="preserve">Chan, K., Tsai, C., Hansen, H. A. &amp; Nørskov, J. K. Molybdenum sulfides and selenides as possible electrocatalysts for CO2 Reduction. </w:t>
      </w:r>
      <w:r w:rsidRPr="00425DEF">
        <w:rPr>
          <w:rFonts w:ascii="Times New Roman" w:hAnsi="Times New Roman" w:cs="Times New Roman"/>
          <w:i/>
          <w:iCs/>
          <w:lang w:eastAsia="zh-CN"/>
          <w14:ligatures w14:val="standardContextual"/>
        </w:rPr>
        <w:t>ChemCatChem</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6</w:t>
      </w:r>
      <w:r w:rsidRPr="00425DEF">
        <w:rPr>
          <w:rFonts w:ascii="Times New Roman" w:hAnsi="Times New Roman" w:cs="Times New Roman"/>
          <w:lang w:eastAsia="zh-CN"/>
          <w14:ligatures w14:val="standardContextual"/>
        </w:rPr>
        <w:t>, 1899–1905 (2014).</w:t>
      </w:r>
    </w:p>
    <w:p w14:paraId="1AB244CB"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8.</w:t>
      </w:r>
      <w:r w:rsidRPr="00425DEF">
        <w:rPr>
          <w:rFonts w:ascii="Times New Roman" w:hAnsi="Times New Roman" w:cs="Times New Roman"/>
          <w:lang w:eastAsia="zh-CN"/>
          <w14:ligatures w14:val="standardContextual"/>
        </w:rPr>
        <w:tab/>
        <w:t xml:space="preserve">Pedersen, J. K., Batchelor, T. A. A., Bagger, A. &amp; Rossmeisl, J. High-entropy alloys as catalysts for the CO2 and CO reduction reactions. </w:t>
      </w:r>
      <w:r w:rsidRPr="00425DEF">
        <w:rPr>
          <w:rFonts w:ascii="Times New Roman" w:hAnsi="Times New Roman" w:cs="Times New Roman"/>
          <w:i/>
          <w:iCs/>
          <w:lang w:eastAsia="zh-CN"/>
          <w14:ligatures w14:val="standardContextual"/>
        </w:rPr>
        <w:t>ACS Catalysis</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10</w:t>
      </w:r>
      <w:r w:rsidRPr="00425DEF">
        <w:rPr>
          <w:rFonts w:ascii="Times New Roman" w:hAnsi="Times New Roman" w:cs="Times New Roman"/>
          <w:lang w:eastAsia="zh-CN"/>
          <w14:ligatures w14:val="standardContextual"/>
        </w:rPr>
        <w:t>, 2169–2176 (2020).</w:t>
      </w:r>
    </w:p>
    <w:p w14:paraId="4405D4A5" w14:textId="77777777" w:rsidR="00425DEF" w:rsidRPr="00425DEF" w:rsidRDefault="00425DEF" w:rsidP="00425DEF">
      <w:pPr>
        <w:pStyle w:val="Bibliography0"/>
        <w:rPr>
          <w:rFonts w:ascii="Times New Roman" w:hAnsi="Times New Roman" w:cs="Times New Roman"/>
          <w:lang w:eastAsia="zh-CN"/>
          <w14:ligatures w14:val="standardContextual"/>
        </w:rPr>
      </w:pPr>
      <w:r w:rsidRPr="00425DEF">
        <w:rPr>
          <w:rFonts w:ascii="Times New Roman" w:hAnsi="Times New Roman" w:cs="Times New Roman"/>
          <w:lang w:eastAsia="zh-CN"/>
          <w14:ligatures w14:val="standardContextual"/>
        </w:rPr>
        <w:t>9.</w:t>
      </w:r>
      <w:r w:rsidRPr="00425DEF">
        <w:rPr>
          <w:rFonts w:ascii="Times New Roman" w:hAnsi="Times New Roman" w:cs="Times New Roman"/>
          <w:lang w:eastAsia="zh-CN"/>
          <w14:ligatures w14:val="standardContextual"/>
        </w:rPr>
        <w:tab/>
        <w:t xml:space="preserve">Nellaiappan, S. </w:t>
      </w:r>
      <w:r w:rsidRPr="00425DEF">
        <w:rPr>
          <w:rFonts w:ascii="Times New Roman" w:hAnsi="Times New Roman" w:cs="Times New Roman"/>
          <w:i/>
          <w:iCs/>
          <w:lang w:eastAsia="zh-CN"/>
          <w14:ligatures w14:val="standardContextual"/>
        </w:rPr>
        <w:t>et al.</w:t>
      </w:r>
      <w:r w:rsidRPr="00425DEF">
        <w:rPr>
          <w:rFonts w:ascii="Times New Roman" w:hAnsi="Times New Roman" w:cs="Times New Roman"/>
          <w:lang w:eastAsia="zh-CN"/>
          <w14:ligatures w14:val="standardContextual"/>
        </w:rPr>
        <w:t xml:space="preserve"> High-entropy alloys as catalysts for the CO2 and CO reduction reactions: experimental realization. </w:t>
      </w:r>
      <w:r w:rsidRPr="00425DEF">
        <w:rPr>
          <w:rFonts w:ascii="Times New Roman" w:hAnsi="Times New Roman" w:cs="Times New Roman"/>
          <w:i/>
          <w:iCs/>
          <w:lang w:eastAsia="zh-CN"/>
          <w14:ligatures w14:val="standardContextual"/>
        </w:rPr>
        <w:t>ACS Catalysis</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10</w:t>
      </w:r>
      <w:r w:rsidRPr="00425DEF">
        <w:rPr>
          <w:rFonts w:ascii="Times New Roman" w:hAnsi="Times New Roman" w:cs="Times New Roman"/>
          <w:lang w:eastAsia="zh-CN"/>
          <w14:ligatures w14:val="standardContextual"/>
        </w:rPr>
        <w:t>, 3658–3663 (2020).</w:t>
      </w:r>
    </w:p>
    <w:p w14:paraId="525D820B" w14:textId="5918EB84" w:rsidR="000843F8" w:rsidRDefault="00425DEF" w:rsidP="00C92BD5">
      <w:pPr>
        <w:pStyle w:val="Bibliography0"/>
      </w:pPr>
      <w:r w:rsidRPr="00425DEF">
        <w:rPr>
          <w:rFonts w:ascii="Times New Roman" w:hAnsi="Times New Roman" w:cs="Times New Roman"/>
          <w:lang w:eastAsia="zh-CN"/>
          <w14:ligatures w14:val="standardContextual"/>
        </w:rPr>
        <w:t>10.</w:t>
      </w:r>
      <w:r w:rsidRPr="00425DEF">
        <w:rPr>
          <w:rFonts w:ascii="Times New Roman" w:hAnsi="Times New Roman" w:cs="Times New Roman"/>
          <w:lang w:eastAsia="zh-CN"/>
          <w14:ligatures w14:val="standardContextual"/>
        </w:rPr>
        <w:tab/>
        <w:t xml:space="preserve">Robbins, H. &amp; Monro, S. A stochastic approximation method. </w:t>
      </w:r>
      <w:r w:rsidRPr="00425DEF">
        <w:rPr>
          <w:rFonts w:ascii="Times New Roman" w:hAnsi="Times New Roman" w:cs="Times New Roman"/>
          <w:i/>
          <w:iCs/>
          <w:lang w:eastAsia="zh-CN"/>
          <w14:ligatures w14:val="standardContextual"/>
        </w:rPr>
        <w:t>The Annals of Mathematical Statistics</w:t>
      </w:r>
      <w:r w:rsidRPr="00425DEF">
        <w:rPr>
          <w:rFonts w:ascii="Times New Roman" w:hAnsi="Times New Roman" w:cs="Times New Roman"/>
          <w:lang w:eastAsia="zh-CN"/>
          <w14:ligatures w14:val="standardContextual"/>
        </w:rPr>
        <w:t xml:space="preserve"> </w:t>
      </w:r>
      <w:r w:rsidRPr="00425DEF">
        <w:rPr>
          <w:rFonts w:ascii="Times New Roman" w:hAnsi="Times New Roman" w:cs="Times New Roman"/>
          <w:b/>
          <w:bCs/>
          <w:lang w:eastAsia="zh-CN"/>
          <w14:ligatures w14:val="standardContextual"/>
        </w:rPr>
        <w:t>22</w:t>
      </w:r>
      <w:r w:rsidRPr="00425DEF">
        <w:rPr>
          <w:rFonts w:ascii="Times New Roman" w:hAnsi="Times New Roman" w:cs="Times New Roman"/>
          <w:lang w:eastAsia="zh-CN"/>
          <w14:ligatures w14:val="standardContextual"/>
        </w:rPr>
        <w:t>, 400–407 (1951).</w:t>
      </w:r>
      <w:r w:rsidR="00C34837" w:rsidRPr="00C34837">
        <w:rPr>
          <w:rFonts w:ascii="Times New Roman" w:hAnsi="Times New Roman" w:cs="Times New Roman"/>
        </w:rPr>
        <w:fldChar w:fldCharType="end"/>
      </w:r>
    </w:p>
    <w:sectPr w:rsidR="000843F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26"/>
    <w:rsid w:val="00024C92"/>
    <w:rsid w:val="00053A40"/>
    <w:rsid w:val="000555D8"/>
    <w:rsid w:val="00060DB0"/>
    <w:rsid w:val="000732DB"/>
    <w:rsid w:val="000843F8"/>
    <w:rsid w:val="00085512"/>
    <w:rsid w:val="00091A4F"/>
    <w:rsid w:val="000928E8"/>
    <w:rsid w:val="00094DD8"/>
    <w:rsid w:val="00096364"/>
    <w:rsid w:val="000B09EE"/>
    <w:rsid w:val="000B1DE6"/>
    <w:rsid w:val="000B7878"/>
    <w:rsid w:val="000C5E83"/>
    <w:rsid w:val="000D3321"/>
    <w:rsid w:val="00124F03"/>
    <w:rsid w:val="00130CE4"/>
    <w:rsid w:val="00133925"/>
    <w:rsid w:val="001343EE"/>
    <w:rsid w:val="001503BB"/>
    <w:rsid w:val="00162B2F"/>
    <w:rsid w:val="00163BEA"/>
    <w:rsid w:val="00166E58"/>
    <w:rsid w:val="00167AA4"/>
    <w:rsid w:val="00171BF5"/>
    <w:rsid w:val="0018039D"/>
    <w:rsid w:val="001863A6"/>
    <w:rsid w:val="001B6DBE"/>
    <w:rsid w:val="001E6D6E"/>
    <w:rsid w:val="00201E9E"/>
    <w:rsid w:val="00211D37"/>
    <w:rsid w:val="002178C3"/>
    <w:rsid w:val="00222252"/>
    <w:rsid w:val="00230505"/>
    <w:rsid w:val="0023740A"/>
    <w:rsid w:val="00251F90"/>
    <w:rsid w:val="00252123"/>
    <w:rsid w:val="00266E33"/>
    <w:rsid w:val="00275606"/>
    <w:rsid w:val="00275DE2"/>
    <w:rsid w:val="00280821"/>
    <w:rsid w:val="002875ED"/>
    <w:rsid w:val="00287BCA"/>
    <w:rsid w:val="002A3AEC"/>
    <w:rsid w:val="002C597D"/>
    <w:rsid w:val="002E0CCB"/>
    <w:rsid w:val="002E6D61"/>
    <w:rsid w:val="002E7EA2"/>
    <w:rsid w:val="00310F02"/>
    <w:rsid w:val="0034125F"/>
    <w:rsid w:val="003525F9"/>
    <w:rsid w:val="00354219"/>
    <w:rsid w:val="00365EA8"/>
    <w:rsid w:val="00375A2C"/>
    <w:rsid w:val="0039141C"/>
    <w:rsid w:val="003A710F"/>
    <w:rsid w:val="003C0465"/>
    <w:rsid w:val="003C0FE9"/>
    <w:rsid w:val="003E2264"/>
    <w:rsid w:val="003F4A86"/>
    <w:rsid w:val="0041290C"/>
    <w:rsid w:val="00413E0C"/>
    <w:rsid w:val="00425DEF"/>
    <w:rsid w:val="0042713E"/>
    <w:rsid w:val="00444A34"/>
    <w:rsid w:val="00457EB2"/>
    <w:rsid w:val="0046102E"/>
    <w:rsid w:val="00473B88"/>
    <w:rsid w:val="00486AFF"/>
    <w:rsid w:val="004902B6"/>
    <w:rsid w:val="004A1DC8"/>
    <w:rsid w:val="004A5CAD"/>
    <w:rsid w:val="004C3F46"/>
    <w:rsid w:val="004D4167"/>
    <w:rsid w:val="004D5059"/>
    <w:rsid w:val="004E0D7F"/>
    <w:rsid w:val="0052103D"/>
    <w:rsid w:val="00525E22"/>
    <w:rsid w:val="0053199C"/>
    <w:rsid w:val="00537C23"/>
    <w:rsid w:val="00547777"/>
    <w:rsid w:val="00547CFA"/>
    <w:rsid w:val="0055265E"/>
    <w:rsid w:val="00555303"/>
    <w:rsid w:val="00562771"/>
    <w:rsid w:val="005811D3"/>
    <w:rsid w:val="00587B87"/>
    <w:rsid w:val="00596CFC"/>
    <w:rsid w:val="005A23DA"/>
    <w:rsid w:val="005A4D8B"/>
    <w:rsid w:val="005B6CDB"/>
    <w:rsid w:val="005C0877"/>
    <w:rsid w:val="005D09C6"/>
    <w:rsid w:val="005D4A7C"/>
    <w:rsid w:val="005D561A"/>
    <w:rsid w:val="005D70AD"/>
    <w:rsid w:val="005E1FF7"/>
    <w:rsid w:val="005E399A"/>
    <w:rsid w:val="005F054C"/>
    <w:rsid w:val="005F267B"/>
    <w:rsid w:val="006007F8"/>
    <w:rsid w:val="0060181D"/>
    <w:rsid w:val="006137F9"/>
    <w:rsid w:val="00621301"/>
    <w:rsid w:val="006275B4"/>
    <w:rsid w:val="00675042"/>
    <w:rsid w:val="00680151"/>
    <w:rsid w:val="006878DC"/>
    <w:rsid w:val="00693708"/>
    <w:rsid w:val="006A5261"/>
    <w:rsid w:val="006A71EE"/>
    <w:rsid w:val="006B0E2D"/>
    <w:rsid w:val="006B1332"/>
    <w:rsid w:val="00702E73"/>
    <w:rsid w:val="00703018"/>
    <w:rsid w:val="007030D4"/>
    <w:rsid w:val="007079AF"/>
    <w:rsid w:val="00717F27"/>
    <w:rsid w:val="00743138"/>
    <w:rsid w:val="007471BC"/>
    <w:rsid w:val="007503E8"/>
    <w:rsid w:val="007510FA"/>
    <w:rsid w:val="007576AC"/>
    <w:rsid w:val="00776358"/>
    <w:rsid w:val="00780C53"/>
    <w:rsid w:val="007813D9"/>
    <w:rsid w:val="0078401D"/>
    <w:rsid w:val="0078704C"/>
    <w:rsid w:val="007877DF"/>
    <w:rsid w:val="007935C5"/>
    <w:rsid w:val="00795BB6"/>
    <w:rsid w:val="007A4616"/>
    <w:rsid w:val="007A61EE"/>
    <w:rsid w:val="007B49AC"/>
    <w:rsid w:val="007B6804"/>
    <w:rsid w:val="007C06E5"/>
    <w:rsid w:val="007E4876"/>
    <w:rsid w:val="007F6D95"/>
    <w:rsid w:val="00805163"/>
    <w:rsid w:val="0082790C"/>
    <w:rsid w:val="0084143C"/>
    <w:rsid w:val="00866F53"/>
    <w:rsid w:val="008776F4"/>
    <w:rsid w:val="00890C32"/>
    <w:rsid w:val="008A2147"/>
    <w:rsid w:val="008A474D"/>
    <w:rsid w:val="008B1670"/>
    <w:rsid w:val="008C121F"/>
    <w:rsid w:val="008C28F5"/>
    <w:rsid w:val="008D4C2E"/>
    <w:rsid w:val="008D729D"/>
    <w:rsid w:val="008E20B4"/>
    <w:rsid w:val="008E2498"/>
    <w:rsid w:val="008E72F7"/>
    <w:rsid w:val="008F2408"/>
    <w:rsid w:val="008F357A"/>
    <w:rsid w:val="008F54D7"/>
    <w:rsid w:val="00910F57"/>
    <w:rsid w:val="00921591"/>
    <w:rsid w:val="0094560C"/>
    <w:rsid w:val="00945CBC"/>
    <w:rsid w:val="00994DAE"/>
    <w:rsid w:val="009B510C"/>
    <w:rsid w:val="009C0EF7"/>
    <w:rsid w:val="009C2A41"/>
    <w:rsid w:val="009D43FB"/>
    <w:rsid w:val="009D6CB6"/>
    <w:rsid w:val="009D72B7"/>
    <w:rsid w:val="009E56D2"/>
    <w:rsid w:val="00A4627B"/>
    <w:rsid w:val="00A50E22"/>
    <w:rsid w:val="00A546B7"/>
    <w:rsid w:val="00A64E27"/>
    <w:rsid w:val="00A64FCB"/>
    <w:rsid w:val="00A80469"/>
    <w:rsid w:val="00A844EC"/>
    <w:rsid w:val="00A94A96"/>
    <w:rsid w:val="00AA4EE0"/>
    <w:rsid w:val="00AA6A4A"/>
    <w:rsid w:val="00AD16C9"/>
    <w:rsid w:val="00AD265F"/>
    <w:rsid w:val="00AD2706"/>
    <w:rsid w:val="00AE009F"/>
    <w:rsid w:val="00AE7447"/>
    <w:rsid w:val="00AF2B89"/>
    <w:rsid w:val="00B00858"/>
    <w:rsid w:val="00B26817"/>
    <w:rsid w:val="00B27DBE"/>
    <w:rsid w:val="00B40B60"/>
    <w:rsid w:val="00B90735"/>
    <w:rsid w:val="00BB4433"/>
    <w:rsid w:val="00BB6794"/>
    <w:rsid w:val="00BD2B4B"/>
    <w:rsid w:val="00BD76AB"/>
    <w:rsid w:val="00BE0094"/>
    <w:rsid w:val="00BE0E11"/>
    <w:rsid w:val="00BE5587"/>
    <w:rsid w:val="00BF2D32"/>
    <w:rsid w:val="00BF438E"/>
    <w:rsid w:val="00BF7F4B"/>
    <w:rsid w:val="00C015CA"/>
    <w:rsid w:val="00C02F77"/>
    <w:rsid w:val="00C1756B"/>
    <w:rsid w:val="00C2583C"/>
    <w:rsid w:val="00C25CE3"/>
    <w:rsid w:val="00C34837"/>
    <w:rsid w:val="00C351C1"/>
    <w:rsid w:val="00C353FC"/>
    <w:rsid w:val="00C46CB9"/>
    <w:rsid w:val="00C47B4B"/>
    <w:rsid w:val="00C61759"/>
    <w:rsid w:val="00C6234F"/>
    <w:rsid w:val="00C65382"/>
    <w:rsid w:val="00C92BD5"/>
    <w:rsid w:val="00CA038C"/>
    <w:rsid w:val="00CD0802"/>
    <w:rsid w:val="00CD09DB"/>
    <w:rsid w:val="00CD250D"/>
    <w:rsid w:val="00CE00FE"/>
    <w:rsid w:val="00CF024A"/>
    <w:rsid w:val="00D02FAF"/>
    <w:rsid w:val="00D059F4"/>
    <w:rsid w:val="00D17972"/>
    <w:rsid w:val="00D2274E"/>
    <w:rsid w:val="00D308CA"/>
    <w:rsid w:val="00D36CAA"/>
    <w:rsid w:val="00D42926"/>
    <w:rsid w:val="00D4733A"/>
    <w:rsid w:val="00D56505"/>
    <w:rsid w:val="00D65BA6"/>
    <w:rsid w:val="00DA09D6"/>
    <w:rsid w:val="00DA4BCC"/>
    <w:rsid w:val="00DD5AFD"/>
    <w:rsid w:val="00DD7684"/>
    <w:rsid w:val="00DE6E72"/>
    <w:rsid w:val="00DF3917"/>
    <w:rsid w:val="00DF6822"/>
    <w:rsid w:val="00E14C82"/>
    <w:rsid w:val="00E25740"/>
    <w:rsid w:val="00E27908"/>
    <w:rsid w:val="00E3107F"/>
    <w:rsid w:val="00E321A9"/>
    <w:rsid w:val="00E37398"/>
    <w:rsid w:val="00E4538D"/>
    <w:rsid w:val="00E5271D"/>
    <w:rsid w:val="00E53430"/>
    <w:rsid w:val="00E664E9"/>
    <w:rsid w:val="00E7011F"/>
    <w:rsid w:val="00E733DD"/>
    <w:rsid w:val="00E74E8E"/>
    <w:rsid w:val="00E85281"/>
    <w:rsid w:val="00E967C1"/>
    <w:rsid w:val="00EB784E"/>
    <w:rsid w:val="00ED13F1"/>
    <w:rsid w:val="00EE2D79"/>
    <w:rsid w:val="00EF7DB4"/>
    <w:rsid w:val="00F07528"/>
    <w:rsid w:val="00F33636"/>
    <w:rsid w:val="00F4047F"/>
    <w:rsid w:val="00F52766"/>
    <w:rsid w:val="00F53BC4"/>
    <w:rsid w:val="00F57EA3"/>
    <w:rsid w:val="00F60570"/>
    <w:rsid w:val="00F73491"/>
    <w:rsid w:val="00F76612"/>
    <w:rsid w:val="00F801F3"/>
    <w:rsid w:val="00F9034F"/>
    <w:rsid w:val="00FB0863"/>
    <w:rsid w:val="00FB3FE5"/>
    <w:rsid w:val="00FB7930"/>
    <w:rsid w:val="00FD495E"/>
    <w:rsid w:val="00FE0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DC10F"/>
  <w14:defaultImageDpi w14:val="32767"/>
  <w15:chartTrackingRefBased/>
  <w15:docId w15:val="{CB884F85-AF13-9D43-B79D-8888F00D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42926"/>
    <w:pPr>
      <w:spacing w:after="200"/>
    </w:pPr>
    <w:rPr>
      <w:kern w:val="0"/>
      <w:sz w:val="24"/>
      <w:lang w:eastAsia="en-US"/>
      <w14:ligatures w14:val="none"/>
    </w:rPr>
  </w:style>
  <w:style w:type="paragraph" w:styleId="Heading1">
    <w:name w:val="heading 1"/>
    <w:basedOn w:val="Normal"/>
    <w:next w:val="BodyText"/>
    <w:link w:val="Heading1Char"/>
    <w:uiPriority w:val="9"/>
    <w:qFormat/>
    <w:rsid w:val="00D42926"/>
    <w:pPr>
      <w:keepNext/>
      <w:keepLines/>
      <w:spacing w:before="480" w:after="0"/>
      <w:outlineLvl w:val="0"/>
    </w:pPr>
    <w:rPr>
      <w:rFonts w:asciiTheme="majorHAnsi" w:eastAsiaTheme="majorEastAsia" w:hAnsiTheme="majorHAnsi" w:cstheme="majorBidi"/>
      <w:b/>
      <w:bCs/>
      <w:color w:val="4472C4" w:themeColor="accent1"/>
      <w:sz w:val="32"/>
      <w:szCs w:val="32"/>
    </w:rPr>
  </w:style>
  <w:style w:type="paragraph" w:styleId="Heading3">
    <w:name w:val="heading 3"/>
    <w:basedOn w:val="Normal"/>
    <w:next w:val="Normal"/>
    <w:link w:val="Heading3Char"/>
    <w:uiPriority w:val="9"/>
    <w:semiHidden/>
    <w:unhideWhenUsed/>
    <w:qFormat/>
    <w:rsid w:val="00E733D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926"/>
    <w:rPr>
      <w:rFonts w:asciiTheme="majorHAnsi" w:eastAsiaTheme="majorEastAsia" w:hAnsiTheme="majorHAnsi" w:cstheme="majorBidi"/>
      <w:b/>
      <w:bCs/>
      <w:color w:val="4472C4" w:themeColor="accent1"/>
      <w:kern w:val="0"/>
      <w:sz w:val="32"/>
      <w:szCs w:val="32"/>
      <w:lang w:eastAsia="en-US"/>
      <w14:ligatures w14:val="none"/>
    </w:rPr>
  </w:style>
  <w:style w:type="paragraph" w:styleId="BodyText">
    <w:name w:val="Body Text"/>
    <w:basedOn w:val="Normal"/>
    <w:link w:val="BodyTextChar"/>
    <w:qFormat/>
    <w:rsid w:val="00D42926"/>
    <w:pPr>
      <w:spacing w:before="180" w:after="180"/>
    </w:pPr>
  </w:style>
  <w:style w:type="character" w:customStyle="1" w:styleId="BodyTextChar">
    <w:name w:val="Body Text Char"/>
    <w:basedOn w:val="DefaultParagraphFont"/>
    <w:link w:val="BodyText"/>
    <w:rsid w:val="00D42926"/>
    <w:rPr>
      <w:kern w:val="0"/>
      <w:sz w:val="24"/>
      <w:lang w:eastAsia="en-US"/>
      <w14:ligatures w14:val="none"/>
    </w:rPr>
  </w:style>
  <w:style w:type="paragraph" w:customStyle="1" w:styleId="FirstParagraph">
    <w:name w:val="First Paragraph"/>
    <w:basedOn w:val="BodyText"/>
    <w:next w:val="BodyText"/>
    <w:qFormat/>
    <w:rsid w:val="00024C92"/>
    <w:pPr>
      <w:jc w:val="both"/>
    </w:pPr>
  </w:style>
  <w:style w:type="character" w:styleId="CommentReference">
    <w:name w:val="annotation reference"/>
    <w:basedOn w:val="DefaultParagraphFont"/>
    <w:rsid w:val="00D42926"/>
    <w:rPr>
      <w:sz w:val="16"/>
      <w:szCs w:val="16"/>
    </w:rPr>
  </w:style>
  <w:style w:type="paragraph" w:styleId="CommentText">
    <w:name w:val="annotation text"/>
    <w:basedOn w:val="Normal"/>
    <w:link w:val="CommentTextChar"/>
    <w:rsid w:val="00D42926"/>
    <w:rPr>
      <w:sz w:val="20"/>
      <w:szCs w:val="20"/>
    </w:rPr>
  </w:style>
  <w:style w:type="character" w:customStyle="1" w:styleId="CommentTextChar">
    <w:name w:val="Comment Text Char"/>
    <w:basedOn w:val="DefaultParagraphFont"/>
    <w:link w:val="CommentText"/>
    <w:rsid w:val="00D42926"/>
    <w:rPr>
      <w:kern w:val="0"/>
      <w:sz w:val="20"/>
      <w:szCs w:val="20"/>
      <w:lang w:eastAsia="en-US"/>
      <w14:ligatures w14:val="none"/>
    </w:rPr>
  </w:style>
  <w:style w:type="paragraph" w:customStyle="1" w:styleId="1">
    <w:name w:val="书目1"/>
    <w:basedOn w:val="Normal"/>
    <w:link w:val="Bibliography"/>
    <w:rsid w:val="005A4D8B"/>
    <w:pPr>
      <w:tabs>
        <w:tab w:val="left" w:pos="260"/>
      </w:tabs>
      <w:spacing w:after="0" w:line="480" w:lineRule="auto"/>
      <w:ind w:left="264" w:hanging="264"/>
    </w:pPr>
  </w:style>
  <w:style w:type="character" w:customStyle="1" w:styleId="Bibliography">
    <w:name w:val="Bibliography 字符"/>
    <w:basedOn w:val="DefaultParagraphFont"/>
    <w:link w:val="1"/>
    <w:rsid w:val="005A4D8B"/>
    <w:rPr>
      <w:kern w:val="0"/>
      <w:sz w:val="24"/>
      <w:lang w:eastAsia="en-US"/>
      <w14:ligatures w14:val="none"/>
    </w:rPr>
  </w:style>
  <w:style w:type="character" w:styleId="PlaceholderText">
    <w:name w:val="Placeholder Text"/>
    <w:basedOn w:val="DefaultParagraphFont"/>
    <w:uiPriority w:val="99"/>
    <w:semiHidden/>
    <w:rsid w:val="008F2408"/>
    <w:rPr>
      <w:color w:val="666666"/>
    </w:rPr>
  </w:style>
  <w:style w:type="character" w:customStyle="1" w:styleId="Heading3Char">
    <w:name w:val="Heading 3 Char"/>
    <w:basedOn w:val="DefaultParagraphFont"/>
    <w:link w:val="Heading3"/>
    <w:uiPriority w:val="9"/>
    <w:semiHidden/>
    <w:rsid w:val="00E733DD"/>
    <w:rPr>
      <w:b/>
      <w:bCs/>
      <w:kern w:val="0"/>
      <w:sz w:val="32"/>
      <w:szCs w:val="32"/>
      <w:lang w:eastAsia="en-US"/>
      <w14:ligatures w14:val="none"/>
    </w:rPr>
  </w:style>
  <w:style w:type="paragraph" w:styleId="Title">
    <w:name w:val="Title"/>
    <w:basedOn w:val="Normal"/>
    <w:next w:val="BodyText"/>
    <w:link w:val="TitleChar"/>
    <w:qFormat/>
    <w:rsid w:val="006878DC"/>
    <w:pPr>
      <w:keepNext/>
      <w:keepLines/>
      <w:spacing w:before="480" w:after="240"/>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rsid w:val="006878DC"/>
    <w:rPr>
      <w:rFonts w:asciiTheme="majorHAnsi" w:eastAsiaTheme="majorEastAsia" w:hAnsiTheme="majorHAnsi" w:cstheme="majorBidi"/>
      <w:b/>
      <w:bCs/>
      <w:color w:val="2D4F8E" w:themeColor="accent1" w:themeShade="B5"/>
      <w:kern w:val="0"/>
      <w:sz w:val="36"/>
      <w:szCs w:val="36"/>
      <w:lang w:eastAsia="en-US"/>
      <w14:ligatures w14:val="none"/>
    </w:rPr>
  </w:style>
  <w:style w:type="paragraph" w:styleId="Revision">
    <w:name w:val="Revision"/>
    <w:hidden/>
    <w:uiPriority w:val="99"/>
    <w:semiHidden/>
    <w:rsid w:val="00B26817"/>
    <w:rPr>
      <w:kern w:val="0"/>
      <w:sz w:val="24"/>
      <w:lang w:eastAsia="en-US"/>
      <w14:ligatures w14:val="none"/>
    </w:rPr>
  </w:style>
  <w:style w:type="paragraph" w:styleId="CommentSubject">
    <w:name w:val="annotation subject"/>
    <w:basedOn w:val="CommentText"/>
    <w:next w:val="CommentText"/>
    <w:link w:val="CommentSubjectChar"/>
    <w:uiPriority w:val="99"/>
    <w:semiHidden/>
    <w:unhideWhenUsed/>
    <w:rsid w:val="00C353FC"/>
    <w:rPr>
      <w:b/>
      <w:bCs/>
    </w:rPr>
  </w:style>
  <w:style w:type="character" w:customStyle="1" w:styleId="CommentSubjectChar">
    <w:name w:val="Comment Subject Char"/>
    <w:basedOn w:val="CommentTextChar"/>
    <w:link w:val="CommentSubject"/>
    <w:uiPriority w:val="99"/>
    <w:semiHidden/>
    <w:rsid w:val="00C353FC"/>
    <w:rPr>
      <w:b/>
      <w:bCs/>
      <w:kern w:val="0"/>
      <w:sz w:val="20"/>
      <w:szCs w:val="20"/>
      <w:lang w:eastAsia="en-US"/>
      <w14:ligatures w14:val="none"/>
    </w:rPr>
  </w:style>
  <w:style w:type="paragraph" w:customStyle="1" w:styleId="10">
    <w:name w:val="标题1"/>
    <w:qFormat/>
    <w:rsid w:val="00024C92"/>
    <w:pPr>
      <w:spacing w:line="360" w:lineRule="auto"/>
      <w:jc w:val="center"/>
    </w:pPr>
    <w:rPr>
      <w:rFonts w:eastAsia="Times New Roman"/>
      <w:b/>
      <w:kern w:val="0"/>
      <w:sz w:val="28"/>
      <w:lang w:eastAsia="en-US"/>
      <w14:ligatures w14:val="none"/>
    </w:rPr>
  </w:style>
  <w:style w:type="character" w:styleId="Hyperlink">
    <w:name w:val="Hyperlink"/>
    <w:basedOn w:val="DefaultParagraphFont"/>
    <w:rsid w:val="00024C92"/>
    <w:rPr>
      <w:color w:val="4472C4" w:themeColor="accent1"/>
    </w:rPr>
  </w:style>
  <w:style w:type="paragraph" w:customStyle="1" w:styleId="paragraph">
    <w:name w:val="paragraph"/>
    <w:qFormat/>
    <w:rsid w:val="00024C92"/>
    <w:pPr>
      <w:spacing w:line="360" w:lineRule="auto"/>
      <w:jc w:val="both"/>
    </w:pPr>
    <w:rPr>
      <w:rFonts w:ascii="Times New Roman" w:eastAsia="Times New Roman" w:hAnsi="Times New Roman"/>
      <w:kern w:val="0"/>
      <w:sz w:val="24"/>
      <w:lang w:eastAsia="en-US"/>
      <w14:ligatures w14:val="none"/>
    </w:rPr>
  </w:style>
  <w:style w:type="character" w:styleId="FollowedHyperlink">
    <w:name w:val="FollowedHyperlink"/>
    <w:basedOn w:val="DefaultParagraphFont"/>
    <w:uiPriority w:val="99"/>
    <w:semiHidden/>
    <w:unhideWhenUsed/>
    <w:rsid w:val="00024C92"/>
    <w:rPr>
      <w:color w:val="954F72" w:themeColor="followedHyperlink"/>
      <w:u w:val="single"/>
    </w:rPr>
  </w:style>
  <w:style w:type="paragraph" w:customStyle="1" w:styleId="2">
    <w:name w:val="书目2"/>
    <w:basedOn w:val="Normal"/>
    <w:link w:val="Bibliography1"/>
    <w:rsid w:val="00C34837"/>
    <w:pPr>
      <w:tabs>
        <w:tab w:val="left" w:pos="260"/>
      </w:tabs>
      <w:spacing w:after="0" w:line="480" w:lineRule="auto"/>
      <w:ind w:left="264" w:hanging="264"/>
      <w:jc w:val="both"/>
    </w:pPr>
  </w:style>
  <w:style w:type="character" w:customStyle="1" w:styleId="Bibliography1">
    <w:name w:val="Bibliography 字符1"/>
    <w:basedOn w:val="DefaultParagraphFont"/>
    <w:link w:val="2"/>
    <w:rsid w:val="00C34837"/>
    <w:rPr>
      <w:kern w:val="0"/>
      <w:sz w:val="24"/>
      <w:lang w:eastAsia="en-US"/>
      <w14:ligatures w14:val="none"/>
    </w:rPr>
  </w:style>
  <w:style w:type="paragraph" w:styleId="Bibliography0">
    <w:name w:val="Bibliography"/>
    <w:basedOn w:val="Normal"/>
    <w:next w:val="Normal"/>
    <w:uiPriority w:val="37"/>
    <w:unhideWhenUsed/>
    <w:rsid w:val="00091A4F"/>
  </w:style>
  <w:style w:type="character" w:styleId="UnresolvedMention">
    <w:name w:val="Unresolved Mention"/>
    <w:basedOn w:val="DefaultParagraphFont"/>
    <w:uiPriority w:val="99"/>
    <w:rsid w:val="00AE7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404104">
      <w:bodyDiv w:val="1"/>
      <w:marLeft w:val="0"/>
      <w:marRight w:val="0"/>
      <w:marTop w:val="0"/>
      <w:marBottom w:val="0"/>
      <w:divBdr>
        <w:top w:val="none" w:sz="0" w:space="0" w:color="auto"/>
        <w:left w:val="none" w:sz="0" w:space="0" w:color="auto"/>
        <w:bottom w:val="none" w:sz="0" w:space="0" w:color="auto"/>
        <w:right w:val="none" w:sz="0" w:space="0" w:color="auto"/>
      </w:divBdr>
    </w:div>
    <w:div w:id="627321079">
      <w:bodyDiv w:val="1"/>
      <w:marLeft w:val="0"/>
      <w:marRight w:val="0"/>
      <w:marTop w:val="0"/>
      <w:marBottom w:val="0"/>
      <w:divBdr>
        <w:top w:val="none" w:sz="0" w:space="0" w:color="auto"/>
        <w:left w:val="none" w:sz="0" w:space="0" w:color="auto"/>
        <w:bottom w:val="none" w:sz="0" w:space="0" w:color="auto"/>
        <w:right w:val="none" w:sz="0" w:space="0" w:color="auto"/>
      </w:divBdr>
    </w:div>
    <w:div w:id="1062411415">
      <w:bodyDiv w:val="1"/>
      <w:marLeft w:val="0"/>
      <w:marRight w:val="0"/>
      <w:marTop w:val="0"/>
      <w:marBottom w:val="0"/>
      <w:divBdr>
        <w:top w:val="none" w:sz="0" w:space="0" w:color="auto"/>
        <w:left w:val="none" w:sz="0" w:space="0" w:color="auto"/>
        <w:bottom w:val="none" w:sz="0" w:space="0" w:color="auto"/>
        <w:right w:val="none" w:sz="0" w:space="0" w:color="auto"/>
      </w:divBdr>
    </w:div>
    <w:div w:id="1105736696">
      <w:bodyDiv w:val="1"/>
      <w:marLeft w:val="0"/>
      <w:marRight w:val="0"/>
      <w:marTop w:val="0"/>
      <w:marBottom w:val="0"/>
      <w:divBdr>
        <w:top w:val="none" w:sz="0" w:space="0" w:color="auto"/>
        <w:left w:val="none" w:sz="0" w:space="0" w:color="auto"/>
        <w:bottom w:val="none" w:sz="0" w:space="0" w:color="auto"/>
        <w:right w:val="none" w:sz="0" w:space="0" w:color="auto"/>
      </w:divBdr>
    </w:div>
    <w:div w:id="1277832973">
      <w:bodyDiv w:val="1"/>
      <w:marLeft w:val="0"/>
      <w:marRight w:val="0"/>
      <w:marTop w:val="0"/>
      <w:marBottom w:val="0"/>
      <w:divBdr>
        <w:top w:val="none" w:sz="0" w:space="0" w:color="auto"/>
        <w:left w:val="none" w:sz="0" w:space="0" w:color="auto"/>
        <w:bottom w:val="none" w:sz="0" w:space="0" w:color="auto"/>
        <w:right w:val="none" w:sz="0" w:space="0" w:color="auto"/>
      </w:divBdr>
    </w:div>
    <w:div w:id="205704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3" Type="http://schemas.openxmlformats.org/officeDocument/2006/relationships/webSettings" Target="webSettings.xml"/><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tif"/><Relationship Id="rId15" Type="http://schemas.openxmlformats.org/officeDocument/2006/relationships/image" Target="media/image11.png"/><Relationship Id="rId10" Type="http://schemas.openxmlformats.org/officeDocument/2006/relationships/image" Target="media/image6.tif"/><Relationship Id="rId4" Type="http://schemas.openxmlformats.org/officeDocument/2006/relationships/hyperlink" Target="mailto:kaychen.tan@polyu.edu.hk"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CDFA9D3-C225-A746-ABDF-FE9F8321FB22}">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1AAEDF5-E01A-A34D-B060-22CBA298F7E0}">
  <we:reference id="wa200005612" version="2.0.0.0" store="en-US" storeType="omex"/>
  <we:alternateReferences>
    <we:reference id="wa200005612" version="2.0.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515</TotalTime>
  <Pages>13</Pages>
  <Words>6077</Words>
  <Characters>34644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Hao</dc:creator>
  <cp:lastModifiedBy>Ming Yang</cp:lastModifiedBy>
  <cp:revision>112</cp:revision>
  <dcterms:created xsi:type="dcterms:W3CDTF">2024-02-25T02:37:00Z</dcterms:created>
  <dcterms:modified xsi:type="dcterms:W3CDTF">2024-12-05T14:21:00Z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gital_edit_identity">
    <vt:lpwstr>f8821b1b-1004-4959-a7c7-e75c091f3dc6</vt:lpwstr>
  </property>
  <property fmtid="{D5CDD505-2E9C-101B-9397-08002B2CF9AE}" pid="3" name="grammarly_documentContext">
    <vt:lpwstr>{"goals":[],"domain":"general","emotions":[],"dialect":"american"}</vt:lpwstr>
  </property>
  <property fmtid="{D5CDD505-2E9C-101B-9397-08002B2CF9AE}" pid="4" name="grammarly_documentId">
    <vt:lpwstr>documentId_9413</vt:lpwstr>
  </property>
  <property fmtid="{D5CDD505-2E9C-101B-9397-08002B2CF9AE}" pid="5" name="LE1">
    <vt:filetime>2024-02-25T02:32:40Z</vt:filetime>
  </property>
  <property fmtid="{D5CDD505-2E9C-101B-9397-08002B2CF9AE}" pid="6" name="ZOTERO_PREF_1">
    <vt:lpwstr>&lt;data data-version="3" zotero-version="7.0.9"&gt;&lt;session id="OWP6wprF"/&gt;&lt;style id="http://www.zotero.org/styles/nature" hasBibliography="1" bibliographyStyleHasBeenSet="1"/&gt;&lt;prefs&gt;&lt;pref name="fieldType" value="Field"/&gt;&lt;/prefs&gt;&lt;/data&gt;</vt:lpwstr>
  </property>
  <property fmtid="{D5CDD505-2E9C-101B-9397-08002B2CF9AE}" pid="7" name="ZOTERO_PREF_2">
    <vt:lpwstr/>
  </property>
</Properties>
</file>