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00F7E" w14:textId="12364838" w:rsidR="001378BE" w:rsidRPr="00171626" w:rsidRDefault="00171626" w:rsidP="00171626">
      <w:pPr>
        <w:jc w:val="center"/>
        <w:rPr>
          <w:b/>
          <w:bCs/>
          <w:lang w:val="en-US"/>
        </w:rPr>
      </w:pPr>
      <w:r w:rsidRPr="00171626">
        <w:rPr>
          <w:b/>
          <w:bCs/>
          <w:lang w:val="en-US"/>
        </w:rPr>
        <w:t>Supplementary material</w:t>
      </w:r>
    </w:p>
    <w:p w14:paraId="07E0D977" w14:textId="5E26B46D" w:rsidR="00171626" w:rsidRDefault="00171626" w:rsidP="00171626">
      <w:pPr>
        <w:jc w:val="center"/>
      </w:pPr>
      <w:r>
        <w:rPr>
          <w:noProof/>
        </w:rPr>
        <w:drawing>
          <wp:inline distT="0" distB="0" distL="0" distR="0" wp14:anchorId="0DE4A5B9" wp14:editId="3DD678DD">
            <wp:extent cx="3870960" cy="6248400"/>
            <wp:effectExtent l="0" t="0" r="0" b="0"/>
            <wp:docPr id="188176211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62118" name="Imagen 1" descr="Gráfico, Gráfico de líneas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663C" w14:textId="77777777" w:rsidR="00171626" w:rsidRDefault="00171626" w:rsidP="00171626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Figure S1. Physiological condition of the experimental model after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subchronic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exposure to PM2.5. </w:t>
      </w:r>
      <w:r>
        <w:rPr>
          <w:rFonts w:ascii="Arial" w:hAnsi="Arial" w:cs="Arial"/>
          <w:sz w:val="24"/>
          <w:szCs w:val="24"/>
          <w:lang w:val="en-US"/>
        </w:rPr>
        <w:t xml:space="preserve">Body weight gain A), water consumption B), and urinary flow C) of rats (n=6) 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subchronic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inhalation exposure to PM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2.5</w:t>
      </w:r>
      <w:r>
        <w:rPr>
          <w:rFonts w:ascii="Arial" w:hAnsi="Arial" w:cs="Arial"/>
          <w:sz w:val="24"/>
          <w:szCs w:val="24"/>
          <w:lang w:val="en-US"/>
        </w:rPr>
        <w:t xml:space="preserve"> (8 weeks, 4 days/week, 5 h/day). The mean ± SE is shown. The comparison of groups was performed by U–Mann-Whitney statistical test. In the box-and-whisker plot, asterisks (*) indicate statistically significant differences (p&lt;0.05).</w:t>
      </w:r>
    </w:p>
    <w:p w14:paraId="7EF23D36" w14:textId="77777777" w:rsidR="00171626" w:rsidRDefault="00171626"/>
    <w:sectPr w:rsidR="001716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26"/>
    <w:rsid w:val="001378BE"/>
    <w:rsid w:val="00171626"/>
    <w:rsid w:val="0076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3448"/>
  <w15:chartTrackingRefBased/>
  <w15:docId w15:val="{9F659F83-AE92-4784-99E0-408D6F65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626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716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16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162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162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162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162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162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162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162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1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1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1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16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16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16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16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16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16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1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1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162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1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162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16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1626"/>
    <w:pPr>
      <w:spacing w:line="259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16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1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16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1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4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Octavio Gamaliel Aztatzi Aguilar</dc:creator>
  <cp:keywords/>
  <dc:description/>
  <cp:lastModifiedBy>Octavio Gamaliel Aztatzi Aguilar</cp:lastModifiedBy>
  <cp:revision>1</cp:revision>
  <dcterms:created xsi:type="dcterms:W3CDTF">2024-05-16T03:00:00Z</dcterms:created>
  <dcterms:modified xsi:type="dcterms:W3CDTF">2024-05-16T03:01:00Z</dcterms:modified>
</cp:coreProperties>
</file>