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51737" w14:textId="77777777" w:rsidR="003C12D4" w:rsidRDefault="00000000">
      <w:pPr>
        <w:pStyle w:val="BATitle"/>
        <w:rPr>
          <w:lang w:val="en"/>
        </w:rPr>
      </w:pPr>
      <w:r>
        <w:rPr>
          <w:lang w:val="en"/>
        </w:rPr>
        <w:t>Supporting Information</w:t>
      </w:r>
    </w:p>
    <w:p w14:paraId="1E8C2190" w14:textId="77777777" w:rsidR="00723EB6" w:rsidRDefault="00723EB6">
      <w:pPr>
        <w:spacing w:beforeAutospacing="1" w:line="480" w:lineRule="auto"/>
        <w:rPr>
          <w:rFonts w:ascii="Times New Roman" w:eastAsia="SimSun" w:hAnsi="Times New Roman"/>
          <w:sz w:val="30"/>
          <w:szCs w:val="30"/>
          <w:lang w:eastAsia="zh-CN" w:bidi="ar"/>
        </w:rPr>
      </w:pPr>
      <w:r w:rsidRPr="00723EB6">
        <w:rPr>
          <w:rFonts w:ascii="Times New Roman" w:eastAsia="SimSun" w:hAnsi="Times New Roman"/>
          <w:sz w:val="30"/>
          <w:szCs w:val="30"/>
          <w:lang w:eastAsia="zh-CN" w:bidi="ar"/>
        </w:rPr>
        <w:t>Cobalt on Tungsten Titanium Carbide MXene: A Electrocatalyst for Industrial-Scale High Current Density Alkaline Hydrogen Evolution Reaction</w:t>
      </w:r>
    </w:p>
    <w:p w14:paraId="6626C56F" w14:textId="06484BAF" w:rsidR="003C12D4" w:rsidRDefault="00000000">
      <w:pPr>
        <w:spacing w:beforeAutospacing="1" w:line="480" w:lineRule="auto"/>
        <w:rPr>
          <w:rFonts w:eastAsia="SimSun"/>
          <w:szCs w:val="24"/>
          <w:vertAlign w:val="superscript"/>
        </w:rPr>
      </w:pPr>
      <w:r>
        <w:rPr>
          <w:rFonts w:eastAsia="SimSun"/>
          <w:szCs w:val="24"/>
          <w:lang w:eastAsia="zh-CN" w:bidi="ar"/>
        </w:rPr>
        <w:t>Xiaopeng Liu</w:t>
      </w:r>
      <w:r>
        <w:rPr>
          <w:rFonts w:eastAsia="SimSun"/>
          <w:szCs w:val="24"/>
          <w:vertAlign w:val="superscript"/>
          <w:lang w:eastAsia="zh-CN" w:bidi="ar"/>
        </w:rPr>
        <w:t>a,‡</w:t>
      </w:r>
      <w:r>
        <w:rPr>
          <w:rFonts w:eastAsia="SimSun"/>
          <w:szCs w:val="24"/>
          <w:lang w:eastAsia="zh-CN" w:bidi="ar"/>
        </w:rPr>
        <w:t>, Fan Yang</w:t>
      </w:r>
      <w:r>
        <w:rPr>
          <w:rFonts w:eastAsia="SimSun"/>
          <w:szCs w:val="24"/>
          <w:vertAlign w:val="superscript"/>
          <w:lang w:eastAsia="zh-CN" w:bidi="ar"/>
        </w:rPr>
        <w:t>a,‡</w:t>
      </w:r>
      <w:r>
        <w:rPr>
          <w:rFonts w:eastAsia="SimSun"/>
          <w:szCs w:val="24"/>
          <w:lang w:eastAsia="zh-CN" w:bidi="ar"/>
        </w:rPr>
        <w:t>, Deep M. Patel</w:t>
      </w:r>
      <w:r>
        <w:rPr>
          <w:rFonts w:eastAsia="SimSun"/>
          <w:szCs w:val="24"/>
          <w:vertAlign w:val="superscript"/>
          <w:lang w:eastAsia="zh-CN" w:bidi="ar"/>
        </w:rPr>
        <w:t>a,‡</w:t>
      </w:r>
      <w:r>
        <w:rPr>
          <w:rFonts w:eastAsia="SimSun"/>
          <w:szCs w:val="24"/>
          <w:lang w:eastAsia="zh-CN" w:bidi="ar"/>
        </w:rPr>
        <w:t>, Mohammad Albloushi</w:t>
      </w:r>
      <w:r>
        <w:rPr>
          <w:rFonts w:eastAsia="SimSun"/>
          <w:szCs w:val="24"/>
          <w:vertAlign w:val="superscript"/>
          <w:lang w:eastAsia="zh-CN" w:bidi="ar"/>
        </w:rPr>
        <w:t>a</w:t>
      </w:r>
      <w:r>
        <w:rPr>
          <w:rFonts w:eastAsia="SimSun"/>
          <w:szCs w:val="24"/>
          <w:lang w:eastAsia="zh-CN" w:bidi="ar"/>
        </w:rPr>
        <w:t>, Shan Jiang</w:t>
      </w:r>
      <w:r>
        <w:rPr>
          <w:rFonts w:eastAsia="SimSun"/>
          <w:szCs w:val="24"/>
          <w:vertAlign w:val="superscript"/>
          <w:lang w:eastAsia="zh-CN" w:bidi="ar"/>
        </w:rPr>
        <w:t>b</w:t>
      </w:r>
      <w:r>
        <w:rPr>
          <w:rFonts w:eastAsia="SimSun"/>
          <w:szCs w:val="24"/>
          <w:lang w:eastAsia="zh-CN" w:bidi="ar"/>
        </w:rPr>
        <w:t>, Christian J. Breckner</w:t>
      </w:r>
      <w:r>
        <w:rPr>
          <w:rFonts w:eastAsia="SimSun"/>
          <w:szCs w:val="24"/>
          <w:vertAlign w:val="superscript"/>
          <w:lang w:eastAsia="zh-CN" w:bidi="ar"/>
        </w:rPr>
        <w:t>b</w:t>
      </w:r>
      <w:r>
        <w:rPr>
          <w:rFonts w:eastAsia="SimSun"/>
          <w:szCs w:val="24"/>
          <w:lang w:eastAsia="zh-CN" w:bidi="ar"/>
        </w:rPr>
        <w:t>, Connor W. Schroeder</w:t>
      </w:r>
      <w:r>
        <w:rPr>
          <w:rFonts w:eastAsia="SimSun"/>
          <w:szCs w:val="24"/>
          <w:vertAlign w:val="superscript"/>
          <w:lang w:eastAsia="zh-CN" w:bidi="ar"/>
        </w:rPr>
        <w:t>a</w:t>
      </w:r>
      <w:r>
        <w:rPr>
          <w:rFonts w:eastAsia="SimSun"/>
          <w:szCs w:val="24"/>
          <w:lang w:eastAsia="zh-CN" w:bidi="ar"/>
        </w:rPr>
        <w:t>, Ruoyu Cui</w:t>
      </w:r>
      <w:r>
        <w:rPr>
          <w:rFonts w:eastAsia="SimSun"/>
          <w:szCs w:val="24"/>
          <w:vertAlign w:val="superscript"/>
          <w:lang w:eastAsia="zh-CN" w:bidi="ar"/>
        </w:rPr>
        <w:t>c,d</w:t>
      </w:r>
      <w:r>
        <w:rPr>
          <w:rFonts w:eastAsia="SimSun"/>
          <w:szCs w:val="24"/>
          <w:lang w:eastAsia="zh-CN" w:bidi="ar"/>
        </w:rPr>
        <w:t>, Tao Ma</w:t>
      </w:r>
      <w:r>
        <w:rPr>
          <w:rFonts w:eastAsia="SimSun"/>
          <w:szCs w:val="24"/>
          <w:vertAlign w:val="superscript"/>
          <w:lang w:eastAsia="zh-CN" w:bidi="ar"/>
        </w:rPr>
        <w:t>e</w:t>
      </w:r>
      <w:r>
        <w:rPr>
          <w:rFonts w:eastAsia="SimSun"/>
          <w:szCs w:val="24"/>
          <w:lang w:eastAsia="zh-CN" w:bidi="ar"/>
        </w:rPr>
        <w:t>, Dapeng Jing</w:t>
      </w:r>
      <w:r>
        <w:rPr>
          <w:rFonts w:eastAsia="SimSun"/>
          <w:szCs w:val="24"/>
          <w:vertAlign w:val="superscript"/>
          <w:lang w:eastAsia="zh-CN" w:bidi="ar"/>
        </w:rPr>
        <w:t>f</w:t>
      </w:r>
      <w:r>
        <w:rPr>
          <w:rFonts w:eastAsia="SimSun"/>
          <w:szCs w:val="24"/>
          <w:lang w:eastAsia="zh-CN" w:bidi="ar"/>
        </w:rPr>
        <w:t>, Wenyu Huang</w:t>
      </w:r>
      <w:r>
        <w:rPr>
          <w:rFonts w:eastAsia="SimSun"/>
          <w:szCs w:val="24"/>
          <w:vertAlign w:val="superscript"/>
          <w:lang w:eastAsia="zh-CN" w:bidi="ar"/>
        </w:rPr>
        <w:t>c,d</w:t>
      </w:r>
      <w:r>
        <w:rPr>
          <w:rFonts w:eastAsia="SimSun"/>
          <w:szCs w:val="24"/>
          <w:lang w:eastAsia="zh-CN" w:bidi="ar"/>
        </w:rPr>
        <w:t>, Jeffrey T. Miller</w:t>
      </w:r>
      <w:r>
        <w:rPr>
          <w:rFonts w:eastAsia="SimSun"/>
          <w:szCs w:val="24"/>
          <w:vertAlign w:val="superscript"/>
          <w:lang w:eastAsia="zh-CN" w:bidi="ar"/>
        </w:rPr>
        <w:t>b,*</w:t>
      </w:r>
      <w:r>
        <w:rPr>
          <w:rFonts w:eastAsia="SimSun"/>
          <w:szCs w:val="24"/>
          <w:lang w:eastAsia="zh-CN" w:bidi="ar"/>
        </w:rPr>
        <w:t>, Wenzhen Li</w:t>
      </w:r>
      <w:r>
        <w:rPr>
          <w:rFonts w:eastAsia="SimSun"/>
          <w:szCs w:val="24"/>
          <w:vertAlign w:val="superscript"/>
          <w:lang w:eastAsia="zh-CN" w:bidi="ar"/>
        </w:rPr>
        <w:t>a,*</w:t>
      </w:r>
      <w:r>
        <w:rPr>
          <w:rFonts w:eastAsia="SimSun"/>
          <w:szCs w:val="24"/>
          <w:lang w:eastAsia="zh-CN" w:bidi="ar"/>
        </w:rPr>
        <w:t>, Luke T. Roling</w:t>
      </w:r>
      <w:r>
        <w:rPr>
          <w:rFonts w:eastAsia="SimSun"/>
          <w:szCs w:val="24"/>
          <w:vertAlign w:val="superscript"/>
          <w:lang w:eastAsia="zh-CN" w:bidi="ar"/>
        </w:rPr>
        <w:t>a,*</w:t>
      </w:r>
      <w:r>
        <w:rPr>
          <w:rFonts w:eastAsia="SimSun"/>
          <w:szCs w:val="24"/>
          <w:lang w:eastAsia="zh-CN" w:bidi="ar"/>
        </w:rPr>
        <w:t>, Yue Wu</w:t>
      </w:r>
      <w:r>
        <w:rPr>
          <w:rFonts w:eastAsia="SimSun"/>
          <w:szCs w:val="24"/>
          <w:vertAlign w:val="superscript"/>
          <w:lang w:eastAsia="zh-CN" w:bidi="ar"/>
        </w:rPr>
        <w:t>a,*</w:t>
      </w:r>
    </w:p>
    <w:p w14:paraId="787126A3" w14:textId="77777777" w:rsidR="003C12D4" w:rsidRDefault="00000000">
      <w:pPr>
        <w:pStyle w:val="NormalWeb"/>
        <w:spacing w:line="360" w:lineRule="auto"/>
        <w:rPr>
          <w:lang w:val="en"/>
        </w:rPr>
      </w:pPr>
      <w:r>
        <w:rPr>
          <w:rFonts w:eastAsia="Calibri"/>
          <w:szCs w:val="24"/>
          <w:lang w:eastAsia="zh-CN" w:bidi="ar"/>
        </w:rPr>
        <w:t xml:space="preserve">Correspondence to: yuewu@iastate.edu; </w:t>
      </w:r>
      <w:hyperlink r:id="rId6" w:history="1">
        <w:r>
          <w:rPr>
            <w:rFonts w:eastAsia="Calibri"/>
            <w:szCs w:val="24"/>
            <w:lang w:eastAsia="zh-CN" w:bidi="ar"/>
          </w:rPr>
          <w:t>roling@iastate.edu;</w:t>
        </w:r>
      </w:hyperlink>
      <w:r>
        <w:rPr>
          <w:rFonts w:eastAsia="Calibri"/>
          <w:szCs w:val="24"/>
          <w:lang w:eastAsia="zh-CN" w:bidi="ar"/>
        </w:rPr>
        <w:t xml:space="preserve"> </w:t>
      </w:r>
      <w:hyperlink r:id="rId7" w:history="1">
        <w:r>
          <w:rPr>
            <w:rFonts w:eastAsia="Calibri"/>
            <w:szCs w:val="24"/>
            <w:lang w:eastAsia="zh-CN" w:bidi="ar"/>
          </w:rPr>
          <w:t>wzli@iastate.edu</w:t>
        </w:r>
      </w:hyperlink>
      <w:r>
        <w:rPr>
          <w:rFonts w:eastAsia="Calibri"/>
          <w:szCs w:val="24"/>
          <w:lang w:eastAsia="zh-CN" w:bidi="ar"/>
        </w:rPr>
        <w:t xml:space="preserve">; and </w:t>
      </w:r>
      <w:r>
        <w:rPr>
          <w:rFonts w:eastAsia="SimSun"/>
          <w:szCs w:val="24"/>
          <w:lang w:eastAsia="zh-CN" w:bidi="ar"/>
        </w:rPr>
        <w:t>jeffrey-t-miller@purdue.edu</w:t>
      </w:r>
    </w:p>
    <w:p w14:paraId="27E429F6" w14:textId="77777777" w:rsidR="003C12D4" w:rsidRDefault="00000000">
      <w:r>
        <w:br w:type="page"/>
      </w:r>
    </w:p>
    <w:p w14:paraId="772A87D3" w14:textId="77777777" w:rsidR="003C12D4" w:rsidRDefault="00000000">
      <w:pPr>
        <w:jc w:val="center"/>
        <w:rPr>
          <w:rFonts w:eastAsia="SimSun"/>
          <w:lang w:eastAsia="zh-CN"/>
        </w:rPr>
      </w:pPr>
      <w:r>
        <w:rPr>
          <w:rFonts w:eastAsia="SimSun" w:hint="eastAsia"/>
          <w:noProof/>
          <w:lang w:eastAsia="zh-CN"/>
        </w:rPr>
        <w:lastRenderedPageBreak/>
        <w:drawing>
          <wp:inline distT="0" distB="0" distL="114300" distR="114300" wp14:anchorId="5D6E8B37" wp14:editId="74DF9E4F">
            <wp:extent cx="5151120" cy="5539105"/>
            <wp:effectExtent l="0" t="0" r="0" b="0"/>
            <wp:docPr id="4" name="图片 4" descr="C:/Users/xiaopeng/Desktop/Co-W2TiC2 HER/Figure - no Tx/Fig.S1.tif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/Users/xiaopeng/Desktop/Co-W2TiC2 HER/Figure - no Tx/Fig.S1.tifFig.S1"/>
                    <pic:cNvPicPr>
                      <a:picLocks noChangeAspect="1"/>
                    </pic:cNvPicPr>
                  </pic:nvPicPr>
                  <pic:blipFill>
                    <a:blip r:embed="rId8"/>
                    <a:srcRect l="-631" r="1376"/>
                    <a:stretch>
                      <a:fillRect/>
                    </a:stretch>
                  </pic:blipFill>
                  <pic:spPr>
                    <a:xfrm>
                      <a:off x="0" y="0"/>
                      <a:ext cx="5151120" cy="553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9921A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Theoretical XRD of </w:t>
      </w:r>
      <w:r>
        <w:rPr>
          <w:rFonts w:ascii="Times New Roman" w:hAnsi="Times New Roman"/>
          <w:szCs w:val="24"/>
        </w:rPr>
        <w:t>(a)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</w:t>
      </w:r>
      <w:r>
        <w:rPr>
          <w:rFonts w:ascii="Times New Roman" w:eastAsia="SimSun" w:hAnsi="Times New Roman" w:hint="eastAsia"/>
          <w:szCs w:val="24"/>
          <w:lang w:eastAsia="zh-CN"/>
        </w:rPr>
        <w:t>Al</w:t>
      </w:r>
      <w:r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 xml:space="preserve"> and (b)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simulated by VESTA; Comparison of experimental and calculated XRD from </w:t>
      </w:r>
      <w:r>
        <w:rPr>
          <w:rFonts w:ascii="Times New Roman" w:eastAsia="SimSun" w:hAnsi="Times New Roman"/>
          <w:szCs w:val="24"/>
          <w:lang w:eastAsia="zh-CN"/>
        </w:rPr>
        <w:t>2θ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=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5</w:t>
      </w:r>
      <w:r>
        <w:rPr>
          <w:rFonts w:ascii="Times New Roman" w:eastAsia="SimSun" w:hAnsi="Times New Roman"/>
          <w:szCs w:val="24"/>
          <w:lang w:eastAsia="zh-CN"/>
        </w:rPr>
        <w:t xml:space="preserve">° </w:t>
      </w:r>
      <w:r>
        <w:rPr>
          <w:rFonts w:ascii="Times New Roman" w:eastAsia="SimSun" w:hAnsi="Times New Roman" w:hint="eastAsia"/>
          <w:szCs w:val="24"/>
          <w:lang w:eastAsia="zh-CN"/>
        </w:rPr>
        <w:t>to 70</w:t>
      </w:r>
      <w:r>
        <w:rPr>
          <w:rFonts w:ascii="Times New Roman" w:eastAsia="SimSun" w:hAnsi="Times New Roman"/>
          <w:szCs w:val="24"/>
          <w:lang w:eastAsia="zh-CN"/>
        </w:rPr>
        <w:t>°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of </w:t>
      </w:r>
      <w:r>
        <w:rPr>
          <w:rFonts w:ascii="Times New Roman" w:hAnsi="Times New Roman"/>
          <w:szCs w:val="24"/>
        </w:rPr>
        <w:t>(c)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</w:t>
      </w:r>
      <w:r>
        <w:rPr>
          <w:rFonts w:ascii="Times New Roman" w:eastAsia="SimSun" w:hAnsi="Times New Roman" w:hint="eastAsia"/>
          <w:szCs w:val="24"/>
          <w:lang w:eastAsia="zh-CN"/>
        </w:rPr>
        <w:t>Al</w:t>
      </w:r>
      <w:r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and (d</w:t>
      </w:r>
      <w:r>
        <w:rPr>
          <w:rFonts w:ascii="Times New Roman" w:hAnsi="Times New Roman"/>
          <w:szCs w:val="24"/>
        </w:rPr>
        <w:t>)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; (e) Lattice structure model of</w:t>
      </w:r>
      <w:r>
        <w:rPr>
          <w:rFonts w:ascii="Times New Roman" w:hAnsi="Times New Roman"/>
          <w:szCs w:val="24"/>
        </w:rPr>
        <w:t xml:space="preserve">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</w:t>
      </w:r>
      <w:r>
        <w:rPr>
          <w:rFonts w:ascii="Times New Roman" w:eastAsia="SimSun" w:hAnsi="Times New Roman" w:hint="eastAsia"/>
          <w:szCs w:val="24"/>
          <w:lang w:eastAsia="zh-CN"/>
        </w:rPr>
        <w:t>Al</w:t>
      </w:r>
      <w:r>
        <w:rPr>
          <w:rFonts w:ascii="Times New Roman" w:hAnsi="Times New Roman"/>
          <w:szCs w:val="24"/>
        </w:rPr>
        <w:t>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and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for the simulation, c</w:t>
      </w:r>
      <w:r>
        <w:rPr>
          <w:rFonts w:ascii="Times New Roman" w:hAnsi="Times New Roman"/>
          <w:szCs w:val="24"/>
        </w:rPr>
        <w:t>olor code: Al (pink), W (cyan), Ti (dark blue), and C (dark brown).</w:t>
      </w:r>
    </w:p>
    <w:p w14:paraId="4556D160" w14:textId="77777777" w:rsidR="003C12D4" w:rsidRDefault="00000000">
      <w:pPr>
        <w:rPr>
          <w:rFonts w:ascii="Times New Roman" w:eastAsia="SimSun" w:hAnsi="Times New Roman"/>
          <w:b/>
          <w:bCs/>
          <w:szCs w:val="24"/>
          <w:highlight w:val="yellow"/>
          <w:lang w:eastAsia="zh-CN"/>
        </w:rPr>
      </w:pPr>
      <w:r>
        <w:rPr>
          <w:rFonts w:ascii="Times New Roman" w:eastAsia="SimSun" w:hAnsi="Times New Roman" w:hint="eastAsia"/>
          <w:b/>
          <w:bCs/>
          <w:szCs w:val="24"/>
          <w:highlight w:val="yellow"/>
          <w:lang w:eastAsia="zh-CN"/>
        </w:rPr>
        <w:br w:type="page"/>
      </w:r>
    </w:p>
    <w:p w14:paraId="2EAB393A" w14:textId="77777777" w:rsidR="003C12D4" w:rsidRDefault="00000000">
      <w:pPr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41C93B07" wp14:editId="5FEA5EF9">
            <wp:extent cx="3855085" cy="3831590"/>
            <wp:effectExtent l="0" t="0" r="5715" b="3810"/>
            <wp:docPr id="5" name="图片 5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.S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55085" cy="383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F2861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/>
          <w:b/>
          <w:bCs/>
          <w:szCs w:val="24"/>
          <w:lang w:eastAsia="zh-CN"/>
        </w:rPr>
        <w:t>2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SEM images of </w:t>
      </w:r>
      <w:r>
        <w:rPr>
          <w:rFonts w:ascii="Times New Roman" w:hAnsi="Times New Roman"/>
          <w:szCs w:val="24"/>
        </w:rPr>
        <w:t>(</w:t>
      </w:r>
      <w:r>
        <w:rPr>
          <w:rFonts w:ascii="Times New Roman" w:eastAsia="SimSun" w:hAnsi="Times New Roman" w:hint="eastAsia"/>
          <w:szCs w:val="24"/>
          <w:lang w:eastAsia="zh-CN"/>
        </w:rPr>
        <w:t>a</w:t>
      </w:r>
      <w:r>
        <w:rPr>
          <w:rFonts w:ascii="Times New Roman" w:hAnsi="Times New Roman"/>
          <w:szCs w:val="24"/>
        </w:rPr>
        <w:t>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-600 </w:t>
      </w:r>
      <w:r>
        <w:rPr>
          <w:rFonts w:ascii="Times New Roman" w:hAnsi="Times New Roman"/>
          <w:szCs w:val="24"/>
        </w:rPr>
        <w:t>and (b)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-700;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TEM images of </w:t>
      </w:r>
      <w:r>
        <w:rPr>
          <w:rFonts w:ascii="Times New Roman" w:hAnsi="Times New Roman"/>
          <w:szCs w:val="24"/>
        </w:rPr>
        <w:t>(</w:t>
      </w:r>
      <w:r>
        <w:rPr>
          <w:rFonts w:ascii="Times New Roman" w:eastAsia="SimSun" w:hAnsi="Times New Roman" w:hint="eastAsia"/>
          <w:szCs w:val="24"/>
          <w:lang w:eastAsia="zh-CN"/>
        </w:rPr>
        <w:t>c</w:t>
      </w:r>
      <w:r>
        <w:rPr>
          <w:rFonts w:ascii="Times New Roman" w:hAnsi="Times New Roman"/>
          <w:szCs w:val="24"/>
        </w:rPr>
        <w:t>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-600 </w:t>
      </w:r>
      <w:r>
        <w:rPr>
          <w:rFonts w:ascii="Times New Roman" w:hAnsi="Times New Roman"/>
          <w:szCs w:val="24"/>
        </w:rPr>
        <w:t>and (</w:t>
      </w:r>
      <w:r>
        <w:rPr>
          <w:rFonts w:ascii="Times New Roman" w:eastAsia="SimSun" w:hAnsi="Times New Roman" w:hint="eastAsia"/>
          <w:szCs w:val="24"/>
          <w:lang w:eastAsia="zh-CN"/>
        </w:rPr>
        <w:t>d</w:t>
      </w:r>
      <w:r>
        <w:rPr>
          <w:rFonts w:ascii="Times New Roman" w:hAnsi="Times New Roman"/>
          <w:szCs w:val="24"/>
        </w:rPr>
        <w:t>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</w:t>
      </w:r>
      <w:r>
        <w:rPr>
          <w:rFonts w:ascii="Times New Roman" w:hAnsi="Times New Roman"/>
          <w:szCs w:val="24"/>
        </w:rPr>
        <w:t>.</w:t>
      </w:r>
    </w:p>
    <w:p w14:paraId="357D07ED" w14:textId="77777777" w:rsidR="003C12D4" w:rsidRDefault="0000000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br w:type="page"/>
      </w:r>
    </w:p>
    <w:p w14:paraId="18A5DE26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3D4A51B8" wp14:editId="672DE2D2">
            <wp:extent cx="2392680" cy="2393315"/>
            <wp:effectExtent l="0" t="0" r="7620" b="6985"/>
            <wp:docPr id="6" name="图片 6" descr="C:\Users\xiaopeng\Desktop\Co-W2TiC2 HER\一稿\图\Fig. 3\3c-1.tif3c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xiaopeng\Desktop\Co-W2TiC2 HER\一稿\图\Fig. 3\3c-1.tif3c-1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2393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8237C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/>
          <w:b/>
          <w:bCs/>
          <w:szCs w:val="24"/>
          <w:lang w:eastAsia="zh-CN"/>
        </w:rPr>
        <w:t>3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>TEM image of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-500 showing lattice fringes of cobalt on the MXene surface</w:t>
      </w:r>
      <w:r>
        <w:rPr>
          <w:rFonts w:ascii="Times New Roman" w:hAnsi="Times New Roman"/>
          <w:szCs w:val="24"/>
        </w:rPr>
        <w:t>.</w:t>
      </w:r>
    </w:p>
    <w:p w14:paraId="2086110F" w14:textId="77777777" w:rsidR="003C12D4" w:rsidRDefault="00000000">
      <w:pPr>
        <w:spacing w:after="0" w:line="240" w:lineRule="auto"/>
        <w:jc w:val="left"/>
        <w:rPr>
          <w:rFonts w:ascii="Times New Roman" w:eastAsia="SimSun" w:hAnsi="Times New Roman"/>
          <w:sz w:val="20"/>
          <w:lang w:eastAsia="zh-CN"/>
        </w:rPr>
      </w:pPr>
      <w:r>
        <w:rPr>
          <w:rFonts w:ascii="Times New Roman" w:eastAsia="SimSun" w:hAnsi="Times New Roman" w:hint="eastAsia"/>
          <w:sz w:val="20"/>
          <w:lang w:eastAsia="zh-CN"/>
        </w:rPr>
        <w:br w:type="page"/>
      </w:r>
    </w:p>
    <w:p w14:paraId="52492B17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 w:val="20"/>
          <w:lang w:eastAsia="zh-CN"/>
        </w:rPr>
        <w:lastRenderedPageBreak/>
        <w:drawing>
          <wp:inline distT="0" distB="0" distL="114300" distR="114300" wp14:anchorId="66639077" wp14:editId="14AA20F1">
            <wp:extent cx="3001010" cy="3599815"/>
            <wp:effectExtent l="0" t="0" r="8890" b="6985"/>
            <wp:docPr id="1" name="图片 1" descr="Fig.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3a"/>
                    <pic:cNvPicPr>
                      <a:picLocks noChangeAspect="1"/>
                    </pic:cNvPicPr>
                  </pic:nvPicPr>
                  <pic:blipFill>
                    <a:blip r:embed="rId11"/>
                    <a:srcRect l="5291" t="1187" r="35596" b="6272"/>
                    <a:stretch>
                      <a:fillRect/>
                    </a:stretch>
                  </pic:blipFill>
                  <pic:spPr>
                    <a:xfrm>
                      <a:off x="0" y="0"/>
                      <a:ext cx="30010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6E580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4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XPS </w:t>
      </w:r>
      <w:r>
        <w:rPr>
          <w:rFonts w:ascii="Times New Roman" w:eastAsia="SimSun" w:hAnsi="Times New Roman" w:hint="eastAsia"/>
          <w:szCs w:val="24"/>
          <w:lang w:eastAsia="zh-CN"/>
        </w:rPr>
        <w:t>survey spectra</w:t>
      </w:r>
      <w:r>
        <w:rPr>
          <w:rFonts w:ascii="Times New Roman" w:hAnsi="Times New Roman"/>
          <w:szCs w:val="24"/>
        </w:rPr>
        <w:t xml:space="preserve"> of 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 xml:space="preserve"> and Co/W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 xml:space="preserve"> annealed at 500, 600, and 700℃</w:t>
      </w:r>
      <w:r>
        <w:rPr>
          <w:rFonts w:ascii="Times New Roman" w:eastAsia="SimSun" w:hAnsi="Times New Roman" w:hint="eastAsia"/>
          <w:szCs w:val="24"/>
          <w:lang w:eastAsia="zh-CN"/>
        </w:rPr>
        <w:t>.</w:t>
      </w:r>
    </w:p>
    <w:p w14:paraId="0F9F38AB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noProof/>
          <w:szCs w:val="24"/>
          <w:lang w:eastAsia="zh-CN"/>
        </w:rPr>
        <w:lastRenderedPageBreak/>
        <w:drawing>
          <wp:inline distT="0" distB="0" distL="114300" distR="114300" wp14:anchorId="5DBE6CC1" wp14:editId="6D5F1295">
            <wp:extent cx="5423535" cy="4436110"/>
            <wp:effectExtent l="0" t="0" r="0" b="0"/>
            <wp:docPr id="3" name="图片 3" descr="EXAFS-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EXAFS-S"/>
                    <pic:cNvPicPr>
                      <a:picLocks noChangeAspect="1"/>
                    </pic:cNvPicPr>
                  </pic:nvPicPr>
                  <pic:blipFill>
                    <a:blip r:embed="rId12"/>
                    <a:srcRect r="4055"/>
                    <a:stretch>
                      <a:fillRect/>
                    </a:stretch>
                  </pic:blipFill>
                  <pic:spPr>
                    <a:xfrm>
                      <a:off x="0" y="0"/>
                      <a:ext cx="5423535" cy="4436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DB170" w14:textId="77777777" w:rsidR="003C12D4" w:rsidRDefault="00000000">
      <w:pPr>
        <w:widowControl w:val="0"/>
        <w:spacing w:after="0" w:line="480" w:lineRule="auto"/>
        <w:jc w:val="left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5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 Co K-edge XANES from 7.700 to 7.750 keV of (a)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 xml:space="preserve">Co F oil, CoO, and Co500; </w:t>
      </w:r>
      <w:r>
        <w:rPr>
          <w:rFonts w:eastAsia="DengXian"/>
          <w:i/>
          <w:iCs/>
          <w:lang w:bidi="ar"/>
        </w:rPr>
        <w:t>k</w:t>
      </w:r>
      <w:r>
        <w:rPr>
          <w:rFonts w:eastAsia="DengXian"/>
          <w:i/>
          <w:iCs/>
          <w:vertAlign w:val="superscript"/>
          <w:lang w:bidi="ar"/>
        </w:rPr>
        <w:t>2</w:t>
      </w:r>
      <w:r>
        <w:rPr>
          <w:rFonts w:ascii="Times New Roman" w:hAnsi="Times New Roman"/>
          <w:szCs w:val="24"/>
        </w:rPr>
        <w:t>-Weighted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and th</w:t>
      </w:r>
      <w:r>
        <w:rPr>
          <w:rFonts w:ascii="Times New Roman" w:hAnsi="Times New Roman"/>
          <w:szCs w:val="24"/>
        </w:rPr>
        <w:t>e magnitude (solid) and imaginary (dash) part of the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Fourier transform of the Co K edge EXAFS of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(b)</w:t>
      </w:r>
      <w:r>
        <w:rPr>
          <w:rFonts w:ascii="Times New Roman" w:hAnsi="Times New Roman"/>
          <w:szCs w:val="24"/>
        </w:rPr>
        <w:t xml:space="preserve"> Co foil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, </w:t>
      </w:r>
      <w:r>
        <w:rPr>
          <w:rFonts w:ascii="Times New Roman" w:hAnsi="Times New Roman"/>
          <w:szCs w:val="24"/>
        </w:rPr>
        <w:t>(c)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CoO reference</w:t>
      </w:r>
      <w:r>
        <w:rPr>
          <w:rFonts w:ascii="Times New Roman" w:eastAsia="SimSun" w:hAnsi="Times New Roman" w:hint="eastAsia"/>
          <w:szCs w:val="24"/>
          <w:lang w:eastAsia="zh-CN"/>
        </w:rPr>
        <w:t>, and (d) Co/W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TiC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-500.</w:t>
      </w:r>
    </w:p>
    <w:p w14:paraId="419D142B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421B807A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szCs w:val="24"/>
          <w:lang w:eastAsia="zh-CN"/>
        </w:rPr>
        <w:br w:type="page"/>
      </w:r>
    </w:p>
    <w:p w14:paraId="341C8D68" w14:textId="77777777" w:rsidR="003C12D4" w:rsidRDefault="00000000">
      <w:pPr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lastRenderedPageBreak/>
        <w:drawing>
          <wp:inline distT="0" distB="0" distL="114300" distR="114300" wp14:anchorId="7358E299" wp14:editId="33FA0D2E">
            <wp:extent cx="5765800" cy="2322195"/>
            <wp:effectExtent l="0" t="0" r="0" b="1905"/>
            <wp:docPr id="22" name="图片 22" descr="Fig.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Fig.S6"/>
                    <pic:cNvPicPr>
                      <a:picLocks noChangeAspect="1"/>
                    </pic:cNvPicPr>
                  </pic:nvPicPr>
                  <pic:blipFill>
                    <a:blip r:embed="rId13"/>
                    <a:srcRect r="-3231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699464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6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Linear sweep voltammetry (LSV) curves of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the synthesized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-700 </w:t>
      </w:r>
      <w:r>
        <w:rPr>
          <w:rFonts w:ascii="Times New Roman" w:hAnsi="Times New Roman"/>
          <w:szCs w:val="24"/>
        </w:rPr>
        <w:t>catalyst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in (a) 1 M KOH, 1 M PBS, 0.5 M H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SO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4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and (b) 0.1-1 M PBS. PBS stands for phosphate buffered saline.</w:t>
      </w:r>
    </w:p>
    <w:p w14:paraId="5B6E905A" w14:textId="77777777" w:rsidR="003C12D4" w:rsidRDefault="00000000">
      <w:pPr>
        <w:spacing w:after="0" w:line="24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szCs w:val="24"/>
          <w:lang w:eastAsia="zh-CN"/>
        </w:rPr>
        <w:br w:type="page"/>
      </w:r>
    </w:p>
    <w:p w14:paraId="3BA4A63C" w14:textId="77777777" w:rsidR="003C12D4" w:rsidRDefault="00000000">
      <w:pPr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noProof/>
          <w:szCs w:val="24"/>
          <w:lang w:eastAsia="zh-CN"/>
        </w:rPr>
        <w:lastRenderedPageBreak/>
        <w:drawing>
          <wp:inline distT="0" distB="0" distL="114300" distR="114300" wp14:anchorId="1AD87275" wp14:editId="7CABB6AF">
            <wp:extent cx="5888990" cy="2447925"/>
            <wp:effectExtent l="0" t="0" r="0" b="0"/>
            <wp:docPr id="9" name="图片 9" descr="Fig.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.S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8899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A27F6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7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hAnsi="Times New Roman"/>
          <w:szCs w:val="24"/>
        </w:rPr>
        <w:t>LSV curves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and Tafel slopes</w:t>
      </w:r>
      <w:r>
        <w:rPr>
          <w:rFonts w:ascii="Times New Roman" w:hAnsi="Times New Roman"/>
          <w:szCs w:val="24"/>
        </w:rPr>
        <w:t xml:space="preserve">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hAnsi="Times New Roman"/>
          <w:szCs w:val="24"/>
        </w:rPr>
        <w:t xml:space="preserve"> catalysts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, Co/WC and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in 0.5 M H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SO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4</w:t>
      </w:r>
      <w:r>
        <w:rPr>
          <w:rFonts w:ascii="Times New Roman" w:eastAsia="SimSun" w:hAnsi="Times New Roman" w:hint="eastAsia"/>
          <w:szCs w:val="24"/>
          <w:lang w:eastAsia="zh-CN"/>
        </w:rPr>
        <w:t>.</w:t>
      </w:r>
    </w:p>
    <w:p w14:paraId="6D2BCBE0" w14:textId="77777777" w:rsidR="003C12D4" w:rsidRDefault="00000000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14:paraId="44394377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lastRenderedPageBreak/>
        <w:drawing>
          <wp:inline distT="0" distB="0" distL="114300" distR="114300" wp14:anchorId="628C6304" wp14:editId="3EBF6BA4">
            <wp:extent cx="2731770" cy="2411730"/>
            <wp:effectExtent l="0" t="0" r="0" b="1270"/>
            <wp:docPr id="23" name="图片 23" descr="Fig.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Fig.S8"/>
                    <pic:cNvPicPr>
                      <a:picLocks noChangeAspect="1"/>
                    </pic:cNvPicPr>
                  </pic:nvPicPr>
                  <pic:blipFill>
                    <a:blip r:embed="rId15"/>
                    <a:srcRect l="527" r="63602"/>
                    <a:stretch>
                      <a:fillRect/>
                    </a:stretch>
                  </pic:blipFill>
                  <pic:spPr>
                    <a:xfrm>
                      <a:off x="0" y="0"/>
                      <a:ext cx="273177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E0611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drawing>
          <wp:inline distT="0" distB="0" distL="114300" distR="114300" wp14:anchorId="50914E97" wp14:editId="7180D2CA">
            <wp:extent cx="5090795" cy="2411730"/>
            <wp:effectExtent l="0" t="0" r="0" b="0"/>
            <wp:docPr id="2" name="图片 2" descr="Fig.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S8"/>
                    <pic:cNvPicPr>
                      <a:picLocks noChangeAspect="1"/>
                    </pic:cNvPicPr>
                  </pic:nvPicPr>
                  <pic:blipFill>
                    <a:blip r:embed="rId15"/>
                    <a:srcRect l="35982" r="-2883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BB236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8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(a) </w:t>
      </w:r>
      <w:r>
        <w:rPr>
          <w:rFonts w:ascii="Times New Roman" w:hAnsi="Times New Roman"/>
          <w:szCs w:val="24"/>
        </w:rPr>
        <w:t>LSV curves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 in 0.5 M H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SO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4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at initial test and after leaving in electrolyte without applying current for 30 min; (b) TEM images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 and (c) aggregation of Co after reacting in acidic electrolyte.</w:t>
      </w:r>
    </w:p>
    <w:p w14:paraId="0B109B03" w14:textId="77777777" w:rsidR="003C12D4" w:rsidRDefault="00000000">
      <w:pPr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br w:type="page"/>
      </w:r>
    </w:p>
    <w:p w14:paraId="171769F4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lastRenderedPageBreak/>
        <w:drawing>
          <wp:inline distT="0" distB="0" distL="114300" distR="114300" wp14:anchorId="76238AB6" wp14:editId="4C8D67B8">
            <wp:extent cx="4734560" cy="2322195"/>
            <wp:effectExtent l="0" t="0" r="2540" b="1905"/>
            <wp:docPr id="24" name="图片 24" descr="Fig.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ig.S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734560" cy="232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88164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9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SEM images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-700 after reacting in (a) </w:t>
      </w:r>
      <w:r>
        <w:rPr>
          <w:rFonts w:ascii="Times New Roman" w:hAnsi="Times New Roman"/>
          <w:szCs w:val="24"/>
        </w:rPr>
        <w:t>1 M KOH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and (b) 0.5 M H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SO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4</w:t>
      </w:r>
      <w:r>
        <w:rPr>
          <w:rFonts w:ascii="Times New Roman" w:eastAsia="SimSun" w:hAnsi="Times New Roman" w:hint="eastAsia"/>
          <w:szCs w:val="24"/>
          <w:lang w:eastAsia="zh-CN"/>
        </w:rPr>
        <w:t>.</w:t>
      </w:r>
    </w:p>
    <w:p w14:paraId="1098CBAC" w14:textId="77777777" w:rsidR="003C12D4" w:rsidRDefault="003C12D4">
      <w:pPr>
        <w:widowControl w:val="0"/>
        <w:spacing w:after="0" w:line="480" w:lineRule="auto"/>
        <w:rPr>
          <w:rFonts w:ascii="Times New Roman" w:hAnsi="Times New Roman"/>
          <w:szCs w:val="24"/>
        </w:rPr>
      </w:pPr>
    </w:p>
    <w:p w14:paraId="50CA4027" w14:textId="77777777" w:rsidR="003C12D4" w:rsidRDefault="003C12D4"/>
    <w:p w14:paraId="7A0BFA9F" w14:textId="77777777" w:rsidR="003C12D4" w:rsidRDefault="00000000">
      <w:r>
        <w:br w:type="page"/>
      </w:r>
    </w:p>
    <w:p w14:paraId="389A9987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noProof/>
          <w:szCs w:val="24"/>
          <w:lang w:eastAsia="zh-CN"/>
        </w:rPr>
        <w:lastRenderedPageBreak/>
        <w:drawing>
          <wp:inline distT="0" distB="0" distL="114300" distR="114300" wp14:anchorId="67D0E491" wp14:editId="53DD9000">
            <wp:extent cx="5202555" cy="2676525"/>
            <wp:effectExtent l="0" t="0" r="0" b="0"/>
            <wp:docPr id="10" name="图片 10" descr="Fig.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.S9"/>
                    <pic:cNvPicPr>
                      <a:picLocks noChangeAspect="1"/>
                    </pic:cNvPicPr>
                  </pic:nvPicPr>
                  <pic:blipFill>
                    <a:blip r:embed="rId17"/>
                    <a:srcRect b="5894"/>
                    <a:stretch>
                      <a:fillRect/>
                    </a:stretch>
                  </pic:blipFill>
                  <pic:spPr>
                    <a:xfrm>
                      <a:off x="0" y="0"/>
                      <a:ext cx="520255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09BF3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10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LSV curves of H23 carbon paper, carbon paper with the Vulcan layer,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and </w:t>
      </w:r>
      <w:r>
        <w:rPr>
          <w:rFonts w:ascii="Times New Roman" w:hAnsi="Times New Roman"/>
          <w:szCs w:val="24"/>
        </w:rPr>
        <w:t xml:space="preserve">commercial 20% Pt/C compared with the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hAnsi="Times New Roman"/>
          <w:szCs w:val="24"/>
        </w:rPr>
        <w:t xml:space="preserve"> catalysts in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N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 xml:space="preserve"> </w:t>
      </w:r>
      <w:r>
        <w:rPr>
          <w:rFonts w:ascii="Times New Roman" w:hAnsi="Times New Roman"/>
          <w:szCs w:val="24"/>
        </w:rPr>
        <w:t xml:space="preserve">saturated 1 M KOH; </w:t>
      </w:r>
    </w:p>
    <w:p w14:paraId="186B6CD5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br w:type="page"/>
      </w:r>
    </w:p>
    <w:p w14:paraId="6C3AD9A7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noProof/>
          <w:szCs w:val="24"/>
          <w:lang w:eastAsia="zh-CN"/>
        </w:rPr>
        <w:lastRenderedPageBreak/>
        <w:drawing>
          <wp:inline distT="0" distB="0" distL="114300" distR="114300" wp14:anchorId="75EA3D78" wp14:editId="36450CE5">
            <wp:extent cx="3306445" cy="2555875"/>
            <wp:effectExtent l="0" t="0" r="8255" b="9525"/>
            <wp:docPr id="11" name="图片 11" descr="Fig.S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.S10"/>
                    <pic:cNvPicPr>
                      <a:picLocks noChangeAspect="1"/>
                    </pic:cNvPicPr>
                  </pic:nvPicPr>
                  <pic:blipFill>
                    <a:blip r:embed="rId18"/>
                    <a:srcRect r="33690" b="6276"/>
                    <a:stretch>
                      <a:fillRect/>
                    </a:stretch>
                  </pic:blipFill>
                  <pic:spPr>
                    <a:xfrm>
                      <a:off x="0" y="0"/>
                      <a:ext cx="3306445" cy="255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CD74D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11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High current density </w:t>
      </w:r>
      <w:r>
        <w:rPr>
          <w:rFonts w:ascii="Times New Roman" w:hAnsi="Times New Roman"/>
          <w:szCs w:val="24"/>
        </w:rPr>
        <w:t xml:space="preserve">LSV curves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-700 </w:t>
      </w:r>
      <w:r>
        <w:rPr>
          <w:rFonts w:ascii="Times New Roman" w:hAnsi="Times New Roman"/>
          <w:szCs w:val="24"/>
        </w:rPr>
        <w:t>catalyst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compared with </w:t>
      </w:r>
      <w:r>
        <w:rPr>
          <w:rFonts w:ascii="Times New Roman" w:hAnsi="Times New Roman"/>
          <w:szCs w:val="24"/>
        </w:rPr>
        <w:t xml:space="preserve">commercial </w:t>
      </w:r>
      <w:r>
        <w:rPr>
          <w:rFonts w:ascii="Times New Roman" w:eastAsia="SimSun" w:hAnsi="Times New Roman" w:hint="eastAsia"/>
          <w:szCs w:val="24"/>
          <w:lang w:eastAsia="zh-CN"/>
        </w:rPr>
        <w:t>4</w:t>
      </w:r>
      <w:r>
        <w:rPr>
          <w:rFonts w:ascii="Times New Roman" w:hAnsi="Times New Roman"/>
          <w:szCs w:val="24"/>
        </w:rPr>
        <w:t xml:space="preserve">0% Pt/C in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N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 xml:space="preserve"> </w:t>
      </w:r>
      <w:r>
        <w:rPr>
          <w:rFonts w:ascii="Times New Roman" w:hAnsi="Times New Roman"/>
          <w:szCs w:val="24"/>
        </w:rPr>
        <w:t xml:space="preserve">saturated 1 M KOH; </w:t>
      </w:r>
    </w:p>
    <w:p w14:paraId="6F9C73B8" w14:textId="77777777" w:rsidR="003C12D4" w:rsidRDefault="00000000">
      <w:pPr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szCs w:val="24"/>
          <w:lang w:eastAsia="zh-CN"/>
        </w:rPr>
        <w:br w:type="page"/>
      </w:r>
    </w:p>
    <w:p w14:paraId="6010565F" w14:textId="77777777" w:rsidR="003C12D4" w:rsidRDefault="00000000">
      <w:pPr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120C810A" wp14:editId="04BF19EE">
            <wp:extent cx="5315585" cy="4211955"/>
            <wp:effectExtent l="0" t="0" r="0" b="0"/>
            <wp:docPr id="12" name="图片 12" descr="C:/Users/xiaopeng/Desktop/Co-W2TiC2 HER/Figure - no Tx/Fig.S11.tifFig.S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/Users/xiaopeng/Desktop/Co-W2TiC2 HER/Figure - no Tx/Fig.S11.tifFig.S11"/>
                    <pic:cNvPicPr>
                      <a:picLocks noChangeAspect="1"/>
                    </pic:cNvPicPr>
                  </pic:nvPicPr>
                  <pic:blipFill>
                    <a:blip r:embed="rId19"/>
                    <a:srcRect l="25" r="25"/>
                    <a:stretch>
                      <a:fillRect/>
                    </a:stretch>
                  </pic:blipFill>
                  <pic:spPr>
                    <a:xfrm>
                      <a:off x="0" y="0"/>
                      <a:ext cx="5315585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CE7684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12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Cyclic voltammetry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(</w:t>
      </w:r>
      <w:r>
        <w:rPr>
          <w:rFonts w:ascii="Times New Roman" w:hAnsi="Times New Roman"/>
          <w:szCs w:val="24"/>
        </w:rPr>
        <w:t>CV</w:t>
      </w:r>
      <w:r>
        <w:rPr>
          <w:rFonts w:ascii="Times New Roman" w:eastAsia="SimSun" w:hAnsi="Times New Roman" w:hint="eastAsia"/>
          <w:szCs w:val="24"/>
          <w:lang w:eastAsia="zh-CN"/>
        </w:rPr>
        <w:t>)</w:t>
      </w:r>
      <w:r>
        <w:rPr>
          <w:rFonts w:ascii="Times New Roman" w:hAnsi="Times New Roman"/>
          <w:szCs w:val="24"/>
        </w:rPr>
        <w:t xml:space="preserve"> curves of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a</w:t>
      </w:r>
      <w:r>
        <w:rPr>
          <w:rFonts w:ascii="Times New Roman" w:hAnsi="Times New Roman"/>
          <w:szCs w:val="24"/>
        </w:rPr>
        <w:t>nd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Co/WC</w:t>
      </w:r>
      <w:r>
        <w:rPr>
          <w:rFonts w:ascii="Times New Roman" w:hAnsi="Times New Roman"/>
          <w:szCs w:val="24"/>
        </w:rPr>
        <w:t xml:space="preserve"> at different scan rates in a non-Faradaic regio</w:t>
      </w:r>
      <w:r>
        <w:rPr>
          <w:rFonts w:ascii="Times New Roman" w:eastAsia="SimSun" w:hAnsi="Times New Roman" w:hint="eastAsia"/>
          <w:szCs w:val="24"/>
          <w:lang w:eastAsia="zh-CN"/>
        </w:rPr>
        <w:t>n and e</w:t>
      </w:r>
      <w:r>
        <w:rPr>
          <w:rFonts w:ascii="Times New Roman" w:hAnsi="Times New Roman"/>
          <w:szCs w:val="24"/>
        </w:rPr>
        <w:t>lectrochemical double-layer capacitance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calculated from </w:t>
      </w:r>
      <w:r>
        <w:rPr>
          <w:rFonts w:ascii="Times New Roman" w:hAnsi="Times New Roman"/>
          <w:szCs w:val="24"/>
        </w:rPr>
        <w:t>charging current density differences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against scan rates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plots</w:t>
      </w:r>
      <w:r>
        <w:rPr>
          <w:rFonts w:ascii="Times New Roman" w:hAnsi="Times New Roman"/>
          <w:szCs w:val="24"/>
        </w:rPr>
        <w:t xml:space="preserve">. </w:t>
      </w:r>
    </w:p>
    <w:p w14:paraId="24A59766" w14:textId="77777777" w:rsidR="003C12D4" w:rsidRDefault="00000000">
      <w:pPr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szCs w:val="24"/>
        </w:rPr>
        <w:br w:type="page"/>
      </w:r>
    </w:p>
    <w:p w14:paraId="7FADD7D4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325262E7" wp14:editId="1DA90E8A">
            <wp:extent cx="5315585" cy="4211955"/>
            <wp:effectExtent l="0" t="0" r="0" b="0"/>
            <wp:docPr id="13" name="图片 13" descr="Fig.S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.S1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15585" cy="421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DCD8F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13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CV curves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>of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(a)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-700, (b)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-600, and (c)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-500 and (d) e</w:t>
      </w:r>
      <w:r>
        <w:rPr>
          <w:rFonts w:ascii="Times New Roman" w:hAnsi="Times New Roman"/>
          <w:szCs w:val="24"/>
        </w:rPr>
        <w:t>lectrochemical double-layer capacitance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of the catalysts.</w:t>
      </w:r>
    </w:p>
    <w:p w14:paraId="1D03D65F" w14:textId="77777777" w:rsidR="003C12D4" w:rsidRDefault="00000000">
      <w:pPr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szCs w:val="24"/>
          <w:lang w:eastAsia="zh-CN"/>
        </w:rPr>
        <w:br w:type="page"/>
      </w:r>
    </w:p>
    <w:p w14:paraId="3743B1CF" w14:textId="77777777" w:rsidR="003C12D4" w:rsidRDefault="00000000">
      <w:pPr>
        <w:widowControl w:val="0"/>
        <w:spacing w:beforeAutospacing="1" w:after="0" w:line="480" w:lineRule="auto"/>
        <w:rPr>
          <w:rFonts w:ascii="Times New Roman" w:eastAsia="SimSun" w:hAnsi="Times New Roman"/>
          <w:b/>
          <w:bCs/>
          <w:szCs w:val="24"/>
        </w:rPr>
      </w:pPr>
      <w:r>
        <w:rPr>
          <w:rFonts w:ascii="Times New Roman" w:eastAsia="SimSun" w:hAnsi="Times New Roman"/>
          <w:b/>
          <w:bCs/>
          <w:szCs w:val="24"/>
          <w:lang w:eastAsia="zh-CN" w:bidi="ar"/>
        </w:rPr>
        <w:lastRenderedPageBreak/>
        <w:t>Supplementary Note</w:t>
      </w:r>
      <w:r>
        <w:rPr>
          <w:rFonts w:ascii="Times New Roman" w:eastAsia="SimSun" w:hAnsi="Times New Roman" w:hint="eastAsia"/>
          <w:b/>
          <w:bCs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b/>
          <w:bCs/>
          <w:szCs w:val="24"/>
          <w:lang w:eastAsia="zh-CN" w:bidi="ar"/>
        </w:rPr>
        <w:t>1: Estimation of number of</w:t>
      </w:r>
      <w:r>
        <w:rPr>
          <w:rFonts w:ascii="Times New Roman" w:eastAsia="SimSun" w:hAnsi="Times New Roman" w:hint="eastAsia"/>
          <w:b/>
          <w:bCs/>
          <w:szCs w:val="24"/>
          <w:lang w:eastAsia="zh-CN" w:bidi="ar"/>
        </w:rPr>
        <w:t xml:space="preserve"> active sites </w:t>
      </w:r>
      <w:r>
        <w:rPr>
          <w:rFonts w:ascii="Times New Roman" w:eastAsia="SimSun" w:hAnsi="Times New Roman"/>
          <w:b/>
          <w:bCs/>
          <w:szCs w:val="24"/>
          <w:lang w:eastAsia="zh-CN" w:bidi="ar"/>
        </w:rPr>
        <w:t>from</w:t>
      </w:r>
      <w:r>
        <w:rPr>
          <w:rFonts w:ascii="Times New Roman" w:eastAsia="SimSun" w:hAnsi="Times New Roman" w:hint="eastAsia"/>
          <w:b/>
          <w:bCs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b/>
          <w:bCs/>
          <w:szCs w:val="24"/>
          <w:lang w:eastAsia="zh-CN" w:bidi="ar"/>
        </w:rPr>
        <w:t>ECSA and comparison with loading mass derived quantities</w:t>
      </w:r>
    </w:p>
    <w:p w14:paraId="3B092DFD" w14:textId="77777777" w:rsidR="003C12D4" w:rsidRDefault="00000000">
      <w:pPr>
        <w:pStyle w:val="NormalWeb"/>
        <w:snapToGrid w:val="0"/>
        <w:spacing w:beforeAutospacing="1" w:after="0" w:line="480" w:lineRule="auto"/>
        <w:ind w:firstLine="720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hAnsi="Times New Roman"/>
          <w:szCs w:val="24"/>
          <w:lang w:eastAsia="zh-CN" w:bidi="ar"/>
        </w:rPr>
        <w:t xml:space="preserve">The electrochemical active surface area (ECSA) can be obtained from </w:t>
      </w:r>
      <w:r>
        <w:rPr>
          <w:rFonts w:ascii="Times New Roman" w:eastAsia="SimSun" w:hAnsi="Times New Roman"/>
          <w:szCs w:val="24"/>
          <w:lang w:eastAsia="zh-CN" w:bidi="ar"/>
        </w:rPr>
        <w:t>e</w:t>
      </w:r>
      <w:r>
        <w:rPr>
          <w:rFonts w:ascii="Times New Roman" w:hAnsi="Times New Roman"/>
          <w:szCs w:val="24"/>
          <w:lang w:eastAsia="zh-CN" w:bidi="ar"/>
        </w:rPr>
        <w:t>lectrochemical double-layer capacitance</w:t>
      </w:r>
      <w:r>
        <w:rPr>
          <w:rFonts w:ascii="Times New Roman" w:eastAsia="SimSun" w:hAnsi="Times New Roman" w:hint="eastAsia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szCs w:val="24"/>
          <w:lang w:eastAsia="zh-CN" w:bidi="ar"/>
        </w:rPr>
        <w:t>(C</w:t>
      </w:r>
      <w:r>
        <w:rPr>
          <w:rFonts w:ascii="Times New Roman" w:eastAsia="SimSun" w:hAnsi="Times New Roman"/>
          <w:szCs w:val="24"/>
          <w:vertAlign w:val="subscript"/>
          <w:lang w:eastAsia="zh-CN" w:bidi="ar"/>
        </w:rPr>
        <w:t>dl</w:t>
      </w:r>
      <w:r>
        <w:rPr>
          <w:rFonts w:ascii="Times New Roman" w:eastAsia="SimSun" w:hAnsi="Times New Roman"/>
          <w:szCs w:val="24"/>
          <w:lang w:eastAsia="zh-CN" w:bidi="ar"/>
        </w:rPr>
        <w:t>), by</w:t>
      </w:r>
      <w:r>
        <w:rPr>
          <w:rFonts w:ascii="Times New Roman" w:hAnsi="Times New Roman"/>
          <w:szCs w:val="24"/>
          <w:lang w:eastAsia="zh-CN" w:bidi="ar"/>
        </w:rPr>
        <w:t xml:space="preserve"> dividing </w:t>
      </w:r>
      <w:r>
        <w:rPr>
          <w:rFonts w:ascii="Times New Roman" w:eastAsia="SimSun" w:hAnsi="Times New Roman"/>
          <w:szCs w:val="24"/>
          <w:lang w:eastAsia="zh-CN" w:bidi="ar"/>
        </w:rPr>
        <w:t>C</w:t>
      </w:r>
      <w:r>
        <w:rPr>
          <w:rFonts w:ascii="Times New Roman" w:eastAsia="SimSun" w:hAnsi="Times New Roman"/>
          <w:szCs w:val="24"/>
          <w:vertAlign w:val="subscript"/>
          <w:lang w:eastAsia="zh-CN" w:bidi="ar"/>
        </w:rPr>
        <w:t>dl</w:t>
      </w:r>
      <w:r>
        <w:rPr>
          <w:rFonts w:ascii="Times New Roman" w:hAnsi="Times New Roman"/>
          <w:szCs w:val="24"/>
          <w:lang w:eastAsia="zh-CN" w:bidi="ar"/>
        </w:rPr>
        <w:t xml:space="preserve"> by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the specific capacitance for a flat standard with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of real surface area (C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s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). The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metal plane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value of smooth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metal plane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is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generally found to be in the range of 20-60 µF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−2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i/>
          <w:iCs/>
          <w:color w:val="000000"/>
          <w:szCs w:val="24"/>
          <w:vertAlign w:val="superscript"/>
          <w:lang w:eastAsia="zh-CN" w:bidi="ar"/>
        </w:rPr>
        <w:t>1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, we conservatively using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60 µF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−2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to estimate the number of active sites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. The geometric area of the sprayed electrodes are 1 </w:t>
      </w:r>
      <w:r>
        <w:rPr>
          <w:rFonts w:ascii="Arial" w:eastAsia="SimSun" w:hAnsi="Arial" w:cs="Arial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, thus ECSA of the catalysts can be calculated as:</w:t>
      </w:r>
    </w:p>
    <w:p w14:paraId="6A3609F1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ECSA(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Co/</w:t>
      </w:r>
      <w:r>
        <w:rPr>
          <w:rFonts w:ascii="Times New Roman" w:hAnsi="Times New Roman"/>
          <w:szCs w:val="24"/>
          <w:vertAlign w:val="subscript"/>
        </w:rPr>
        <w:t>W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hAnsi="Times New Roman"/>
          <w:szCs w:val="24"/>
          <w:vertAlign w:val="subscript"/>
        </w:rPr>
        <w:t>TiC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-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7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00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(55.47 mF/cm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) ×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/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0 μF/cm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) 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924.5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</w:p>
    <w:p w14:paraId="362843E2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ECSA(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Co/</w:t>
      </w:r>
      <w:r>
        <w:rPr>
          <w:rFonts w:ascii="Times New Roman" w:hAnsi="Times New Roman"/>
          <w:szCs w:val="24"/>
          <w:vertAlign w:val="subscript"/>
        </w:rPr>
        <w:t>W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hAnsi="Times New Roman"/>
          <w:szCs w:val="24"/>
          <w:vertAlign w:val="subscript"/>
        </w:rPr>
        <w:t>TiC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-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6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00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38.61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mF/cm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) ×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/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0 μF/cm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) =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643.5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</w:p>
    <w:p w14:paraId="41C10D11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ECSA(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Co/</w:t>
      </w:r>
      <w:r>
        <w:rPr>
          <w:rFonts w:ascii="Times New Roman" w:hAnsi="Times New Roman"/>
          <w:szCs w:val="24"/>
          <w:vertAlign w:val="subscript"/>
        </w:rPr>
        <w:t>W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hAnsi="Times New Roman"/>
          <w:szCs w:val="24"/>
          <w:vertAlign w:val="subscript"/>
        </w:rPr>
        <w:t>TiC</w:t>
      </w:r>
      <w:r>
        <w:rPr>
          <w:rFonts w:ascii="Times New Roman" w:hAnsi="Times New Roman"/>
          <w:sz w:val="16"/>
          <w:szCs w:val="16"/>
          <w:vertAlign w:val="subscript"/>
        </w:rPr>
        <w:t>2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-</w:t>
      </w:r>
      <w:r>
        <w:rPr>
          <w:rFonts w:ascii="Times New Roman" w:eastAsia="SimSun" w:hAnsi="Times New Roman" w:hint="eastAsia"/>
          <w:szCs w:val="24"/>
          <w:vertAlign w:val="subscript"/>
          <w:lang w:eastAsia="zh-CN"/>
        </w:rPr>
        <w:t>5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00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11.76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mF/cm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) ×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/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0 μF/cm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) 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196.0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</w:p>
    <w:p w14:paraId="261F2875" w14:textId="77777777" w:rsidR="003C12D4" w:rsidRDefault="00000000">
      <w:pPr>
        <w:pStyle w:val="NormalWeb"/>
        <w:spacing w:beforeAutospacing="1" w:after="0" w:line="480" w:lineRule="auto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Co NP number in 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-700 was further calculated by converting the electrochemical surface area to the </w:t>
      </w:r>
      <w:r>
        <w:rPr>
          <w:rFonts w:ascii="Times New Roman" w:hAnsi="Times New Roman" w:hint="eastAsia"/>
          <w:szCs w:val="24"/>
          <w:lang w:eastAsia="zh-CN" w:bidi="ar"/>
        </w:rPr>
        <w:t>number of binding sites. On this catalyst,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the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hydrogen is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considered binding to the W atoms close to the Co-W interfaces (most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stable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H-binding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sites marked on the DFT Co nanoparticle/W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TiC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model, Figure 5a) in the ECSA tests at non-Faradaic region, while under reaction condition, hydrogen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is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proposed forming at the Co-W interface sites due to the most stable W sites poisoned by strong binding of H. The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specific surface area per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W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atom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on the (111) plane of 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can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be calculated as: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S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(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111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√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3/4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a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3.39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-16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i/>
          <w:iCs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.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Th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us, th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e number of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W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surface site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s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can be obtained as 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W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= ECSA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/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S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(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111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>)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.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Considering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the amount of such W sites adjacent to each Co particle, and the number of Co-W interface sites on each Co NP, the number of active sites can be obtained as:</w:t>
      </w:r>
    </w:p>
    <w:p w14:paraId="145FDDD5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</w:pP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Co-W(ECSA)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924.5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/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3.39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-16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) / 6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3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1.36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18</w:t>
      </w:r>
    </w:p>
    <w:p w14:paraId="3CCDF93D" w14:textId="77777777" w:rsidR="003C12D4" w:rsidRDefault="00000000">
      <w:pPr>
        <w:pStyle w:val="NormalWeb"/>
        <w:snapToGrid w:val="0"/>
        <w:spacing w:beforeAutospacing="1" w:after="0" w:line="480" w:lineRule="auto"/>
        <w:ind w:firstLine="720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lastRenderedPageBreak/>
        <w:t xml:space="preserve">The quantity of active sites was checked through calculations based on the actual loading mass of Co. </w:t>
      </w:r>
      <w:r>
        <w:rPr>
          <w:rFonts w:ascii="Times New Roman" w:eastAsia="SimSun" w:hAnsi="Times New Roman" w:hint="eastAsia"/>
          <w:szCs w:val="24"/>
          <w:lang w:eastAsia="zh-CN"/>
        </w:rPr>
        <w:t>Given that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EXAFS analysis revealed in </w:t>
      </w:r>
      <w:r>
        <w:rPr>
          <w:rFonts w:ascii="Times New Roman" w:eastAsia="SimSun" w:hAnsi="Times New Roman" w:hint="eastAsia"/>
          <w:szCs w:val="24"/>
          <w:lang w:eastAsia="zh-CN"/>
        </w:rPr>
        <w:t>Co/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 Co existing entirely in the form of nanoparticles, determination of NP amount can be to dividing the total count by the number of Co atoms within a single particle of around 0.9 nm size:</w:t>
      </w:r>
    </w:p>
    <w:p w14:paraId="44DF703A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</w:pP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Co NPs(loading mass)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= (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0.49 mg/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)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 1 cm</w:t>
      </w:r>
      <w:r>
        <w:rPr>
          <w:rFonts w:ascii="Times New Roman" w:eastAsia="SimSun" w:hAnsi="Times New Roman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/ (28.01 g/mol)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A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/ 22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4.79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17</w:t>
      </w:r>
    </w:p>
    <w:p w14:paraId="4AE13D75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Co-W(loading mass)</w:t>
      </w:r>
      <w:r>
        <w:rPr>
          <w:rFonts w:ascii="Times New Roman" w:eastAsia="SimSun" w:hAnsi="Times New Roman"/>
          <w:color w:val="000000"/>
          <w:szCs w:val="24"/>
          <w:vertAlign w:val="subscript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Co NPs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3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=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1.44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18</w:t>
      </w:r>
    </w:p>
    <w:p w14:paraId="3DFF89EB" w14:textId="77777777" w:rsidR="003C12D4" w:rsidRDefault="00000000">
      <w:pPr>
        <w:pStyle w:val="NormalWeb"/>
        <w:snapToGrid w:val="0"/>
        <w:spacing w:beforeAutospacing="1" w:after="0" w:line="480" w:lineRule="auto"/>
        <w:ind w:firstLine="720"/>
        <w:rPr>
          <w:rFonts w:ascii="Times New Roman" w:eastAsia="SimSun" w:hAnsi="Times New Roman"/>
          <w:szCs w:val="24"/>
        </w:rPr>
      </w:pP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In which the NA is Avogadro constant and N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Co-W(loading mass)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stands for the active sites number directly derived from Co loading amount. The values obtained from two methods were similar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(1.36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18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and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1.44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×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10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18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), this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numerical approximations derived from both methods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further substantiat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the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specific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structure of Co on </w:t>
      </w:r>
      <w:r>
        <w:rPr>
          <w:rFonts w:ascii="Times New Roman" w:hAnsi="Times New Roman"/>
          <w:szCs w:val="24"/>
        </w:rPr>
        <w:t>W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hAnsi="Times New Roman"/>
          <w:szCs w:val="24"/>
        </w:rPr>
        <w:t>TiC</w:t>
      </w:r>
      <w:r>
        <w:rPr>
          <w:rFonts w:ascii="Times New Roman" w:hAnsi="Times New Roman"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.</w:t>
      </w:r>
      <w:r>
        <w:rPr>
          <w:rFonts w:ascii="Times New Roman" w:eastAsia="SimSun" w:hAnsi="Times New Roman" w:hint="eastAsia"/>
          <w:szCs w:val="24"/>
          <w:lang w:eastAsia="zh-CN" w:bidi="ar"/>
        </w:rPr>
        <w:t xml:space="preserve"> </w:t>
      </w:r>
    </w:p>
    <w:p w14:paraId="0F5AE31A" w14:textId="77777777" w:rsidR="003C12D4" w:rsidRDefault="00000000">
      <w:pPr>
        <w:spacing w:beforeAutospacing="1" w:line="256" w:lineRule="auto"/>
        <w:rPr>
          <w:rFonts w:ascii="Times New Roman" w:eastAsia="SimSun" w:hAnsi="Times New Roman"/>
          <w:szCs w:val="24"/>
        </w:rPr>
      </w:pPr>
      <w:r>
        <w:rPr>
          <w:rFonts w:ascii="Times New Roman" w:eastAsia="SimSun" w:hAnsi="Times New Roman" w:hint="eastAsia"/>
          <w:szCs w:val="24"/>
          <w:lang w:eastAsia="zh-CN" w:bidi="ar"/>
        </w:rPr>
        <w:br w:type="page"/>
      </w:r>
    </w:p>
    <w:p w14:paraId="2CC7110C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noProof/>
          <w:szCs w:val="24"/>
          <w:lang w:eastAsia="zh-CN"/>
        </w:rPr>
        <w:lastRenderedPageBreak/>
        <w:drawing>
          <wp:inline distT="0" distB="0" distL="114300" distR="114300" wp14:anchorId="799F76B5" wp14:editId="7599EEE5">
            <wp:extent cx="4312920" cy="3347720"/>
            <wp:effectExtent l="0" t="0" r="5080" b="5080"/>
            <wp:docPr id="14" name="图片 14" descr="Fig.S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.S13"/>
                    <pic:cNvPicPr>
                      <a:picLocks noChangeAspect="1"/>
                    </pic:cNvPicPr>
                  </pic:nvPicPr>
                  <pic:blipFill>
                    <a:blip r:embed="rId21"/>
                    <a:srcRect l="2213" t="5064" r="34385" b="5005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5C077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14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High current </w:t>
      </w:r>
      <w:r>
        <w:rPr>
          <w:rFonts w:ascii="Times New Roman" w:hAnsi="Times New Roman"/>
          <w:szCs w:val="24"/>
        </w:rPr>
        <w:t xml:space="preserve">LSV curves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-700 and </w:t>
      </w:r>
      <w:r>
        <w:rPr>
          <w:rFonts w:ascii="Times New Roman" w:hAnsi="Times New Roman"/>
          <w:szCs w:val="24"/>
        </w:rPr>
        <w:t xml:space="preserve">commercial Pt/C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paired with Ni foam </w:t>
      </w:r>
      <w:r>
        <w:rPr>
          <w:rFonts w:ascii="Times New Roman" w:hAnsi="Times New Roman"/>
          <w:szCs w:val="24"/>
        </w:rPr>
        <w:t xml:space="preserve">in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a </w:t>
      </w:r>
      <w:r>
        <w:rPr>
          <w:rFonts w:ascii="Times New Roman" w:eastAsia="SimSun" w:hAnsi="Times New Roman"/>
          <w:szCs w:val="24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Arial" w:eastAsia="SimSun" w:hAnsi="Arial" w:cs="Arial"/>
          <w:szCs w:val="24"/>
          <w:lang w:eastAsia="zh-CN"/>
        </w:rPr>
        <w:t>×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cm</w:t>
      </w:r>
      <w:r>
        <w:rPr>
          <w:rFonts w:ascii="Times New Roman" w:eastAsia="SimSun" w:hAnsi="Times New Roman" w:hint="eastAsia"/>
          <w:szCs w:val="24"/>
          <w:vertAlign w:val="super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flow cell electrolyzer in</w:t>
      </w:r>
      <w:r>
        <w:rPr>
          <w:rFonts w:ascii="Times New Roman" w:hAnsi="Times New Roman"/>
          <w:szCs w:val="24"/>
        </w:rPr>
        <w:t xml:space="preserve"> 1 M KOH; </w:t>
      </w:r>
    </w:p>
    <w:p w14:paraId="68157D87" w14:textId="77777777" w:rsidR="003C12D4" w:rsidRDefault="003C12D4">
      <w:pPr>
        <w:widowControl w:val="0"/>
        <w:spacing w:after="0" w:line="480" w:lineRule="auto"/>
        <w:rPr>
          <w:rFonts w:ascii="Times New Roman" w:hAnsi="Times New Roman"/>
          <w:szCs w:val="24"/>
          <w:lang w:eastAsia="zh-CN"/>
        </w:rPr>
      </w:pPr>
    </w:p>
    <w:p w14:paraId="1B7D9E41" w14:textId="77777777" w:rsidR="003C12D4" w:rsidRDefault="00000000">
      <w:pPr>
        <w:spacing w:after="0" w:line="240" w:lineRule="auto"/>
        <w:jc w:val="left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szCs w:val="24"/>
          <w:lang w:eastAsia="zh-CN"/>
        </w:rPr>
        <w:br w:type="page"/>
      </w:r>
    </w:p>
    <w:p w14:paraId="3D2CE0E8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2D6EABD2" wp14:editId="1E99D364">
            <wp:extent cx="6073140" cy="2235835"/>
            <wp:effectExtent l="0" t="0" r="381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8" t="8919" r="11896" b="39002"/>
                    <a:stretch>
                      <a:fillRect/>
                    </a:stretch>
                  </pic:blipFill>
                  <pic:spPr>
                    <a:xfrm>
                      <a:off x="0" y="0"/>
                      <a:ext cx="6088443" cy="224165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CEE15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15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>C</w:t>
      </w:r>
      <w:r>
        <w:rPr>
          <w:rFonts w:ascii="Times New Roman" w:hAnsi="Times New Roman"/>
          <w:szCs w:val="24"/>
        </w:rPr>
        <w:t xml:space="preserve">hronopotentiometry </w:t>
      </w:r>
      <w:r>
        <w:rPr>
          <w:rFonts w:ascii="Times New Roman" w:eastAsia="SimSun" w:hAnsi="Times New Roman" w:hint="eastAsia"/>
          <w:szCs w:val="24"/>
          <w:lang w:eastAsia="zh-CN"/>
        </w:rPr>
        <w:t>curve</w:t>
      </w:r>
      <w:r>
        <w:rPr>
          <w:rFonts w:ascii="Times New Roman" w:hAnsi="Times New Roman"/>
          <w:szCs w:val="24"/>
        </w:rPr>
        <w:t xml:space="preserve">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>-700</w:t>
      </w:r>
      <w:r>
        <w:rPr>
          <w:rFonts w:ascii="Times New Roman" w:hAnsi="Times New Roman"/>
          <w:szCs w:val="24"/>
        </w:rPr>
        <w:t xml:space="preserve"> in 1 M KOH </w:t>
      </w:r>
      <w:r>
        <w:rPr>
          <w:rFonts w:ascii="Times New Roman" w:eastAsia="SimSun" w:hAnsi="Times New Roman" w:hint="eastAsia"/>
          <w:szCs w:val="24"/>
          <w:lang w:eastAsia="zh-CN"/>
        </w:rPr>
        <w:t>at a constant current density of 1000 mA/cm</w:t>
      </w:r>
      <w:r>
        <w:rPr>
          <w:rFonts w:ascii="Times New Roman" w:eastAsia="SimSun" w:hAnsi="Times New Roman" w:hint="eastAsia"/>
          <w:szCs w:val="24"/>
          <w:vertAlign w:val="superscript"/>
          <w:lang w:eastAsia="zh-CN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for 20 h.</w:t>
      </w:r>
    </w:p>
    <w:p w14:paraId="5406989C" w14:textId="77777777" w:rsidR="003C12D4" w:rsidRDefault="00000000">
      <w:pPr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szCs w:val="24"/>
          <w:lang w:eastAsia="zh-CN"/>
        </w:rPr>
        <w:br w:type="page"/>
      </w:r>
    </w:p>
    <w:p w14:paraId="1C19719D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noProof/>
          <w:szCs w:val="24"/>
        </w:rPr>
        <w:lastRenderedPageBreak/>
        <w:drawing>
          <wp:inline distT="0" distB="0" distL="0" distR="0" wp14:anchorId="032A5449" wp14:editId="09F027D9">
            <wp:extent cx="5943600" cy="2832100"/>
            <wp:effectExtent l="0" t="0" r="0" b="6350"/>
            <wp:docPr id="586311999" name="Picture 1" descr="A diagram of a molecu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311999" name="Picture 1" descr="A diagram of a molecule&#10;&#10;Description automatically generated with medium confidence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85ED1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16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eastAsia="SimSun" w:hAnsi="Times New Roman"/>
          <w:szCs w:val="24"/>
          <w:lang w:eastAsia="zh-CN"/>
        </w:rPr>
        <w:t xml:space="preserve"> Top views and side views of the optimized structure of: (a)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clean 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; (b) Isolated Co@W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; (c)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Co dimer@W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; (d)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Co trimer@W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; (e)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szCs w:val="24"/>
          <w:lang w:eastAsia="zh-CN"/>
        </w:rPr>
        <w:t>Co tetramer@W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. Color code: Co (pink), W (blue), C (dark grey), Ti (light grey).</w:t>
      </w:r>
    </w:p>
    <w:p w14:paraId="02CA360C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</w:p>
    <w:p w14:paraId="22880DBA" w14:textId="77777777" w:rsidR="003C12D4" w:rsidRDefault="00000000">
      <w:pPr>
        <w:spacing w:after="0" w:line="240" w:lineRule="auto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br w:type="page"/>
      </w:r>
    </w:p>
    <w:p w14:paraId="58836838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Note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2</w:t>
      </w:r>
      <w:r>
        <w:rPr>
          <w:rFonts w:ascii="Times New Roman" w:eastAsia="SimSun" w:hAnsi="Times New Roman"/>
          <w:b/>
          <w:bCs/>
          <w:szCs w:val="24"/>
          <w:lang w:eastAsia="zh-CN"/>
        </w:rPr>
        <w:t>: Effect of Co-Co coordination environment and H* surface coverage on the H* binding strength</w:t>
      </w:r>
    </w:p>
    <w:p w14:paraId="44422068" w14:textId="77777777" w:rsidR="003C12D4" w:rsidRDefault="00000000">
      <w:pPr>
        <w:pStyle w:val="VAFigureCaption"/>
        <w:rPr>
          <w:rFonts w:ascii="Times New Roman" w:eastAsia="SimSun" w:hAnsi="Times New Roman"/>
        </w:rPr>
      </w:pPr>
      <w:r>
        <w:rPr>
          <w:rFonts w:ascii="Times New Roman" w:eastAsia="SimSun" w:hAnsi="Times New Roman"/>
        </w:rPr>
        <w:t>To investigate the effect of Co-Co coordination environment on the H* binding strength, DFT calculations were performed for H* coverage varying from 0.11 ML to 0.44 ML on different 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surfaces (see methods section in the main text for details). We note that when geometric optimization calculations were performed with an initial guess of single H* placed symmetrically or asymmetrically on top or at the hollow sites involving Co atoms on all the considered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surfaces (i.e., isolated, dimer, trimer, and tetramer of Co), H* always shifted to a different binding site (</w:t>
      </w:r>
      <w:r>
        <w:rPr>
          <w:rFonts w:ascii="Times New Roman" w:eastAsia="SimSun" w:hAnsi="Times New Roman"/>
          <w:i/>
        </w:rPr>
        <w:t>fcc site</w:t>
      </w:r>
      <w:r>
        <w:rPr>
          <w:rFonts w:ascii="Times New Roman" w:eastAsia="SimSun" w:hAnsi="Times New Roman"/>
        </w:rPr>
        <w:t xml:space="preserve"> for isolated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and Co dimer/W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; </w:t>
      </w:r>
      <w:r>
        <w:rPr>
          <w:rFonts w:ascii="Times New Roman" w:eastAsia="SimSun" w:hAnsi="Times New Roman"/>
          <w:i/>
        </w:rPr>
        <w:t>W top site</w:t>
      </w:r>
      <w:r>
        <w:rPr>
          <w:rFonts w:ascii="Times New Roman" w:eastAsia="SimSun" w:hAnsi="Times New Roman"/>
        </w:rPr>
        <w:t xml:space="preserve"> for Co trimer/W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and Co tetramer/W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). Combining these observations with the most stable binding sites of H* on respective materials (Supplementary Figure </w:t>
      </w:r>
      <w:r>
        <w:rPr>
          <w:rFonts w:eastAsia="SimSun"/>
          <w:lang w:eastAsia="zh-CN"/>
        </w:rPr>
        <w:t>18</w:t>
      </w:r>
      <w:r>
        <w:rPr>
          <w:rFonts w:ascii="Times New Roman" w:eastAsia="SimSun" w:hAnsi="Times New Roman"/>
        </w:rPr>
        <w:t>), we note that H* does not prefer to bind with a single Co atom or ensemble of Co atoms, and therefore the expected active site for the HER chemistry at the isolated, dimer, trimer, and tetramer of Co on 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 xml:space="preserve">2 </w:t>
      </w:r>
      <w:r>
        <w:rPr>
          <w:rFonts w:ascii="Times New Roman" w:eastAsia="SimSun" w:hAnsi="Times New Roman"/>
        </w:rPr>
        <w:t xml:space="preserve">might be the Co-W interface (same as Co NP) . </w:t>
      </w:r>
    </w:p>
    <w:p w14:paraId="37E21D7C" w14:textId="77777777" w:rsidR="003C12D4" w:rsidRDefault="00000000">
      <w:pPr>
        <w:pStyle w:val="VAFigureCaption"/>
        <w:rPr>
          <w:rFonts w:eastAsia="SimSun"/>
          <w:lang w:eastAsia="zh-CN"/>
        </w:rPr>
      </w:pPr>
      <w:r>
        <w:rPr>
          <w:rFonts w:ascii="Times New Roman" w:eastAsia="SimSun" w:hAnsi="Times New Roman"/>
        </w:rPr>
        <w:t xml:space="preserve">Supplementary Figure </w:t>
      </w:r>
      <w:r>
        <w:rPr>
          <w:rFonts w:eastAsia="SimSun"/>
          <w:lang w:eastAsia="zh-CN"/>
        </w:rPr>
        <w:t>17b</w:t>
      </w:r>
      <w:r>
        <w:rPr>
          <w:rFonts w:ascii="Times New Roman" w:eastAsia="SimSun" w:hAnsi="Times New Roman"/>
        </w:rPr>
        <w:t xml:space="preserve"> summarizes trends in the adsorption free energies of H* (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nH*</m:t>
            </m:r>
          </m:sub>
        </m:sSub>
      </m:oMath>
      <w:r>
        <w:rPr>
          <w:rFonts w:ascii="Times New Roman" w:eastAsia="SimSun" w:hAnsi="Times New Roman"/>
        </w:rPr>
        <w:t>) for the most stable binding geometries across all the considered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surfaces and at H* coverages ranging from 0.11 ML to 0.44 ML. The snapshots of the most stable binding geometries of H* are provided in Figure </w:t>
      </w:r>
      <w:r>
        <w:rPr>
          <w:rFonts w:eastAsia="SimSun"/>
          <w:lang w:eastAsia="zh-CN"/>
        </w:rPr>
        <w:t>S18</w:t>
      </w:r>
      <w:r>
        <w:rPr>
          <w:rFonts w:ascii="Times New Roman" w:eastAsia="SimSun" w:hAnsi="Times New Roman"/>
        </w:rPr>
        <w:t>. The qualitative trend in the adsorption free energies across different surfaces remains same at all the considered H* coverages – H* binds weakest on isolated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and strongest on the clean 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, with an exception at 0.22 ML H* coverage where stronger H* binding was observed on Co tetramer/W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compared to that on clean 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with differential adsorption free energies of 0.39 eV. Such coverage sensitive trend in the 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nH*</m:t>
            </m:r>
          </m:sub>
        </m:sSub>
      </m:oMath>
      <w:r>
        <w:rPr>
          <w:rFonts w:ascii="Times New Roman" w:eastAsia="SimSun" w:hAnsi="Times New Roman"/>
        </w:rPr>
        <w:t xml:space="preserve"> across different materials indicates that the trend in the HER activity across different 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-based </w:t>
      </w:r>
      <w:r>
        <w:rPr>
          <w:rFonts w:ascii="Times New Roman" w:eastAsia="SimSun" w:hAnsi="Times New Roman"/>
        </w:rPr>
        <w:lastRenderedPageBreak/>
        <w:t xml:space="preserve">materials might be sensitive to the concentration of protons in the solution. This is evident from the significantly different experimental LSV profiles in the presence of 1 M KOH (Figure </w:t>
      </w:r>
      <w:r>
        <w:rPr>
          <w:rFonts w:eastAsia="SimSun"/>
          <w:lang w:eastAsia="zh-CN"/>
        </w:rPr>
        <w:t>4a</w:t>
      </w:r>
      <w:r>
        <w:rPr>
          <w:rFonts w:ascii="Times New Roman" w:eastAsia="SimSun" w:hAnsi="Times New Roman"/>
        </w:rPr>
        <w:t>) and 0.5 M H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SO</w:t>
      </w:r>
      <w:r>
        <w:rPr>
          <w:rFonts w:ascii="Times New Roman" w:eastAsia="SimSun" w:hAnsi="Times New Roman"/>
          <w:vertAlign w:val="subscript"/>
        </w:rPr>
        <w:t>4</w:t>
      </w:r>
      <w:r>
        <w:rPr>
          <w:rFonts w:ascii="Times New Roman" w:eastAsia="SimSun" w:hAnsi="Times New Roman"/>
        </w:rPr>
        <w:t xml:space="preserve"> (Figure </w:t>
      </w:r>
      <w:r>
        <w:rPr>
          <w:rFonts w:eastAsia="SimSun"/>
          <w:lang w:eastAsia="zh-CN"/>
        </w:rPr>
        <w:t>4b</w:t>
      </w:r>
      <w:r>
        <w:rPr>
          <w:rFonts w:ascii="Times New Roman" w:eastAsia="SimSun" w:hAnsi="Times New Roman"/>
        </w:rPr>
        <w:t xml:space="preserve">). Further, comparing the overall trend in the 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H*</m:t>
            </m:r>
          </m:sub>
        </m:sSub>
      </m:oMath>
      <w:r>
        <w:rPr>
          <w:rFonts w:ascii="Times New Roman" w:eastAsia="SimSun" w:hAnsi="Times New Roman"/>
        </w:rPr>
        <w:t xml:space="preserve"> across different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surfaces, H* binding becomes stronger as the Co starts aggregating, i.e., H* binds stronger on Co tetramer/W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(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H*</m:t>
            </m:r>
          </m:sub>
        </m:sSub>
      </m:oMath>
      <w:r>
        <w:rPr>
          <w:rFonts w:eastAsia="SimSun"/>
          <w:lang w:eastAsia="zh-CN"/>
        </w:rPr>
        <w:t>:</w:t>
      </w:r>
      <w:r>
        <w:rPr>
          <w:rFonts w:ascii="Times New Roman" w:eastAsia="SimSun" w:hAnsi="Times New Roman"/>
        </w:rPr>
        <w:t xml:space="preserve"> -0.49 eV) compared to that on isolated Co/W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>TiC</w:t>
      </w:r>
      <w:r>
        <w:rPr>
          <w:rFonts w:ascii="Times New Roman" w:eastAsia="SimSun" w:hAnsi="Times New Roman"/>
          <w:vertAlign w:val="subscript"/>
        </w:rPr>
        <w:t>2</w:t>
      </w:r>
      <w:r>
        <w:rPr>
          <w:rFonts w:ascii="Times New Roman" w:eastAsia="SimSun" w:hAnsi="Times New Roman"/>
        </w:rPr>
        <w:t xml:space="preserve"> (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H*</m:t>
            </m:r>
          </m:sub>
        </m:sSub>
      </m:oMath>
      <w:r>
        <w:rPr>
          <w:rFonts w:eastAsia="SimSun"/>
          <w:lang w:eastAsia="zh-CN"/>
        </w:rPr>
        <w:t>:</w:t>
      </w:r>
      <w:r>
        <w:rPr>
          <w:rFonts w:ascii="Times New Roman" w:eastAsia="SimSun" w:hAnsi="Times New Roman"/>
        </w:rPr>
        <w:t xml:space="preserve"> -0.38 eV). </w:t>
      </w:r>
      <w:r>
        <w:rPr>
          <w:rFonts w:eastAsia="SimSun"/>
          <w:lang w:eastAsia="zh-CN"/>
        </w:rPr>
        <w:t>This</w:t>
      </w:r>
      <w:r>
        <w:rPr>
          <w:rFonts w:ascii="Times New Roman" w:eastAsia="SimSun" w:hAnsi="Times New Roman"/>
        </w:rPr>
        <w:t xml:space="preserve"> trend in H* binding</w:t>
      </w:r>
      <w:r>
        <w:rPr>
          <w:rFonts w:eastAsia="SimSun"/>
          <w:lang w:eastAsia="zh-CN"/>
        </w:rPr>
        <w:t xml:space="preserve"> is explained by a strong correlation between 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H*</m:t>
            </m:r>
          </m:sub>
        </m:sSub>
      </m:oMath>
      <w:r>
        <w:rPr>
          <w:rFonts w:eastAsia="SimSun"/>
          <w:lang w:eastAsia="zh-CN"/>
        </w:rPr>
        <w:t xml:space="preserve"> and the </w:t>
      </w:r>
      <w:r>
        <w:rPr>
          <w:rFonts w:eastAsia="SimSun"/>
          <w:i/>
        </w:rPr>
        <w:t>d</w:t>
      </w:r>
      <w:r>
        <w:rPr>
          <w:rFonts w:eastAsia="SimSun"/>
          <w:lang w:eastAsia="zh-CN"/>
        </w:rPr>
        <w:t>-band center of the W closest to H* (Figure 5b). This correlation suggests that the addition of Co on W</w:t>
      </w:r>
      <w:r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>TiC</w:t>
      </w:r>
      <w:r>
        <w:rPr>
          <w:rFonts w:eastAsia="SimSun"/>
          <w:vertAlign w:val="subscript"/>
          <w:lang w:eastAsia="zh-CN"/>
        </w:rPr>
        <w:t>2</w:t>
      </w:r>
      <w:r>
        <w:rPr>
          <w:rFonts w:eastAsia="SimSun"/>
          <w:lang w:eastAsia="zh-CN"/>
        </w:rPr>
        <w:t xml:space="preserve"> surface alters the electronic structure of the interfacial W atoms, which ultimately impacts the binding strength of H* at the Co-W interface.</w:t>
      </w:r>
    </w:p>
    <w:p w14:paraId="7891E081" w14:textId="77777777" w:rsidR="003C12D4" w:rsidRDefault="00000000">
      <w:pPr>
        <w:spacing w:after="0" w:line="24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szCs w:val="24"/>
          <w:lang w:eastAsia="zh-CN"/>
        </w:rPr>
        <w:br w:type="page"/>
      </w:r>
    </w:p>
    <w:p w14:paraId="0F5EB97D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lang w:eastAsia="zh-CN"/>
        </w:rPr>
      </w:pPr>
      <w:r>
        <w:rPr>
          <w:rFonts w:ascii="Times New Roman" w:eastAsia="SimSun" w:hAnsi="Times New Roman"/>
          <w:noProof/>
          <w:szCs w:val="24"/>
          <w:lang w:eastAsia="zh-CN"/>
        </w:rPr>
        <w:lastRenderedPageBreak/>
        <w:drawing>
          <wp:inline distT="0" distB="0" distL="0" distR="0" wp14:anchorId="5D357391" wp14:editId="00F05281">
            <wp:extent cx="6038215" cy="2514600"/>
            <wp:effectExtent l="0" t="0" r="0" b="0"/>
            <wp:docPr id="12936968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696891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3649" b="-8998"/>
                    <a:stretch>
                      <a:fillRect/>
                    </a:stretch>
                  </pic:blipFill>
                  <pic:spPr>
                    <a:xfrm>
                      <a:off x="0" y="0"/>
                      <a:ext cx="6038215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/>
          <w:b/>
          <w:bCs/>
          <w:lang w:eastAsia="zh-CN"/>
        </w:rPr>
        <w:t>17</w:t>
      </w:r>
      <w:r>
        <w:rPr>
          <w:rFonts w:ascii="Times New Roman" w:hAnsi="Times New Roman"/>
          <w:b/>
          <w:bCs/>
        </w:rPr>
        <w:t>.</w:t>
      </w:r>
      <w:r>
        <w:rPr>
          <w:rFonts w:ascii="Times New Roman" w:hAnsi="Times New Roman"/>
        </w:rPr>
        <w:t xml:space="preserve"> (a) </w:t>
      </w:r>
      <w:r>
        <w:rPr>
          <w:rFonts w:ascii="Times New Roman" w:eastAsia="SimSun" w:hAnsi="Times New Roman"/>
          <w:lang w:eastAsia="zh-CN"/>
        </w:rPr>
        <w:t>Formation energy of Co cluster (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E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Co</m:t>
            </m:r>
          </m:sub>
        </m:sSub>
      </m:oMath>
      <w:r>
        <w:rPr>
          <w:rFonts w:ascii="Times New Roman" w:eastAsia="SimSun" w:hAnsi="Times New Roman"/>
          <w:lang w:eastAsia="zh-CN"/>
        </w:rPr>
        <w:t>, eV) for different configurations of Co on W</w:t>
      </w:r>
      <w:r>
        <w:rPr>
          <w:rFonts w:ascii="Times New Roman" w:eastAsia="SimSun" w:hAnsi="Times New Roman"/>
          <w:vertAlign w:val="subscript"/>
          <w:lang w:eastAsia="zh-CN"/>
        </w:rPr>
        <w:t>2</w:t>
      </w:r>
      <w:r>
        <w:rPr>
          <w:rFonts w:ascii="Times New Roman" w:eastAsia="SimSun" w:hAnsi="Times New Roman"/>
          <w:lang w:eastAsia="zh-CN"/>
        </w:rPr>
        <w:t>TiC</w:t>
      </w:r>
      <w:r>
        <w:rPr>
          <w:rFonts w:ascii="Times New Roman" w:eastAsia="SimSun" w:hAnsi="Times New Roman"/>
          <w:vertAlign w:val="subscript"/>
          <w:lang w:eastAsia="zh-CN"/>
        </w:rPr>
        <w:t>2</w:t>
      </w:r>
      <w:r>
        <w:rPr>
          <w:rFonts w:ascii="Times New Roman" w:eastAsia="SimSun" w:hAnsi="Times New Roman"/>
          <w:lang w:eastAsia="zh-CN"/>
        </w:rPr>
        <w:t xml:space="preserve"> at respective H* coverages (ML), (b) Cumulative adsorption free energy of nH* (</w:t>
      </w:r>
      <m:oMath>
        <m:sSub>
          <m:sSubPr>
            <m:ctrlPr>
              <w:rPr>
                <w:rFonts w:ascii="Cambria Math" w:eastAsia="SimSun" w:hAnsi="Cambria Math"/>
                <w:i/>
                <w:szCs w:val="24"/>
                <w:lang w:eastAsia="zh-CN"/>
              </w:rPr>
            </m:ctrlPr>
          </m:sSubPr>
          <m:e>
            <m:r>
              <w:rPr>
                <w:rFonts w:ascii="Cambria Math" w:eastAsia="SimSun" w:hAnsi="Cambria Math"/>
                <w:szCs w:val="24"/>
                <w:lang w:eastAsia="zh-CN"/>
              </w:rPr>
              <m:t>G</m:t>
            </m:r>
          </m:e>
          <m:sub>
            <m:r>
              <w:rPr>
                <w:rFonts w:ascii="Cambria Math" w:eastAsia="SimSun" w:hAnsi="Cambria Math"/>
                <w:szCs w:val="24"/>
                <w:lang w:eastAsia="zh-CN"/>
              </w:rPr>
              <m:t>nH*</m:t>
            </m:r>
          </m:sub>
        </m:sSub>
      </m:oMath>
      <w:r>
        <w:rPr>
          <w:rFonts w:ascii="Times New Roman" w:eastAsia="SimSun" w:hAnsi="Times New Roman"/>
          <w:lang w:eastAsia="zh-CN"/>
        </w:rPr>
        <w:t>, eV) on different W</w:t>
      </w:r>
      <w:r>
        <w:rPr>
          <w:rFonts w:ascii="Times New Roman" w:eastAsia="SimSun" w:hAnsi="Times New Roman"/>
          <w:vertAlign w:val="subscript"/>
          <w:lang w:eastAsia="zh-CN"/>
        </w:rPr>
        <w:t>2</w:t>
      </w:r>
      <w:r>
        <w:rPr>
          <w:rFonts w:ascii="Times New Roman" w:eastAsia="SimSun" w:hAnsi="Times New Roman"/>
          <w:lang w:eastAsia="zh-CN"/>
        </w:rPr>
        <w:t>TiC</w:t>
      </w:r>
      <w:r>
        <w:rPr>
          <w:rFonts w:ascii="Times New Roman" w:eastAsia="SimSun" w:hAnsi="Times New Roman"/>
          <w:vertAlign w:val="subscript"/>
          <w:lang w:eastAsia="zh-CN"/>
        </w:rPr>
        <w:t>2</w:t>
      </w:r>
      <w:r>
        <w:rPr>
          <w:rFonts w:ascii="Times New Roman" w:eastAsia="SimSun" w:hAnsi="Times New Roman"/>
          <w:lang w:eastAsia="zh-CN"/>
        </w:rPr>
        <w:t xml:space="preserve"> surfaces at respective H* coverages (ML). All the data points for a given surface coverage of H* are joined by a solid line for ease of visualization of the overall trend in both the figures. The snapshots of the most stable optimized geometries of respective systems are shown in Figure S18.</w:t>
      </w:r>
    </w:p>
    <w:p w14:paraId="3FFEB75E" w14:textId="77777777" w:rsidR="003C12D4" w:rsidRDefault="00000000">
      <w:pPr>
        <w:spacing w:after="0" w:line="240" w:lineRule="auto"/>
        <w:jc w:val="left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szCs w:val="24"/>
          <w:lang w:eastAsia="zh-CN"/>
        </w:rPr>
        <w:br w:type="page"/>
      </w:r>
    </w:p>
    <w:p w14:paraId="29CD6B83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noProof/>
          <w:szCs w:val="24"/>
          <w:lang w:eastAsia="zh-CN"/>
        </w:rPr>
        <w:lastRenderedPageBreak/>
        <w:drawing>
          <wp:inline distT="0" distB="0" distL="0" distR="0" wp14:anchorId="0F23B777" wp14:editId="6841FB63">
            <wp:extent cx="5930900" cy="4667250"/>
            <wp:effectExtent l="0" t="0" r="0" b="6350"/>
            <wp:docPr id="5892249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22492" name="Picture 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1847" cy="46757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A25CAD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18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hAnsi="Times New Roman"/>
          <w:szCs w:val="24"/>
        </w:rPr>
        <w:t xml:space="preserve">Top views of the most stable binding geometries of H* on isolated Co, Co dimer, Co trimer, and Co tetramer at H* coverage of (a)-(d) 0.11 ML, (e)-(h) 0.22 ML, (i)-(l) 0.33 ML, and (m)-(p) 0.44 ML. </w:t>
      </w:r>
      <w:r>
        <w:rPr>
          <w:rFonts w:ascii="Times New Roman" w:eastAsia="SimSun" w:hAnsi="Times New Roman"/>
          <w:szCs w:val="24"/>
          <w:lang w:eastAsia="zh-CN"/>
        </w:rPr>
        <w:t>Atom color code: H (yellow), Co (pink), W (blue), C (dark grey), Ti (light grey).</w:t>
      </w:r>
    </w:p>
    <w:p w14:paraId="17CA3BC1" w14:textId="77777777" w:rsidR="003C12D4" w:rsidRDefault="00000000">
      <w:pPr>
        <w:spacing w:after="0" w:line="240" w:lineRule="auto"/>
        <w:jc w:val="left"/>
        <w:rPr>
          <w:rFonts w:ascii="Times New Roman" w:eastAsia="SimSun" w:hAnsi="Times New Roman"/>
          <w:szCs w:val="24"/>
          <w:highlight w:val="green"/>
          <w:lang w:eastAsia="zh-CN"/>
        </w:rPr>
      </w:pPr>
      <w:r>
        <w:rPr>
          <w:rFonts w:ascii="Times New Roman" w:eastAsia="SimSun" w:hAnsi="Times New Roman"/>
          <w:szCs w:val="24"/>
          <w:highlight w:val="green"/>
          <w:lang w:eastAsia="zh-CN"/>
        </w:rPr>
        <w:br w:type="page"/>
      </w:r>
    </w:p>
    <w:p w14:paraId="44632BF6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DengXian" w:hAnsi="Times New Roman"/>
          <w:b/>
          <w:bCs/>
          <w:kern w:val="2"/>
          <w:szCs w:val="24"/>
          <w:lang w:eastAsia="zh-CN" w:bidi="ar"/>
        </w:rPr>
      </w:pPr>
      <w:r>
        <w:rPr>
          <w:rFonts w:ascii="Times New Roman" w:eastAsia="DengXian" w:hAnsi="Times New Roman"/>
          <w:b/>
          <w:bCs/>
          <w:noProof/>
          <w:kern w:val="2"/>
          <w:szCs w:val="24"/>
          <w:lang w:eastAsia="zh-CN" w:bidi="ar"/>
        </w:rPr>
        <w:lastRenderedPageBreak/>
        <w:drawing>
          <wp:inline distT="0" distB="0" distL="0" distR="0" wp14:anchorId="4655F6C8" wp14:editId="6AE92D1F">
            <wp:extent cx="4760595" cy="2789555"/>
            <wp:effectExtent l="0" t="0" r="1905" b="4445"/>
            <wp:docPr id="864453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453084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0595" cy="278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B9A55D5" w14:textId="77777777" w:rsidR="003C12D4" w:rsidRDefault="00000000">
      <w:pPr>
        <w:widowControl w:val="0"/>
        <w:spacing w:after="0" w:line="480" w:lineRule="auto"/>
        <w:rPr>
          <w:rFonts w:ascii="Times New Roman" w:eastAsia="DengXian" w:hAnsi="Times New Roman"/>
          <w:szCs w:val="21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DengXian" w:hAnsi="Times New Roman"/>
          <w:b/>
          <w:bCs/>
          <w:kern w:val="2"/>
          <w:szCs w:val="24"/>
          <w:lang w:eastAsia="zh-CN" w:bidi="ar"/>
        </w:rPr>
        <w:t>1</w:t>
      </w:r>
      <w:r>
        <w:rPr>
          <w:rFonts w:ascii="Times New Roman" w:eastAsia="DengXian" w:hAnsi="Times New Roman" w:hint="eastAsia"/>
          <w:b/>
          <w:bCs/>
          <w:kern w:val="2"/>
          <w:szCs w:val="24"/>
          <w:lang w:eastAsia="zh-CN" w:bidi="ar"/>
        </w:rPr>
        <w:t>9</w:t>
      </w:r>
      <w:r>
        <w:rPr>
          <w:rFonts w:ascii="Times New Roman" w:eastAsia="DengXian" w:hAnsi="Times New Roman"/>
          <w:b/>
          <w:bCs/>
          <w:kern w:val="2"/>
          <w:szCs w:val="24"/>
          <w:lang w:eastAsia="zh-CN" w:bidi="ar"/>
        </w:rPr>
        <w:t>.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 xml:space="preserve"> (a), (b) </w:t>
      </w:r>
      <w:r>
        <w:rPr>
          <w:rFonts w:ascii="Times New Roman" w:eastAsia="SimSun" w:hAnsi="Times New Roman"/>
          <w:szCs w:val="24"/>
          <w:lang w:eastAsia="zh-CN"/>
        </w:rPr>
        <w:t>Top view and side view of Co nanoparticle/W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>TiC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 xml:space="preserve"> system used for theoretical calculations. Atom color code: H (yellow), Co (pink), W (blue), C (dark grey), Ti (light grey).</w:t>
      </w:r>
    </w:p>
    <w:p w14:paraId="5ADBA192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</w:p>
    <w:p w14:paraId="36D24C09" w14:textId="77777777" w:rsidR="003C12D4" w:rsidRDefault="00000000">
      <w:pPr>
        <w:spacing w:after="0" w:line="240" w:lineRule="auto"/>
        <w:jc w:val="left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szCs w:val="24"/>
          <w:lang w:eastAsia="zh-CN"/>
        </w:rPr>
        <w:br w:type="page"/>
      </w:r>
    </w:p>
    <w:p w14:paraId="3CBBC19F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lastRenderedPageBreak/>
        <w:drawing>
          <wp:inline distT="0" distB="0" distL="114300" distR="114300" wp14:anchorId="0E74EFA2" wp14:editId="3719C696">
            <wp:extent cx="3935095" cy="3096260"/>
            <wp:effectExtent l="0" t="0" r="1905" b="2540"/>
            <wp:docPr id="16" name="图片 16" descr="Fig.S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.S20"/>
                    <pic:cNvPicPr>
                      <a:picLocks noChangeAspect="1"/>
                    </pic:cNvPicPr>
                  </pic:nvPicPr>
                  <pic:blipFill>
                    <a:blip r:embed="rId27"/>
                    <a:srcRect l="2726" t="5103" r="35251" b="5689"/>
                    <a:stretch>
                      <a:fillRect/>
                    </a:stretch>
                  </pic:blipFill>
                  <pic:spPr>
                    <a:xfrm>
                      <a:off x="0" y="0"/>
                      <a:ext cx="3935095" cy="309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FCE20" w14:textId="77777777" w:rsidR="003C12D4" w:rsidRDefault="00000000">
      <w:pPr>
        <w:widowControl w:val="0"/>
        <w:spacing w:after="0" w:line="480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20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High current </w:t>
      </w:r>
      <w:r>
        <w:rPr>
          <w:rFonts w:ascii="Times New Roman" w:hAnsi="Times New Roman"/>
          <w:szCs w:val="24"/>
        </w:rPr>
        <w:t xml:space="preserve">LSV curves of 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-700 and </w:t>
      </w:r>
      <w:r>
        <w:rPr>
          <w:rFonts w:ascii="Times New Roman" w:hAnsi="Times New Roman"/>
          <w:szCs w:val="24"/>
        </w:rPr>
        <w:t xml:space="preserve">commercial Pt/C </w:t>
      </w:r>
      <w:r>
        <w:rPr>
          <w:rFonts w:ascii="Times New Roman" w:eastAsia="SimSun" w:hAnsi="Times New Roman" w:hint="eastAsia"/>
          <w:szCs w:val="24"/>
          <w:lang w:eastAsia="zh-CN"/>
        </w:rPr>
        <w:t>paired with</w:t>
      </w:r>
      <w:r>
        <w:rPr>
          <w:rFonts w:ascii="Times New Roman" w:eastAsia="SimSun" w:hAnsi="Times New Roman"/>
          <w:szCs w:val="24"/>
          <w:lang w:eastAsia="zh-CN"/>
        </w:rPr>
        <w:t xml:space="preserve"> IrO</w:t>
      </w:r>
      <w:r>
        <w:rPr>
          <w:rFonts w:ascii="Times New Roman" w:eastAsia="SimSun" w:hAnsi="Times New Roman"/>
          <w:szCs w:val="24"/>
          <w:vertAlign w:val="subscript"/>
          <w:lang w:eastAsia="zh-CN"/>
        </w:rPr>
        <w:t>2</w:t>
      </w:r>
      <w:r>
        <w:rPr>
          <w:rFonts w:ascii="Times New Roman" w:eastAsia="SimSun" w:hAnsi="Times New Roman"/>
          <w:szCs w:val="24"/>
          <w:lang w:eastAsia="zh-CN"/>
        </w:rPr>
        <w:t xml:space="preserve"> </w:t>
      </w:r>
      <w:r>
        <w:rPr>
          <w:rFonts w:ascii="Times New Roman" w:hAnsi="Times New Roman"/>
          <w:szCs w:val="24"/>
        </w:rPr>
        <w:t xml:space="preserve">in </w:t>
      </w:r>
      <w:r>
        <w:rPr>
          <w:rFonts w:ascii="Times New Roman" w:eastAsia="SimSun" w:hAnsi="Times New Roman"/>
          <w:szCs w:val="24"/>
          <w:lang w:eastAsia="zh-CN"/>
        </w:rPr>
        <w:t>the</w:t>
      </w:r>
      <w:r>
        <w:rPr>
          <w:rFonts w:ascii="Times New Roman" w:eastAsia="SimSun" w:hAnsi="Times New Roman" w:hint="eastAsia"/>
          <w:szCs w:val="24"/>
          <w:lang w:eastAsia="zh-CN"/>
        </w:rPr>
        <w:t xml:space="preserve"> flow cell electrolyzer in</w:t>
      </w:r>
      <w:r>
        <w:rPr>
          <w:rFonts w:ascii="Times New Roman" w:hAnsi="Times New Roman"/>
          <w:szCs w:val="24"/>
        </w:rPr>
        <w:t xml:space="preserve"> 1 M KOH at </w:t>
      </w:r>
      <w:r>
        <w:rPr>
          <w:rStyle w:val="normaltextrun"/>
          <w:rFonts w:ascii="Times New Roman" w:hAnsi="Times New Roman"/>
          <w:color w:val="000000"/>
          <w:shd w:val="clear" w:color="auto" w:fill="FFFFFF"/>
        </w:rPr>
        <w:t>60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>℃</w:t>
      </w:r>
      <w:r>
        <w:rPr>
          <w:rFonts w:ascii="Times New Roman" w:hAnsi="Times New Roman"/>
          <w:szCs w:val="24"/>
        </w:rPr>
        <w:t>.</w:t>
      </w:r>
    </w:p>
    <w:p w14:paraId="3593618A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 w:hint="eastAsia"/>
          <w:noProof/>
          <w:szCs w:val="24"/>
          <w:lang w:eastAsia="zh-CN"/>
        </w:rPr>
        <w:lastRenderedPageBreak/>
        <w:drawing>
          <wp:inline distT="0" distB="0" distL="114300" distR="114300" wp14:anchorId="72E42CD3" wp14:editId="36988DAB">
            <wp:extent cx="4383405" cy="4816475"/>
            <wp:effectExtent l="0" t="0" r="0" b="9525"/>
            <wp:docPr id="15" name="图片 15" descr="Fig.S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.S19"/>
                    <pic:cNvPicPr>
                      <a:picLocks noChangeAspect="1"/>
                    </pic:cNvPicPr>
                  </pic:nvPicPr>
                  <pic:blipFill>
                    <a:blip r:embed="rId28"/>
                    <a:srcRect r="6637" b="3245"/>
                    <a:stretch>
                      <a:fillRect/>
                    </a:stretch>
                  </pic:blipFill>
                  <pic:spPr>
                    <a:xfrm>
                      <a:off x="0" y="0"/>
                      <a:ext cx="4383405" cy="481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1C2A5" w14:textId="77777777" w:rsidR="003C12D4" w:rsidRDefault="00000000">
      <w:pPr>
        <w:widowControl w:val="0"/>
        <w:spacing w:after="0" w:line="480" w:lineRule="auto"/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</w:pPr>
      <w:r>
        <w:rPr>
          <w:rFonts w:ascii="Times New Roman" w:hAnsi="Times New Roman"/>
          <w:b/>
          <w:bCs/>
          <w:szCs w:val="24"/>
        </w:rPr>
        <w:t xml:space="preserve">Supplementary Fig. </w:t>
      </w:r>
      <w:r>
        <w:rPr>
          <w:rStyle w:val="normaltextrun"/>
          <w:rFonts w:eastAsia="SimSun" w:hint="eastAsia"/>
          <w:b/>
          <w:bCs/>
          <w:color w:val="000000"/>
          <w:shd w:val="clear" w:color="auto" w:fill="FFFFFF"/>
          <w:lang w:eastAsia="zh-CN"/>
        </w:rPr>
        <w:t>21</w:t>
      </w:r>
      <w:r>
        <w:rPr>
          <w:rStyle w:val="normaltextrun"/>
          <w:b/>
          <w:bCs/>
          <w:color w:val="000000"/>
          <w:shd w:val="clear" w:color="auto" w:fill="FFFFFF"/>
        </w:rPr>
        <w:t>.</w:t>
      </w:r>
      <w:r>
        <w:rPr>
          <w:rStyle w:val="normaltextrun"/>
          <w:color w:val="000000"/>
          <w:shd w:val="clear" w:color="auto" w:fill="FFFFFF"/>
        </w:rPr>
        <w:t xml:space="preserve"> </w:t>
      </w:r>
      <w:r>
        <w:rPr>
          <w:rStyle w:val="normaltextrun"/>
          <w:b/>
          <w:bCs/>
          <w:color w:val="000000"/>
          <w:shd w:val="clear" w:color="auto" w:fill="FFFFFF"/>
        </w:rPr>
        <w:t>Flow cell electrolyz</w:t>
      </w:r>
      <w:r>
        <w:rPr>
          <w:rStyle w:val="normaltextrun"/>
          <w:rFonts w:ascii="Times New Roman" w:eastAsia="SimSun" w:hAnsi="Times New Roman"/>
          <w:b/>
          <w:bCs/>
          <w:color w:val="000000"/>
          <w:shd w:val="clear" w:color="auto" w:fill="FFFFFF"/>
        </w:rPr>
        <w:t xml:space="preserve">er tests </w:t>
      </w:r>
      <w:r>
        <w:rPr>
          <w:rStyle w:val="normaltextrun"/>
          <w:rFonts w:ascii="Times New Roman" w:eastAsia="SimSun" w:hAnsi="Times New Roman" w:hint="eastAsia"/>
          <w:b/>
          <w:bCs/>
          <w:color w:val="000000"/>
          <w:shd w:val="clear" w:color="auto" w:fill="FFFFFF"/>
          <w:lang w:eastAsia="zh-CN"/>
        </w:rPr>
        <w:t>at</w:t>
      </w:r>
      <w:r>
        <w:rPr>
          <w:rStyle w:val="normaltextrun"/>
          <w:rFonts w:ascii="Times New Roman" w:eastAsia="SimSun" w:hAnsi="Times New Roman"/>
          <w:b/>
          <w:bCs/>
          <w:color w:val="000000"/>
          <w:shd w:val="clear" w:color="auto" w:fill="FFFFFF"/>
        </w:rPr>
        <w:t xml:space="preserve"> </w:t>
      </w:r>
      <w:r>
        <w:rPr>
          <w:rStyle w:val="normaltextrun"/>
          <w:rFonts w:ascii="Times New Roman" w:eastAsia="SimSun" w:hAnsi="Times New Roman" w:hint="eastAsia"/>
          <w:b/>
          <w:bCs/>
          <w:color w:val="000000"/>
          <w:shd w:val="clear" w:color="auto" w:fill="FFFFFF"/>
          <w:lang w:eastAsia="zh-CN"/>
        </w:rPr>
        <w:t>high</w:t>
      </w:r>
      <w:r>
        <w:rPr>
          <w:rStyle w:val="normaltextrun"/>
          <w:rFonts w:ascii="Times New Roman" w:eastAsia="SimSun" w:hAnsi="Times New Roman"/>
          <w:b/>
          <w:bCs/>
          <w:color w:val="000000"/>
          <w:shd w:val="clear" w:color="auto" w:fill="FFFFFF"/>
        </w:rPr>
        <w:t xml:space="preserve"> temp</w:t>
      </w:r>
      <w:r>
        <w:rPr>
          <w:rStyle w:val="normaltextrun"/>
          <w:b/>
          <w:bCs/>
          <w:color w:val="000000"/>
          <w:shd w:val="clear" w:color="auto" w:fill="FFFFFF"/>
        </w:rPr>
        <w:t xml:space="preserve">erature. </w:t>
      </w:r>
      <w:r>
        <w:rPr>
          <w:rStyle w:val="normaltextrun"/>
          <w:color w:val="000000"/>
          <w:shd w:val="clear" w:color="auto" w:fill="FFFFFF"/>
        </w:rPr>
        <w:t>(a) Chronopotentiometry profiles of Co/W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bscript"/>
        </w:rPr>
        <w:t>2</w:t>
      </w:r>
      <w:r>
        <w:rPr>
          <w:rStyle w:val="normaltextrun"/>
          <w:color w:val="000000"/>
          <w:shd w:val="clear" w:color="auto" w:fill="FFFFFF"/>
        </w:rPr>
        <w:t>TiC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bscript"/>
        </w:rPr>
        <w:t>2</w:t>
      </w:r>
      <w:r>
        <w:rPr>
          <w:rStyle w:val="normaltextrun"/>
          <w:color w:val="000000"/>
          <w:shd w:val="clear" w:color="auto" w:fill="FFFFFF"/>
        </w:rPr>
        <w:t xml:space="preserve">-700 </w:t>
      </w:r>
      <w:r>
        <w:rPr>
          <w:rStyle w:val="normaltextrun"/>
          <w:rFonts w:ascii="SimSun" w:eastAsia="SimSun" w:hAnsi="SimSun" w:cs="SimSun" w:hint="eastAsia"/>
          <w:color w:val="000000"/>
          <w:shd w:val="clear" w:color="auto" w:fill="FFFFFF"/>
          <w:lang w:eastAsia="zh-CN"/>
        </w:rPr>
        <w:t>(</w:t>
      </w:r>
      <w:r>
        <w:rPr>
          <w:rStyle w:val="normaltextrun"/>
          <w:color w:val="000000"/>
          <w:shd w:val="clear" w:color="auto" w:fill="FFFFFF"/>
        </w:rPr>
        <w:t>paired with IrO</w:t>
      </w:r>
      <w:r>
        <w:rPr>
          <w:rStyle w:val="normaltextrun"/>
          <w:color w:val="000000"/>
          <w:shd w:val="clear" w:color="auto" w:fill="FFFFFF"/>
          <w:vertAlign w:val="subscript"/>
        </w:rPr>
        <w:t>2</w:t>
      </w:r>
      <w:r>
        <w:rPr>
          <w:rStyle w:val="normaltextrun"/>
          <w:color w:val="000000"/>
          <w:shd w:val="clear" w:color="auto" w:fill="FFFFFF"/>
        </w:rPr>
        <w:t>) at 50-400 mA/cm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perscript"/>
        </w:rPr>
        <w:t>2</w:t>
      </w:r>
      <w:r>
        <w:rPr>
          <w:rStyle w:val="normaltextrun"/>
          <w:color w:val="000000"/>
          <w:shd w:val="clear" w:color="auto" w:fill="FFFFFF"/>
        </w:rPr>
        <w:t xml:space="preserve"> in 1 M KOH at </w:t>
      </w:r>
      <w:r>
        <w:rPr>
          <w:rStyle w:val="normaltextrun"/>
          <w:rFonts w:ascii="Times New Roman" w:hAnsi="Times New Roman"/>
          <w:color w:val="000000"/>
          <w:shd w:val="clear" w:color="auto" w:fill="FFFFFF"/>
        </w:rPr>
        <w:t>60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 xml:space="preserve">℃ </w:t>
      </w:r>
      <w:r>
        <w:rPr>
          <w:rStyle w:val="normaltextrun"/>
          <w:color w:val="000000"/>
          <w:shd w:val="clear" w:color="auto" w:fill="FFFFFF"/>
        </w:rPr>
        <w:t>compared with Pt/C; (c) Comparison of hydrogen production and hydrogen Faradic efficiency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perscript"/>
        </w:rPr>
        <w:t xml:space="preserve"> </w:t>
      </w:r>
      <w:r>
        <w:rPr>
          <w:rStyle w:val="normaltextrun"/>
          <w:color w:val="000000"/>
          <w:shd w:val="clear" w:color="auto" w:fill="FFFFFF"/>
        </w:rPr>
        <w:t>on Co/W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bscript"/>
        </w:rPr>
        <w:t>2</w:t>
      </w:r>
      <w:r>
        <w:rPr>
          <w:rStyle w:val="normaltextrun"/>
          <w:color w:val="000000"/>
          <w:shd w:val="clear" w:color="auto" w:fill="FFFFFF"/>
        </w:rPr>
        <w:t>TiC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bscript"/>
        </w:rPr>
        <w:t>2</w:t>
      </w:r>
      <w:r>
        <w:rPr>
          <w:rStyle w:val="normaltextrun"/>
          <w:color w:val="000000"/>
          <w:shd w:val="clear" w:color="auto" w:fill="FFFFFF"/>
        </w:rPr>
        <w:t>-700 and Pt/C at 50-400 mA/cm</w:t>
      </w:r>
      <w:r>
        <w:rPr>
          <w:rStyle w:val="normaltextrun"/>
          <w:color w:val="000000"/>
          <w:sz w:val="19"/>
          <w:szCs w:val="19"/>
          <w:shd w:val="clear" w:color="auto" w:fill="FFFFFF"/>
          <w:vertAlign w:val="superscript"/>
        </w:rPr>
        <w:t>2</w:t>
      </w:r>
      <w:r>
        <w:rPr>
          <w:rStyle w:val="normaltextrun"/>
          <w:color w:val="000000"/>
          <w:shd w:val="clear" w:color="auto" w:fill="FFFFFF"/>
        </w:rPr>
        <w:t xml:space="preserve"> at </w:t>
      </w:r>
      <w:r>
        <w:rPr>
          <w:rStyle w:val="normaltextrun"/>
          <w:rFonts w:ascii="Times New Roman" w:hAnsi="Times New Roman"/>
          <w:color w:val="000000"/>
          <w:shd w:val="clear" w:color="auto" w:fill="FFFFFF"/>
        </w:rPr>
        <w:t>60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>℃.</w:t>
      </w:r>
    </w:p>
    <w:p w14:paraId="2E653A24" w14:textId="77777777" w:rsidR="003C12D4" w:rsidRDefault="00000000">
      <w:pPr>
        <w:spacing w:after="0" w:line="240" w:lineRule="auto"/>
        <w:jc w:val="left"/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</w:pP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br w:type="page"/>
      </w:r>
    </w:p>
    <w:p w14:paraId="7C7436D7" w14:textId="77777777" w:rsidR="003C12D4" w:rsidRDefault="00000000">
      <w:pPr>
        <w:widowControl w:val="0"/>
        <w:spacing w:beforeAutospacing="1" w:after="0" w:line="480" w:lineRule="auto"/>
        <w:rPr>
          <w:rFonts w:ascii="Times New Roman" w:eastAsia="SimSun" w:hAnsi="Times New Roman"/>
          <w:b/>
          <w:bCs/>
          <w:szCs w:val="24"/>
          <w:lang w:eastAsia="zh-CN" w:bidi="ar"/>
        </w:rPr>
      </w:pPr>
      <w:r>
        <w:rPr>
          <w:rFonts w:ascii="Times New Roman" w:eastAsia="SimSun" w:hAnsi="Times New Roman"/>
          <w:b/>
          <w:bCs/>
          <w:szCs w:val="24"/>
          <w:lang w:eastAsia="zh-CN" w:bidi="ar"/>
        </w:rPr>
        <w:lastRenderedPageBreak/>
        <w:t>Supplementary Note</w:t>
      </w:r>
      <w:r>
        <w:rPr>
          <w:rFonts w:ascii="Times New Roman" w:eastAsia="SimSun" w:hAnsi="Times New Roman" w:hint="eastAsia"/>
          <w:b/>
          <w:bCs/>
          <w:szCs w:val="24"/>
          <w:lang w:eastAsia="zh-CN" w:bidi="ar"/>
        </w:rPr>
        <w:t xml:space="preserve"> 3</w:t>
      </w:r>
      <w:r>
        <w:rPr>
          <w:rFonts w:ascii="Times New Roman" w:eastAsia="SimSun" w:hAnsi="Times New Roman"/>
          <w:b/>
          <w:bCs/>
          <w:szCs w:val="24"/>
          <w:lang w:eastAsia="zh-CN" w:bidi="ar"/>
        </w:rPr>
        <w:t>: E</w:t>
      </w:r>
      <w:r>
        <w:rPr>
          <w:rFonts w:ascii="Times New Roman" w:eastAsia="SimSun" w:hAnsi="Times New Roman" w:hint="eastAsia"/>
          <w:b/>
          <w:bCs/>
          <w:szCs w:val="24"/>
          <w:lang w:eastAsia="zh-CN" w:bidi="ar"/>
        </w:rPr>
        <w:t>nergy efficiency analysis of flow cell tests</w:t>
      </w:r>
    </w:p>
    <w:p w14:paraId="1168C60D" w14:textId="77777777" w:rsidR="003C12D4" w:rsidRDefault="00000000">
      <w:pPr>
        <w:pStyle w:val="NormalWeb"/>
        <w:snapToGrid w:val="0"/>
        <w:spacing w:beforeAutospacing="1" w:after="0" w:line="480" w:lineRule="auto"/>
        <w:ind w:firstLine="720"/>
        <w:rPr>
          <w:rStyle w:val="normaltextrun"/>
          <w:rFonts w:ascii="Times New Roman" w:eastAsia="SimSun" w:hAnsi="Times New Roman"/>
          <w:color w:val="000000"/>
          <w:szCs w:val="24"/>
          <w:shd w:val="clear" w:color="auto" w:fill="FFFFFF"/>
          <w:lang w:eastAsia="zh-CN"/>
        </w:rPr>
      </w:pPr>
      <w:r>
        <w:rPr>
          <w:rFonts w:ascii="Times New Roman" w:hAnsi="Times New Roman"/>
          <w:szCs w:val="24"/>
          <w:lang w:eastAsia="zh-CN" w:bidi="ar"/>
        </w:rPr>
        <w:t xml:space="preserve">To further assess the performance of the </w:t>
      </w:r>
      <w:r>
        <w:rPr>
          <w:rFonts w:ascii="Times New Roman" w:hAnsi="Times New Roman" w:hint="eastAsia"/>
          <w:szCs w:val="24"/>
          <w:lang w:eastAsia="zh-CN" w:bidi="ar"/>
        </w:rPr>
        <w:t>f</w:t>
      </w:r>
      <w:r>
        <w:rPr>
          <w:rFonts w:ascii="Times New Roman" w:hAnsi="Times New Roman"/>
          <w:szCs w:val="24"/>
          <w:lang w:eastAsia="zh-CN" w:bidi="ar"/>
        </w:rPr>
        <w:t>low cell electrolyzer</w:t>
      </w:r>
      <w:r>
        <w:rPr>
          <w:rFonts w:ascii="Times New Roman" w:hAnsi="Times New Roman" w:hint="eastAsia"/>
          <w:szCs w:val="24"/>
          <w:lang w:eastAsia="zh-CN" w:bidi="ar"/>
        </w:rPr>
        <w:t xml:space="preserve"> using 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Co/W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TiC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 xml:space="preserve"> </w:t>
      </w:r>
      <w:r>
        <w:rPr>
          <w:rFonts w:ascii="Times New Roman" w:hAnsi="Times New Roman" w:hint="eastAsia"/>
          <w:szCs w:val="24"/>
          <w:lang w:eastAsia="zh-CN" w:bidi="ar"/>
        </w:rPr>
        <w:t>as the catalyst, t</w:t>
      </w:r>
      <w:r>
        <w:rPr>
          <w:rFonts w:ascii="Times New Roman" w:hAnsi="Times New Roman"/>
          <w:szCs w:val="24"/>
          <w:lang w:eastAsia="zh-CN" w:bidi="ar"/>
        </w:rPr>
        <w:t xml:space="preserve">he </w:t>
      </w:r>
      <w:r>
        <w:rPr>
          <w:rFonts w:ascii="Times New Roman" w:hAnsi="Times New Roman" w:hint="eastAsia"/>
          <w:szCs w:val="24"/>
          <w:lang w:eastAsia="zh-CN" w:bidi="ar"/>
        </w:rPr>
        <w:t>energy efficiency w</w:t>
      </w:r>
      <w:r>
        <w:rPr>
          <w:rFonts w:ascii="Times New Roman" w:hAnsi="Times New Roman"/>
          <w:szCs w:val="24"/>
          <w:lang w:eastAsia="zh-CN" w:bidi="ar"/>
        </w:rPr>
        <w:t>as calculated for the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 xml:space="preserve"> IrO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>||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Co/W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TiC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 xml:space="preserve">-700 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 xml:space="preserve">at </w:t>
      </w:r>
      <w:r>
        <w:rPr>
          <w:rStyle w:val="normaltextrun"/>
          <w:rFonts w:ascii="Times New Roman" w:hAnsi="Times New Roman"/>
          <w:color w:val="000000"/>
          <w:shd w:val="clear" w:color="auto" w:fill="FFFFFF"/>
        </w:rPr>
        <w:t>60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>℃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>. The equation for cell energy efficiency is:</w:t>
      </w:r>
    </w:p>
    <w:p w14:paraId="7B82A295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(Energy Efficiency) =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v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(Voltage Efficiency)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F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(Faradaic Efficiency)</w:t>
      </w:r>
    </w:p>
    <w:p w14:paraId="5DA4215E" w14:textId="77777777" w:rsidR="003C12D4" w:rsidRDefault="00000000">
      <w:pPr>
        <w:pStyle w:val="NormalWeb"/>
        <w:snapToGrid w:val="0"/>
        <w:spacing w:beforeAutospacing="1" w:after="0" w:line="480" w:lineRule="auto"/>
        <w:ind w:firstLine="720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hAnsi="Times New Roman" w:hint="eastAsia"/>
          <w:szCs w:val="24"/>
          <w:lang w:eastAsia="zh-CN" w:bidi="ar"/>
        </w:rPr>
        <w:t xml:space="preserve">While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energy efficiency is equal to </w:t>
      </w:r>
      <w:r>
        <w:t>equilibrium cell potential</w:t>
      </w:r>
      <w:r>
        <w:rPr>
          <w:rFonts w:eastAsia="SimSun" w:hint="eastAsia"/>
          <w:lang w:eastAsia="zh-CN"/>
        </w:rPr>
        <w:t xml:space="preserve"> divided by the cell voltage. For water electrolyzer,</w:t>
      </w:r>
      <w:r>
        <w:t xml:space="preserve"> </w:t>
      </w:r>
      <w:r>
        <w:rPr>
          <w:rFonts w:eastAsia="SimSun" w:hint="eastAsia"/>
          <w:lang w:eastAsia="zh-CN"/>
        </w:rPr>
        <w:t xml:space="preserve">the </w:t>
      </w:r>
      <w:r>
        <w:rPr>
          <w:rFonts w:eastAsia="SimSun"/>
          <w:lang w:eastAsia="zh-CN"/>
        </w:rPr>
        <w:t>equilibrium</w:t>
      </w:r>
      <w:r>
        <w:t xml:space="preserve"> cell potential</w:t>
      </w:r>
      <w:r>
        <w:rPr>
          <w:rFonts w:eastAsia="SimSun" w:hint="eastAsia"/>
          <w:lang w:eastAsia="zh-CN"/>
        </w:rPr>
        <w:t xml:space="preserve"> is 1.229 V at room temperature (20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>℃</w:t>
      </w:r>
      <w:r>
        <w:rPr>
          <w:rFonts w:eastAsia="SimSun" w:hint="eastAsia"/>
          <w:lang w:eastAsia="zh-CN"/>
        </w:rPr>
        <w:t>) and 1.218 V at 60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>℃</w:t>
      </w:r>
      <w:r>
        <w:rPr>
          <w:rStyle w:val="normaltextrun"/>
          <w:rFonts w:ascii="Times New Roman" w:eastAsia="SimSun" w:hAnsi="Times New Roman" w:hint="eastAsia"/>
          <w:color w:val="000000"/>
          <w:shd w:val="clear" w:color="auto" w:fill="FFFFFF"/>
          <w:lang w:eastAsia="zh-CN"/>
        </w:rPr>
        <w:t xml:space="preserve">. At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400 mA/cm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, </w:t>
      </w:r>
      <w:r>
        <w:rPr>
          <w:rStyle w:val="normaltextrun"/>
          <w:rFonts w:ascii="Times New Roman" w:eastAsia="SimSun" w:hAnsi="Times New Roman" w:hint="eastAsia"/>
          <w:color w:val="000000"/>
          <w:shd w:val="clear" w:color="auto" w:fill="FFFFFF"/>
          <w:lang w:eastAsia="zh-CN"/>
        </w:rPr>
        <w:t>the averaged H</w:t>
      </w:r>
      <w:r>
        <w:rPr>
          <w:rStyle w:val="normaltextrun"/>
          <w:rFonts w:ascii="Times New Roman" w:eastAsia="SimSun" w:hAnsi="Times New Roman" w:hint="eastAsia"/>
          <w:color w:val="000000"/>
          <w:shd w:val="clear" w:color="auto" w:fill="FFFFFF"/>
          <w:vertAlign w:val="subscript"/>
          <w:lang w:eastAsia="zh-CN"/>
        </w:rPr>
        <w:t>2</w:t>
      </w:r>
      <w:r>
        <w:rPr>
          <w:rStyle w:val="normaltextrun"/>
          <w:rFonts w:ascii="Times New Roman" w:eastAsia="SimSun" w:hAnsi="Times New Roman" w:hint="eastAsia"/>
          <w:color w:val="000000"/>
          <w:shd w:val="clear" w:color="auto" w:fill="FFFFFF"/>
          <w:lang w:eastAsia="zh-CN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faradaic efficiency in 3 h on 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Co/W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TiC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-700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 xml:space="preserve"> is 94.88%, and cell voltage is 2.85 V, thus the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energy efficiency can be calculated as:</w:t>
      </w:r>
    </w:p>
    <w:p w14:paraId="7CA0FB12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hAnsi="Times New Roman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(400mA/cm</w:t>
      </w:r>
      <w:r>
        <w:rPr>
          <w:rFonts w:ascii="Times New Roman" w:eastAsia="SimSun" w:hAnsi="Times New Roman" w:hint="eastAsia"/>
          <w:color w:val="000000"/>
          <w:sz w:val="16"/>
          <w:szCs w:val="16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= (1.218V / 2.85 V)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94.88% = 40.55%</w:t>
      </w:r>
    </w:p>
    <w:p w14:paraId="46CCDF45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hAnsi="Times New Roman" w:hint="eastAsia"/>
          <w:szCs w:val="24"/>
          <w:lang w:eastAsia="zh-CN" w:bidi="ar"/>
        </w:rPr>
        <w:t>Conventional</w:t>
      </w:r>
      <w:r>
        <w:rPr>
          <w:rFonts w:ascii="Times New Roman" w:hAnsi="Times New Roman"/>
          <w:szCs w:val="24"/>
          <w:lang w:eastAsia="zh-CN" w:bidi="ar"/>
        </w:rPr>
        <w:t xml:space="preserve"> alkaline water electrolyzers (AWE) are capable of achieving energy efficiencies ranging </w:t>
      </w:r>
      <w:r>
        <w:rPr>
          <w:rFonts w:ascii="Times New Roman" w:hAnsi="Times New Roman" w:hint="eastAsia"/>
          <w:szCs w:val="24"/>
          <w:lang w:eastAsia="zh-CN" w:bidi="ar"/>
        </w:rPr>
        <w:t>of</w:t>
      </w:r>
      <w:r>
        <w:rPr>
          <w:rFonts w:ascii="Times New Roman" w:hAnsi="Times New Roman"/>
          <w:szCs w:val="24"/>
          <w:lang w:eastAsia="zh-CN" w:bidi="ar"/>
        </w:rPr>
        <w:t xml:space="preserve"> 52%</w:t>
      </w:r>
      <w:r>
        <w:rPr>
          <w:rFonts w:ascii="Times New Roman" w:hAnsi="Times New Roman" w:hint="eastAsia"/>
          <w:szCs w:val="24"/>
          <w:lang w:eastAsia="zh-CN" w:bidi="ar"/>
        </w:rPr>
        <w:t>-</w:t>
      </w:r>
      <w:r>
        <w:rPr>
          <w:rFonts w:ascii="Times New Roman" w:hAnsi="Times New Roman"/>
          <w:szCs w:val="24"/>
          <w:lang w:eastAsia="zh-CN" w:bidi="ar"/>
        </w:rPr>
        <w:t xml:space="preserve">69% when operating at current densities of 200-400 mA/cm² </w:t>
      </w:r>
      <w:r>
        <w:rPr>
          <w:rFonts w:ascii="Times New Roman" w:hAnsi="Times New Roman"/>
          <w:i/>
          <w:iCs/>
          <w:szCs w:val="24"/>
          <w:vertAlign w:val="superscript"/>
          <w:lang w:eastAsia="zh-CN" w:bidi="ar"/>
        </w:rPr>
        <w:t>3</w:t>
      </w:r>
      <w:r>
        <w:rPr>
          <w:rFonts w:ascii="Times New Roman" w:eastAsiaTheme="minorEastAsia" w:hAnsi="Times New Roman" w:hint="eastAsia"/>
          <w:szCs w:val="24"/>
          <w:lang w:eastAsia="zh-CN" w:bidi="ar"/>
        </w:rPr>
        <w:t xml:space="preserve">. </w:t>
      </w:r>
      <w:r>
        <w:rPr>
          <w:rFonts w:ascii="Times New Roman" w:hAnsi="Times New Roman"/>
          <w:szCs w:val="24"/>
          <w:lang w:eastAsia="zh-CN" w:bidi="ar"/>
        </w:rPr>
        <w:t xml:space="preserve">The primary </w:t>
      </w:r>
      <w:r>
        <w:rPr>
          <w:rFonts w:ascii="Times New Roman" w:hAnsi="Times New Roman" w:hint="eastAsia"/>
          <w:szCs w:val="24"/>
          <w:lang w:eastAsia="zh-CN" w:bidi="ar"/>
        </w:rPr>
        <w:t>difference</w:t>
      </w:r>
      <w:r>
        <w:rPr>
          <w:rFonts w:ascii="Times New Roman" w:hAnsi="Times New Roman"/>
          <w:szCs w:val="24"/>
          <w:lang w:eastAsia="zh-CN" w:bidi="ar"/>
        </w:rPr>
        <w:t xml:space="preserve"> is posited to be the internal resistance attributed to the </w:t>
      </w:r>
      <w:r>
        <w:rPr>
          <w:rFonts w:ascii="Times New Roman" w:hAnsi="Times New Roman" w:hint="eastAsia"/>
          <w:szCs w:val="24"/>
          <w:lang w:eastAsia="zh-CN" w:bidi="ar"/>
        </w:rPr>
        <w:t>c</w:t>
      </w:r>
      <w:r>
        <w:rPr>
          <w:rFonts w:ascii="Times New Roman" w:hAnsi="Times New Roman"/>
          <w:szCs w:val="24"/>
          <w:lang w:eastAsia="zh-CN" w:bidi="ar"/>
        </w:rPr>
        <w:t xml:space="preserve">ation </w:t>
      </w:r>
      <w:r>
        <w:rPr>
          <w:rFonts w:ascii="Times New Roman" w:hAnsi="Times New Roman" w:hint="eastAsia"/>
          <w:szCs w:val="24"/>
          <w:lang w:eastAsia="zh-CN" w:bidi="ar"/>
        </w:rPr>
        <w:t>e</w:t>
      </w:r>
      <w:r>
        <w:rPr>
          <w:rFonts w:ascii="Times New Roman" w:hAnsi="Times New Roman"/>
          <w:szCs w:val="24"/>
          <w:lang w:eastAsia="zh-CN" w:bidi="ar"/>
        </w:rPr>
        <w:t xml:space="preserve">xchange </w:t>
      </w:r>
      <w:r>
        <w:rPr>
          <w:rFonts w:ascii="Times New Roman" w:hAnsi="Times New Roman" w:hint="eastAsia"/>
          <w:szCs w:val="24"/>
          <w:lang w:eastAsia="zh-CN" w:bidi="ar"/>
        </w:rPr>
        <w:t>m</w:t>
      </w:r>
      <w:r>
        <w:rPr>
          <w:rFonts w:ascii="Times New Roman" w:hAnsi="Times New Roman"/>
          <w:szCs w:val="24"/>
          <w:lang w:eastAsia="zh-CN" w:bidi="ar"/>
        </w:rPr>
        <w:t xml:space="preserve">embrane (CEM) that conducts </w:t>
      </w:r>
      <w:r>
        <w:rPr>
          <w:rFonts w:ascii="Times New Roman" w:hAnsi="Times New Roman" w:hint="eastAsia"/>
          <w:szCs w:val="24"/>
          <w:lang w:eastAsia="zh-CN" w:bidi="ar"/>
        </w:rPr>
        <w:t>K</w:t>
      </w:r>
      <w:r>
        <w:rPr>
          <w:rFonts w:ascii="Times New Roman" w:hAnsi="Times New Roman" w:hint="eastAsia"/>
          <w:szCs w:val="24"/>
          <w:vertAlign w:val="superscript"/>
          <w:lang w:eastAsia="zh-CN" w:bidi="ar"/>
        </w:rPr>
        <w:t>+</w:t>
      </w:r>
      <w:r>
        <w:rPr>
          <w:rFonts w:ascii="Times New Roman" w:hAnsi="Times New Roman"/>
          <w:szCs w:val="24"/>
          <w:lang w:eastAsia="zh-CN" w:bidi="ar"/>
        </w:rPr>
        <w:t xml:space="preserve"> ions</w:t>
      </w:r>
      <w:r>
        <w:rPr>
          <w:rFonts w:ascii="Times New Roman" w:hAnsi="Times New Roman" w:hint="eastAsia"/>
          <w:szCs w:val="24"/>
          <w:lang w:eastAsia="zh-CN" w:bidi="ar"/>
        </w:rPr>
        <w:t xml:space="preserve"> </w:t>
      </w:r>
      <w:r>
        <w:rPr>
          <w:rFonts w:ascii="Times New Roman" w:hAnsi="Times New Roman"/>
          <w:szCs w:val="24"/>
          <w:lang w:eastAsia="zh-CN" w:bidi="ar"/>
        </w:rPr>
        <w:t>as compared to the liquid potassium hydroxide (KOH) utilized in AWEs.</w:t>
      </w:r>
      <w:r>
        <w:rPr>
          <w:rFonts w:ascii="Times New Roman" w:hAnsi="Times New Roman" w:hint="eastAsia"/>
          <w:szCs w:val="24"/>
          <w:lang w:eastAsia="zh-CN" w:bidi="ar"/>
        </w:rPr>
        <w:t xml:space="preserve"> Therefore, the internal resistance led voltage drop was subtracted from the total cell voltage and </w:t>
      </w:r>
      <w:r>
        <w:t>iR-free voltage</w:t>
      </w:r>
      <w:r>
        <w:rPr>
          <w:rFonts w:eastAsia="SimSun" w:hint="eastAsia"/>
          <w:lang w:eastAsia="zh-CN"/>
        </w:rPr>
        <w:t xml:space="preserve"> was calculated. Using EIS measured internal resistance value</w:t>
      </w:r>
      <w:r>
        <w:rPr>
          <w:rFonts w:eastAsia="SimSun"/>
          <w:lang w:eastAsia="zh-CN"/>
        </w:rPr>
        <w:t>s</w:t>
      </w:r>
      <w:r>
        <w:rPr>
          <w:rFonts w:eastAsia="SimSun" w:hint="eastAsia"/>
          <w:lang w:eastAsia="zh-CN"/>
        </w:rPr>
        <w:t xml:space="preserve"> of 0.9</w:t>
      </w:r>
      <w:r>
        <w:rPr>
          <w:rFonts w:eastAsia="SimSun"/>
          <w:lang w:eastAsia="zh-CN"/>
        </w:rPr>
        <w:t>77</w:t>
      </w:r>
      <w:r>
        <w:rPr>
          <w:rFonts w:eastAsia="SimSun" w:hint="eastAsia"/>
          <w:lang w:eastAsia="zh-CN"/>
        </w:rPr>
        <w:t xml:space="preserve"> </w:t>
      </w:r>
      <w:r>
        <w:rPr>
          <w:rFonts w:ascii="Times New Roman" w:eastAsia="SimSun" w:hAnsi="Times New Roman"/>
          <w:lang w:eastAsia="zh-CN"/>
        </w:rPr>
        <w:t xml:space="preserve">Ω, 1.02 Ω, and </w:t>
      </w:r>
      <w:r>
        <w:rPr>
          <w:rFonts w:eastAsia="SimSun" w:hint="eastAsia"/>
          <w:lang w:eastAsia="zh-CN"/>
        </w:rPr>
        <w:t xml:space="preserve">0.967 </w:t>
      </w:r>
      <w:r>
        <w:rPr>
          <w:rFonts w:ascii="Times New Roman" w:eastAsia="SimSun" w:hAnsi="Times New Roman"/>
          <w:lang w:eastAsia="zh-CN"/>
        </w:rPr>
        <w:t>Ω</w:t>
      </w:r>
      <w:r>
        <w:rPr>
          <w:rFonts w:ascii="Times New Roman" w:eastAsia="SimSun" w:hAnsi="Times New Roman" w:hint="eastAsia"/>
          <w:lang w:eastAsia="zh-CN"/>
        </w:rPr>
        <w:t>, the</w:t>
      </w:r>
      <w:r>
        <w:rPr>
          <w:rFonts w:ascii="Times New Roman" w:hAnsi="Times New Roman" w:hint="eastAsia"/>
          <w:szCs w:val="24"/>
          <w:lang w:eastAsia="zh-CN" w:bidi="ar"/>
        </w:rPr>
        <w:t xml:space="preserve"> </w:t>
      </w:r>
      <w:r>
        <w:t>iR-free</w:t>
      </w:r>
      <w:r>
        <w:rPr>
          <w:rFonts w:eastAsia="SimSun" w:hint="eastAsia"/>
          <w:lang w:eastAsia="zh-CN"/>
        </w:rPr>
        <w:t xml:space="preserve"> </w:t>
      </w:r>
      <w:r>
        <w:rPr>
          <w:rFonts w:ascii="Times New Roman" w:hAnsi="Times New Roman" w:hint="eastAsia"/>
          <w:szCs w:val="24"/>
          <w:lang w:eastAsia="zh-CN" w:bidi="ar"/>
        </w:rPr>
        <w:t xml:space="preserve">cell voltage at 200, 300, and 400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mA/cm</w:t>
      </w:r>
      <w:r>
        <w:rPr>
          <w:rFonts w:ascii="Times New Roman" w:eastAsia="SimSun" w:hAnsi="Times New Roman" w:hint="eastAsia"/>
          <w:color w:val="000000"/>
          <w:szCs w:val="24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are 1.85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V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, 2.0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5 V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, and 2.46 V, respectively. The corresponding energy efficiencies are:</w:t>
      </w:r>
    </w:p>
    <w:p w14:paraId="3C9E2C1D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hAnsi="Times New Roman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(400mA/cm</w:t>
      </w:r>
      <w:r>
        <w:rPr>
          <w:rFonts w:ascii="Times New Roman" w:eastAsia="SimSun" w:hAnsi="Times New Roman" w:hint="eastAsia"/>
          <w:color w:val="000000"/>
          <w:sz w:val="16"/>
          <w:szCs w:val="16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= (1.218V / 2.46 V)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94.88% = 46.9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8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%</w:t>
      </w:r>
    </w:p>
    <w:p w14:paraId="1B0F2A68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hAnsi="Times New Roman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(300mA/cm</w:t>
      </w:r>
      <w:r>
        <w:rPr>
          <w:rFonts w:ascii="Times New Roman" w:eastAsia="SimSun" w:hAnsi="Times New Roman" w:hint="eastAsia"/>
          <w:color w:val="000000"/>
          <w:sz w:val="16"/>
          <w:szCs w:val="16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= (1.218V / 2.07 V)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94.61% = 5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6.21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%</w:t>
      </w:r>
    </w:p>
    <w:p w14:paraId="2FDA9167" w14:textId="77777777" w:rsidR="003C12D4" w:rsidRDefault="00000000">
      <w:pPr>
        <w:pStyle w:val="NormalWeb"/>
        <w:spacing w:after="240" w:line="240" w:lineRule="auto"/>
        <w:ind w:firstLineChars="400" w:firstLine="960"/>
        <w:jc w:val="left"/>
        <w:rPr>
          <w:rFonts w:ascii="Times New Roman" w:hAnsi="Times New Roman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(200mA/cm</w:t>
      </w:r>
      <w:r>
        <w:rPr>
          <w:rFonts w:ascii="Times New Roman" w:eastAsia="SimSun" w:hAnsi="Times New Roman" w:hint="eastAsia"/>
          <w:color w:val="000000"/>
          <w:sz w:val="16"/>
          <w:szCs w:val="16"/>
          <w:vertAlign w:val="superscript"/>
          <w:lang w:eastAsia="zh-CN" w:bidi="ar"/>
        </w:rPr>
        <w:t>2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 xml:space="preserve">)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= (1.218V / 1.85 V)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×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99.23% = 65.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33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%</w:t>
      </w:r>
    </w:p>
    <w:p w14:paraId="6F08EA0B" w14:textId="77777777" w:rsidR="003C12D4" w:rsidRDefault="00000000">
      <w:pPr>
        <w:widowControl w:val="0"/>
        <w:spacing w:after="0" w:line="480" w:lineRule="auto"/>
        <w:rPr>
          <w:rFonts w:ascii="Times New Roman" w:eastAsia="SimSun" w:hAnsi="Times New Roman"/>
          <w:color w:val="000000"/>
          <w:szCs w:val="24"/>
          <w:lang w:eastAsia="zh-CN" w:bidi="ar"/>
        </w:rPr>
      </w:pP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While the </w:t>
      </w:r>
      <w:r>
        <w:t>iR-free</w:t>
      </w:r>
      <w:r>
        <w:rPr>
          <w:rFonts w:eastAsia="SimSun" w:hint="eastAsia"/>
          <w:lang w:eastAsia="zh-CN"/>
        </w:rPr>
        <w:t xml:space="preserve">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η</w:t>
      </w:r>
      <w:r>
        <w:rPr>
          <w:rFonts w:ascii="Times New Roman" w:eastAsia="SimSun" w:hAnsi="Times New Roman" w:hint="eastAsia"/>
          <w:color w:val="000000"/>
          <w:szCs w:val="24"/>
          <w:vertAlign w:val="subscript"/>
          <w:lang w:eastAsia="zh-CN" w:bidi="ar"/>
        </w:rPr>
        <w:t>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for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 xml:space="preserve"> IrO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>||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 xml:space="preserve">Pt 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 xml:space="preserve">at </w:t>
      </w:r>
      <w:r>
        <w:rPr>
          <w:rStyle w:val="normaltextrun"/>
          <w:rFonts w:ascii="Times New Roman" w:eastAsia="SimSun" w:hAnsi="Times New Roman"/>
          <w:color w:val="000000"/>
          <w:szCs w:val="24"/>
          <w:shd w:val="clear" w:color="auto" w:fill="FFFFFF"/>
          <w:lang w:eastAsia="zh-CN"/>
        </w:rPr>
        <w:t xml:space="preserve">the </w:t>
      </w:r>
      <w:r>
        <w:rPr>
          <w:rStyle w:val="normaltextrun"/>
          <w:rFonts w:ascii="Times New Roman" w:hAnsi="Times New Roman"/>
          <w:color w:val="000000"/>
          <w:shd w:val="clear" w:color="auto" w:fill="FFFFFF"/>
        </w:rPr>
        <w:t>same conditions</w:t>
      </w:r>
      <w:r>
        <w:rPr>
          <w:rStyle w:val="normaltextrun"/>
          <w:rFonts w:ascii="Times New Roman" w:eastAsia="SimSun" w:hAnsi="Times New Roman"/>
          <w:color w:val="000000"/>
          <w:shd w:val="clear" w:color="auto" w:fill="FFFFFF"/>
          <w:lang w:eastAsia="zh-CN"/>
        </w:rPr>
        <w:t xml:space="preserve"> are 44.63%, 52.08% and 58.31%. Also, t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he efficiency values of 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IrO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eastAsia="SimSun" w:hAnsi="Times New Roman" w:hint="eastAsia"/>
          <w:color w:val="000000"/>
          <w:szCs w:val="24"/>
          <w:shd w:val="clear" w:color="auto" w:fill="FFFFFF"/>
          <w:lang w:eastAsia="zh-CN"/>
        </w:rPr>
        <w:t>||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Co/W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>TiC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  <w:vertAlign w:val="subscript"/>
        </w:rPr>
        <w:t>2</w:t>
      </w:r>
      <w:r>
        <w:rPr>
          <w:rStyle w:val="normaltextrun"/>
          <w:rFonts w:ascii="Times New Roman" w:hAnsi="Times New Roman"/>
          <w:color w:val="000000"/>
          <w:szCs w:val="24"/>
          <w:shd w:val="clear" w:color="auto" w:fill="FFFFFF"/>
        </w:rPr>
        <w:t xml:space="preserve">-700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after excluding the impact of internal resistance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are 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lastRenderedPageBreak/>
        <w:t>comp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arable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with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state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-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of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-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the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-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art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 xml:space="preserve"> 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>water electrolyzers</w:t>
      </w:r>
      <w:r>
        <w:rPr>
          <w:rFonts w:ascii="Times New Roman" w:eastAsia="SimSun" w:hAnsi="Times New Roman"/>
          <w:color w:val="000000"/>
          <w:szCs w:val="24"/>
          <w:lang w:eastAsia="zh-CN" w:bidi="ar"/>
        </w:rPr>
        <w:t>, indicating the high efficiency of this catalyst</w:t>
      </w:r>
      <w:r>
        <w:rPr>
          <w:rFonts w:ascii="Times New Roman" w:eastAsia="SimSun" w:hAnsi="Times New Roman" w:hint="eastAsia"/>
          <w:color w:val="000000"/>
          <w:szCs w:val="24"/>
          <w:lang w:eastAsia="zh-CN" w:bidi="ar"/>
        </w:rPr>
        <w:t xml:space="preserve"> in the flow cell system.</w:t>
      </w:r>
    </w:p>
    <w:p w14:paraId="440788BB" w14:textId="77777777" w:rsidR="003C12D4" w:rsidRDefault="00000000">
      <w:pPr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szCs w:val="24"/>
          <w:lang w:eastAsia="zh-CN"/>
        </w:rPr>
        <w:br w:type="page"/>
      </w:r>
    </w:p>
    <w:p w14:paraId="70153497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1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Calculated lattice parameters and atomic coordinates for </w:t>
      </w:r>
      <w:r>
        <w:rPr>
          <w:rFonts w:ascii="Times New Roman" w:hAnsi="Times New Roman"/>
          <w:b/>
          <w:bCs/>
          <w:szCs w:val="24"/>
        </w:rPr>
        <w:t>W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hAnsi="Times New Roman"/>
          <w:b/>
          <w:bCs/>
          <w:szCs w:val="24"/>
        </w:rPr>
        <w:t>Ti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Al</w:t>
      </w:r>
      <w:r>
        <w:rPr>
          <w:rFonts w:ascii="Times New Roman" w:hAnsi="Times New Roman"/>
          <w:b/>
          <w:bCs/>
          <w:szCs w:val="24"/>
        </w:rPr>
        <w:t>C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hAnsi="Times New Roman"/>
          <w:b/>
          <w:bCs/>
          <w:szCs w:val="24"/>
        </w:rPr>
        <w:t xml:space="preserve"> and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hAnsi="Times New Roman"/>
          <w:b/>
          <w:bCs/>
          <w:szCs w:val="24"/>
        </w:rPr>
        <w:t>W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hAnsi="Times New Roman"/>
          <w:b/>
          <w:bCs/>
          <w:szCs w:val="24"/>
        </w:rPr>
        <w:t>TiC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b/>
          <w:bCs/>
          <w:szCs w:val="24"/>
          <w:lang w:eastAsia="zh-CN"/>
        </w:rPr>
        <w:t>by fitting the experimental XRD</w:t>
      </w:r>
    </w:p>
    <w:tbl>
      <w:tblPr>
        <w:tblpPr w:leftFromText="180" w:rightFromText="180" w:vertAnchor="text" w:horzAnchor="page" w:tblpXSpec="center" w:tblpY="158"/>
        <w:tblOverlap w:val="never"/>
        <w:tblW w:w="9509" w:type="dxa"/>
        <w:jc w:val="center"/>
        <w:tblLook w:val="04A0" w:firstRow="1" w:lastRow="0" w:firstColumn="1" w:lastColumn="0" w:noHBand="0" w:noVBand="1"/>
      </w:tblPr>
      <w:tblGrid>
        <w:gridCol w:w="316"/>
        <w:gridCol w:w="766"/>
        <w:gridCol w:w="766"/>
        <w:gridCol w:w="766"/>
        <w:gridCol w:w="766"/>
        <w:gridCol w:w="766"/>
        <w:gridCol w:w="766"/>
        <w:gridCol w:w="766"/>
        <w:gridCol w:w="766"/>
        <w:gridCol w:w="766"/>
        <w:gridCol w:w="766"/>
        <w:gridCol w:w="766"/>
        <w:gridCol w:w="767"/>
      </w:tblGrid>
      <w:tr w:rsidR="003C12D4" w14:paraId="30D7317A" w14:textId="77777777">
        <w:trPr>
          <w:trHeight w:val="427"/>
          <w:jc w:val="center"/>
        </w:trPr>
        <w:tc>
          <w:tcPr>
            <w:tcW w:w="9509" w:type="dxa"/>
            <w:gridSpan w:val="1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8F69B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</w:t>
            </w:r>
            <w:r>
              <w:rPr>
                <w:rFonts w:ascii="Times New Roman" w:eastAsia="SimSun" w:hAnsi="Times New Roman"/>
                <w:color w:val="000000"/>
                <w:sz w:val="20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TiAlC</w:t>
            </w:r>
            <w:r>
              <w:rPr>
                <w:rFonts w:ascii="Times New Roman" w:eastAsia="SimSun" w:hAnsi="Times New Roman"/>
                <w:color w:val="000000"/>
                <w:sz w:val="20"/>
                <w:vertAlign w:val="subscript"/>
                <w:lang w:eastAsia="zh-CN" w:bidi="ar"/>
              </w:rPr>
              <w:t>2</w:t>
            </w:r>
          </w:p>
        </w:tc>
      </w:tr>
      <w:tr w:rsidR="003C12D4" w14:paraId="590CE689" w14:textId="77777777">
        <w:trPr>
          <w:trHeight w:val="400"/>
          <w:jc w:val="center"/>
        </w:trPr>
        <w:tc>
          <w:tcPr>
            <w:tcW w:w="9509" w:type="dxa"/>
            <w:gridSpan w:val="1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91DE60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Lattice parameters</w:t>
            </w:r>
          </w:p>
        </w:tc>
      </w:tr>
      <w:tr w:rsidR="003C12D4" w14:paraId="2A316093" w14:textId="77777777">
        <w:trPr>
          <w:trHeight w:val="437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4F18E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3C1F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959B8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b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BEEF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C708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α (°)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58DE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β (°)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102B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γ (°)</w:t>
            </w:r>
          </w:p>
        </w:tc>
      </w:tr>
      <w:tr w:rsidR="003C12D4" w14:paraId="4C9A5F06" w14:textId="77777777">
        <w:trPr>
          <w:trHeight w:val="428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AF2F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7785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2.98338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15CE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2.98338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5F0F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18.73010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9446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90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C166F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90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7621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120</w:t>
            </w:r>
          </w:p>
        </w:tc>
      </w:tr>
      <w:tr w:rsidR="003C12D4" w14:paraId="7882015F" w14:textId="77777777">
        <w:trPr>
          <w:trHeight w:val="409"/>
          <w:jc w:val="center"/>
        </w:trPr>
        <w:tc>
          <w:tcPr>
            <w:tcW w:w="9509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93C472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Atomic coordinates</w:t>
            </w:r>
          </w:p>
        </w:tc>
      </w:tr>
      <w:tr w:rsidR="003C12D4" w14:paraId="7F9A6709" w14:textId="77777777">
        <w:trPr>
          <w:trHeight w:val="437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B9CCA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AADD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C4E1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BC0C7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7EC3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E6A1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8BD9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BE727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Al(1)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3ABD5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Al(2)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EEDA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06B4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0AD8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C(3)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D88E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C(4)</w:t>
            </w:r>
          </w:p>
        </w:tc>
      </w:tr>
      <w:tr w:rsidR="003C12D4" w14:paraId="4BE1EDAD" w14:textId="77777777">
        <w:trPr>
          <w:trHeight w:val="400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FCD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x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2B7E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4C52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CF6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207F4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F894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160F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1180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34996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ED761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8CF6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9D4A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80A90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</w:tr>
      <w:tr w:rsidR="003C12D4" w14:paraId="6CB2328B" w14:textId="77777777">
        <w:trPr>
          <w:trHeight w:val="400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7E83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44E5D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3459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1D13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C4855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B802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0C23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8AF7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0F89F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2CDBF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FF69A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4D3C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C73C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</w:tr>
      <w:tr w:rsidR="003C12D4" w14:paraId="155E2438" w14:textId="77777777">
        <w:trPr>
          <w:trHeight w:val="400"/>
          <w:jc w:val="center"/>
        </w:trPr>
        <w:tc>
          <w:tcPr>
            <w:tcW w:w="3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B49E08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z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C367ED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0.3648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ABFC7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0.6352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E01CB6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0.8648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5E43A2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0.1352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96E16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0.5000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A52D97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76E171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0.2500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5783A7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0.7500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68167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0.4776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338DC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0.5224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8D2F95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0.9776</w:t>
            </w: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0B5467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0.0224</w:t>
            </w:r>
          </w:p>
        </w:tc>
      </w:tr>
      <w:tr w:rsidR="003C12D4" w14:paraId="44FEC6D8" w14:textId="77777777">
        <w:trPr>
          <w:trHeight w:val="418"/>
          <w:jc w:val="center"/>
        </w:trPr>
        <w:tc>
          <w:tcPr>
            <w:tcW w:w="3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7A04704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AD15A04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C772512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1D5E04E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0AF617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08F9D74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09867D3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1D3C6B7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47B5C1B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6B896653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1277B49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2B1602F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9C3BB8C" w14:textId="77777777" w:rsidR="003C12D4" w:rsidRDefault="003C12D4">
            <w:pPr>
              <w:jc w:val="left"/>
              <w:rPr>
                <w:rFonts w:ascii="Times New Roman" w:eastAsia="SimSun" w:hAnsi="Times New Roman"/>
                <w:color w:val="000000"/>
                <w:sz w:val="20"/>
              </w:rPr>
            </w:pPr>
          </w:p>
        </w:tc>
      </w:tr>
      <w:tr w:rsidR="003C12D4" w14:paraId="3171BAD3" w14:textId="77777777">
        <w:trPr>
          <w:trHeight w:val="418"/>
          <w:jc w:val="center"/>
        </w:trPr>
        <w:tc>
          <w:tcPr>
            <w:tcW w:w="9509" w:type="dxa"/>
            <w:gridSpan w:val="1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F3644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</w:t>
            </w:r>
            <w:r>
              <w:rPr>
                <w:rFonts w:ascii="Times New Roman" w:eastAsia="SimSun" w:hAnsi="Times New Roman"/>
                <w:color w:val="000000"/>
                <w:sz w:val="20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0"/>
                <w:vertAlign w:val="subscript"/>
                <w:lang w:eastAsia="zh-CN" w:bidi="ar"/>
              </w:rPr>
              <w:t>2</w:t>
            </w:r>
          </w:p>
        </w:tc>
      </w:tr>
      <w:tr w:rsidR="003C12D4" w14:paraId="23554E35" w14:textId="77777777">
        <w:trPr>
          <w:trHeight w:val="400"/>
          <w:jc w:val="center"/>
        </w:trPr>
        <w:tc>
          <w:tcPr>
            <w:tcW w:w="9509" w:type="dxa"/>
            <w:gridSpan w:val="1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190EAF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Lattice parameters</w:t>
            </w:r>
          </w:p>
        </w:tc>
      </w:tr>
      <w:tr w:rsidR="003C12D4" w14:paraId="1452300A" w14:textId="77777777">
        <w:trPr>
          <w:trHeight w:val="437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5F9D5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E2B2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A820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b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A76E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 (Å)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1005D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α (°)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BBAF2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β (°)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3AC2D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γ (°)</w:t>
            </w:r>
          </w:p>
        </w:tc>
      </w:tr>
      <w:tr w:rsidR="003C12D4" w14:paraId="3B83B5A4" w14:textId="77777777">
        <w:trPr>
          <w:trHeight w:val="428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9B95D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18F47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2.98660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6236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2.98660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8575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30.08700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ECA6C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90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C74D9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90</w:t>
            </w:r>
          </w:p>
        </w:tc>
        <w:tc>
          <w:tcPr>
            <w:tcW w:w="15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8EC0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120</w:t>
            </w:r>
          </w:p>
        </w:tc>
      </w:tr>
      <w:tr w:rsidR="003C12D4" w14:paraId="04DFB3B9" w14:textId="77777777">
        <w:trPr>
          <w:trHeight w:val="409"/>
          <w:jc w:val="center"/>
        </w:trPr>
        <w:tc>
          <w:tcPr>
            <w:tcW w:w="9509" w:type="dxa"/>
            <w:gridSpan w:val="1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6DC1A09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Atomic coordinates</w:t>
            </w:r>
          </w:p>
        </w:tc>
      </w:tr>
      <w:tr w:rsidR="003C12D4" w14:paraId="71C50814" w14:textId="77777777">
        <w:trPr>
          <w:trHeight w:val="437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E7BA1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D9848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BE6CB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5C6B8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56D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W(4)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DBE6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9E112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Ti(2)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473D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C(1)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D9A5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C(2)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769FC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C(3)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D328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C(4)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8EBBE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8AB6B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</w:tr>
      <w:tr w:rsidR="003C12D4" w14:paraId="3C1EAC32" w14:textId="77777777">
        <w:trPr>
          <w:trHeight w:val="428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3C9C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x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16B8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7F54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8DA8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4B9C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86CE8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AD44F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C901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1086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BC11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0B643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1BD5F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C259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</w:tr>
      <w:tr w:rsidR="003C12D4" w14:paraId="2BE56F0D" w14:textId="77777777">
        <w:trPr>
          <w:trHeight w:val="428"/>
          <w:jc w:val="center"/>
        </w:trPr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C0C82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y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BD07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963F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BA79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68DE3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1AAB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EF3F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126A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41CF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493E0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0.3333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E434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0.6667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7CA5E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4E3E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</w:tr>
      <w:tr w:rsidR="003C12D4" w14:paraId="5352196A" w14:textId="77777777">
        <w:trPr>
          <w:trHeight w:val="428"/>
          <w:jc w:val="center"/>
        </w:trPr>
        <w:tc>
          <w:tcPr>
            <w:tcW w:w="31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BE206F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z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932D36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0.4063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E4F8C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0.5937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42996E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0.9063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A8F123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0.0937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DBB340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0.5000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C6EAA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0.0000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24A58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0.4776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EE90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0.5224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21DABF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0.9776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5A332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0"/>
              </w:rPr>
            </w:pPr>
            <w:r>
              <w:rPr>
                <w:rFonts w:ascii="Times New Roman" w:eastAsia="SimSun" w:hAnsi="Times New Roman"/>
                <w:color w:val="000000"/>
                <w:sz w:val="20"/>
                <w:lang w:eastAsia="zh-CN" w:bidi="ar"/>
              </w:rPr>
              <w:t>0.0224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699A58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052CB68" w14:textId="77777777" w:rsidR="003C12D4" w:rsidRDefault="003C12D4">
            <w:pPr>
              <w:jc w:val="center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</w:tr>
      <w:tr w:rsidR="003C12D4" w14:paraId="14D4B2C6" w14:textId="77777777">
        <w:trPr>
          <w:trHeight w:val="473"/>
          <w:jc w:val="center"/>
        </w:trPr>
        <w:tc>
          <w:tcPr>
            <w:tcW w:w="31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FA5E009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9907BA7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6E4B352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EC04214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0B3EBAE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1655A22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83FC815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1EB9FAD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75985B7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706B9D76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6B84ABDB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6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5BC1D14A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  <w:tc>
          <w:tcPr>
            <w:tcW w:w="767" w:type="dxa"/>
            <w:tcBorders>
              <w:top w:val="single" w:sz="8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586F0E8" w14:textId="77777777" w:rsidR="003C12D4" w:rsidRDefault="003C12D4">
            <w:pPr>
              <w:jc w:val="left"/>
              <w:rPr>
                <w:rFonts w:ascii="SimSun" w:eastAsia="SimSun" w:hAnsi="SimSun" w:cs="SimSun"/>
                <w:color w:val="000000"/>
                <w:sz w:val="20"/>
              </w:rPr>
            </w:pPr>
          </w:p>
        </w:tc>
      </w:tr>
    </w:tbl>
    <w:p w14:paraId="3EDB1C23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szCs w:val="24"/>
          <w:lang w:eastAsia="zh-CN"/>
        </w:rPr>
      </w:pPr>
    </w:p>
    <w:p w14:paraId="76D34C1E" w14:textId="77777777" w:rsidR="003C12D4" w:rsidRDefault="00000000">
      <w:pPr>
        <w:spacing w:after="0" w:line="240" w:lineRule="auto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szCs w:val="24"/>
          <w:lang w:eastAsia="zh-CN"/>
        </w:rPr>
        <w:br w:type="page"/>
      </w:r>
    </w:p>
    <w:p w14:paraId="231C2033" w14:textId="77777777" w:rsidR="003C12D4" w:rsidRDefault="00000000">
      <w:pPr>
        <w:widowControl w:val="0"/>
        <w:spacing w:after="0" w:line="480" w:lineRule="auto"/>
        <w:jc w:val="center"/>
        <w:rPr>
          <w:b/>
          <w:bCs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2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Quantitative information of the XANES data and EXAFS fits</w:t>
      </w:r>
    </w:p>
    <w:tbl>
      <w:tblPr>
        <w:tblW w:w="8915" w:type="dxa"/>
        <w:jc w:val="center"/>
        <w:tblLayout w:type="fixed"/>
        <w:tblLook w:val="04A0" w:firstRow="1" w:lastRow="0" w:firstColumn="1" w:lastColumn="0" w:noHBand="0" w:noVBand="1"/>
      </w:tblPr>
      <w:tblGrid>
        <w:gridCol w:w="1754"/>
        <w:gridCol w:w="1384"/>
        <w:gridCol w:w="1552"/>
        <w:gridCol w:w="845"/>
        <w:gridCol w:w="845"/>
        <w:gridCol w:w="845"/>
        <w:gridCol w:w="845"/>
        <w:gridCol w:w="845"/>
      </w:tblGrid>
      <w:tr w:rsidR="003C12D4" w14:paraId="694C367F" w14:textId="77777777">
        <w:trPr>
          <w:trHeight w:val="760"/>
          <w:jc w:val="center"/>
        </w:trPr>
        <w:tc>
          <w:tcPr>
            <w:tcW w:w="175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0BFD6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Samples</w:t>
            </w:r>
          </w:p>
        </w:tc>
        <w:tc>
          <w:tcPr>
            <w:tcW w:w="13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0506B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Pre-edge Energy, keV</w:t>
            </w:r>
          </w:p>
        </w:tc>
        <w:tc>
          <w:tcPr>
            <w:tcW w:w="155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DFCAC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XANES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Energy, keV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736A3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Scatter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BEC11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CN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6021B3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R, Å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DA1B7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Calibri" w:eastAsia="SimSu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SimSun" w:hAnsi="Calibri" w:cs="Calibri"/>
                <w:color w:val="000000"/>
                <w:sz w:val="22"/>
                <w:szCs w:val="22"/>
                <w:lang w:eastAsia="zh-CN" w:bidi="ar"/>
              </w:rPr>
              <w:t>δ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br/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(x10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3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)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5C76F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E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0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, eV</w:t>
            </w:r>
          </w:p>
        </w:tc>
      </w:tr>
      <w:tr w:rsidR="003C12D4" w14:paraId="10267888" w14:textId="77777777">
        <w:trPr>
          <w:trHeight w:val="473"/>
          <w:jc w:val="center"/>
        </w:trPr>
        <w:tc>
          <w:tcPr>
            <w:tcW w:w="17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D3876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 Foil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(Co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0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ref)</w:t>
            </w:r>
          </w:p>
        </w:tc>
        <w:tc>
          <w:tcPr>
            <w:tcW w:w="13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DFE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155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08D5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7.709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B0F8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Co-Co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0A95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12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CE73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2.49</w:t>
            </w: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DF707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A922C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</w:tr>
      <w:tr w:rsidR="003C12D4" w14:paraId="6BF7EDC8" w14:textId="77777777">
        <w:trPr>
          <w:trHeight w:val="473"/>
          <w:jc w:val="center"/>
        </w:trPr>
        <w:tc>
          <w:tcPr>
            <w:tcW w:w="175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EAA504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C95959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5B5CD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C46B9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C20B76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E890E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CBA19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C2D04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</w:tr>
      <w:tr w:rsidR="003C12D4" w14:paraId="6342A423" w14:textId="77777777">
        <w:trPr>
          <w:trHeight w:val="473"/>
          <w:jc w:val="center"/>
        </w:trPr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A114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CoO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(Co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2+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ref)</w:t>
            </w:r>
          </w:p>
        </w:tc>
        <w:tc>
          <w:tcPr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4F7B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7.7084</w:t>
            </w:r>
          </w:p>
        </w:tc>
        <w:tc>
          <w:tcPr>
            <w:tcW w:w="1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3F8F5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7.7166</w:t>
            </w: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B5D5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Co-O</w:t>
            </w: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7BC4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</w:t>
            </w: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FA19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2.13</w:t>
            </w: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5668CF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F8FF6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</w:tr>
      <w:tr w:rsidR="003C12D4" w14:paraId="2736360C" w14:textId="77777777">
        <w:trPr>
          <w:trHeight w:val="473"/>
          <w:jc w:val="center"/>
        </w:trPr>
        <w:tc>
          <w:tcPr>
            <w:tcW w:w="175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FAF68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8D059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9637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87214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D48A6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8EAE9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8C7FB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CD221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</w:tr>
      <w:tr w:rsidR="003C12D4" w14:paraId="4727376A" w14:textId="77777777">
        <w:trPr>
          <w:trHeight w:val="458"/>
          <w:jc w:val="center"/>
        </w:trPr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4402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-500</w:t>
            </w:r>
          </w:p>
        </w:tc>
        <w:tc>
          <w:tcPr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DF12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1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7A69D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7.7087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3A7DA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Co-Co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3136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C6F4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2.48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8598E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8.0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708B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-4.4</w:t>
            </w:r>
          </w:p>
        </w:tc>
      </w:tr>
      <w:tr w:rsidR="003C12D4" w14:paraId="27F98CB8" w14:textId="77777777">
        <w:trPr>
          <w:trHeight w:val="458"/>
          <w:jc w:val="center"/>
        </w:trPr>
        <w:tc>
          <w:tcPr>
            <w:tcW w:w="175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85C7E8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2E66D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EA097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3952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Co-O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DB9E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1D0B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1.97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1221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84F6B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-2.8</w:t>
            </w:r>
          </w:p>
        </w:tc>
      </w:tr>
      <w:tr w:rsidR="003C12D4" w14:paraId="5F71F729" w14:textId="77777777">
        <w:trPr>
          <w:trHeight w:val="458"/>
          <w:jc w:val="center"/>
        </w:trPr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8383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0CFB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1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1CD15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7.7087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97726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Co-Co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0CF96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3.3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843A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2.49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D90F3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8.0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29F39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-4.8</w:t>
            </w:r>
          </w:p>
        </w:tc>
      </w:tr>
      <w:tr w:rsidR="003C12D4" w14:paraId="0BD6EFC3" w14:textId="77777777">
        <w:trPr>
          <w:trHeight w:val="458"/>
          <w:jc w:val="center"/>
        </w:trPr>
        <w:tc>
          <w:tcPr>
            <w:tcW w:w="175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3D8E8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44FD2C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14001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F1109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Co-O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178EA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1.1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C9B13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1.96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00BB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ED7B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1.1</w:t>
            </w:r>
          </w:p>
        </w:tc>
      </w:tr>
      <w:tr w:rsidR="003C12D4" w14:paraId="3D2E3061" w14:textId="77777777">
        <w:trPr>
          <w:trHeight w:val="458"/>
          <w:jc w:val="center"/>
        </w:trPr>
        <w:tc>
          <w:tcPr>
            <w:tcW w:w="17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8C29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  <w:tc>
          <w:tcPr>
            <w:tcW w:w="138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ED26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AAC3A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7.7087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21092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Co-Co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9FAE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3.8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CC78C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2.47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1DE2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10.0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F46E0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-5.0</w:t>
            </w:r>
          </w:p>
        </w:tc>
      </w:tr>
      <w:tr w:rsidR="003C12D4" w14:paraId="29F3C45F" w14:textId="77777777">
        <w:trPr>
          <w:trHeight w:val="545"/>
          <w:jc w:val="center"/>
        </w:trPr>
        <w:tc>
          <w:tcPr>
            <w:tcW w:w="175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3002BC4D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384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3FE9F40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A304CD2" w14:textId="77777777" w:rsidR="003C12D4" w:rsidRDefault="003C12D4">
            <w:pPr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9FFBD6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Co-O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312CDB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636B04D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BA6067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B5228C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</w:tr>
    </w:tbl>
    <w:p w14:paraId="07C13513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1A1DD519" w14:textId="77777777" w:rsidR="003C12D4" w:rsidRDefault="003C12D4">
      <w:pPr>
        <w:widowControl w:val="0"/>
        <w:spacing w:after="0" w:line="480" w:lineRule="auto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0584E698" w14:textId="77777777" w:rsidR="003C12D4" w:rsidRDefault="00000000">
      <w:pPr>
        <w:widowControl w:val="0"/>
        <w:spacing w:after="0" w:line="480" w:lineRule="auto"/>
        <w:jc w:val="center"/>
        <w:rPr>
          <w:b/>
          <w:bCs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3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Summary of distribution of Co on the different catalysts</w:t>
      </w:r>
    </w:p>
    <w:tbl>
      <w:tblPr>
        <w:tblW w:w="7418" w:type="dxa"/>
        <w:jc w:val="center"/>
        <w:tblLook w:val="04A0" w:firstRow="1" w:lastRow="0" w:firstColumn="1" w:lastColumn="0" w:noHBand="0" w:noVBand="1"/>
      </w:tblPr>
      <w:tblGrid>
        <w:gridCol w:w="1840"/>
        <w:gridCol w:w="1246"/>
        <w:gridCol w:w="1246"/>
        <w:gridCol w:w="1840"/>
        <w:gridCol w:w="1246"/>
      </w:tblGrid>
      <w:tr w:rsidR="003C12D4" w14:paraId="1D918872" w14:textId="77777777">
        <w:trPr>
          <w:trHeight w:val="940"/>
          <w:jc w:val="center"/>
        </w:trPr>
        <w:tc>
          <w:tcPr>
            <w:tcW w:w="1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F05C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Catalyst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DD4B6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Single sites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A1A8E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NPs</w:t>
            </w:r>
          </w:p>
        </w:tc>
        <w:tc>
          <w:tcPr>
            <w:tcW w:w="184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D93F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NPs true CN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5936A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NPs size</w:t>
            </w:r>
          </w:p>
        </w:tc>
      </w:tr>
      <w:tr w:rsidR="003C12D4" w14:paraId="53B56350" w14:textId="77777777">
        <w:trPr>
          <w:trHeight w:val="590"/>
          <w:jc w:val="center"/>
        </w:trPr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C3BA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FA59E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6D44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100%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B2CF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3.8</w:t>
            </w:r>
          </w:p>
        </w:tc>
        <w:tc>
          <w:tcPr>
            <w:tcW w:w="12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A04C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0.9 nm</w:t>
            </w:r>
          </w:p>
        </w:tc>
      </w:tr>
      <w:tr w:rsidR="003C12D4" w14:paraId="571D29A5" w14:textId="77777777">
        <w:trPr>
          <w:trHeight w:val="569"/>
          <w:jc w:val="center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FCFF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B64F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~25%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D575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~75%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3C3E8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4.4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7BB6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1.0 nm</w:t>
            </w:r>
          </w:p>
        </w:tc>
      </w:tr>
      <w:tr w:rsidR="003C12D4" w14:paraId="7CDEC891" w14:textId="77777777">
        <w:trPr>
          <w:trHeight w:val="614"/>
          <w:jc w:val="center"/>
        </w:trPr>
        <w:tc>
          <w:tcPr>
            <w:tcW w:w="1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4D386D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-500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11E9CA0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~50%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0F7CD5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~50%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4D8DBDA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5.6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51B08B5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1.5 nm</w:t>
            </w:r>
          </w:p>
        </w:tc>
      </w:tr>
    </w:tbl>
    <w:p w14:paraId="09C170D2" w14:textId="77777777" w:rsidR="003C12D4" w:rsidRDefault="00000000">
      <w:pPr>
        <w:jc w:val="center"/>
        <w:rPr>
          <w:rFonts w:ascii="Times New Roman" w:eastAsia="SimSun" w:hAnsi="Times New Roman"/>
          <w:b/>
          <w:bCs/>
          <w:szCs w:val="24"/>
          <w:highlight w:val="yellow"/>
          <w:lang w:eastAsia="zh-CN"/>
        </w:rPr>
      </w:pPr>
      <w:r>
        <w:rPr>
          <w:rFonts w:ascii="Times New Roman" w:hAnsi="Times New Roman"/>
          <w:b/>
          <w:bCs/>
          <w:szCs w:val="24"/>
          <w:highlight w:val="yellow"/>
        </w:rPr>
        <w:br w:type="page"/>
      </w:r>
    </w:p>
    <w:p w14:paraId="5D11CB6E" w14:textId="77777777" w:rsidR="003C12D4" w:rsidRDefault="00000000">
      <w:pPr>
        <w:widowControl w:val="0"/>
        <w:spacing w:after="0" w:line="480" w:lineRule="auto"/>
        <w:jc w:val="center"/>
        <w:rPr>
          <w:rFonts w:ascii="Times New Roman" w:hAnsi="Times New Roman"/>
          <w:b/>
          <w:bCs/>
          <w:szCs w:val="24"/>
          <w:highlight w:val="yellow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4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ICP-OES</w:t>
      </w:r>
      <w:r>
        <w:rPr>
          <w:rFonts w:ascii="Times New Roman" w:hAnsi="Times New Roman"/>
          <w:b/>
          <w:bCs/>
          <w:szCs w:val="24"/>
        </w:rPr>
        <w:t xml:space="preserve"> elemental analysis of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the</w:t>
      </w:r>
      <w:r>
        <w:rPr>
          <w:rFonts w:ascii="Times New Roman" w:eastAsia="SimSun" w:hAnsi="Times New Roman" w:hint="eastAsia"/>
          <w:b/>
          <w:bCs/>
          <w:szCs w:val="24"/>
          <w:vertAlign w:val="subscript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Co/</w:t>
      </w:r>
      <w:r>
        <w:rPr>
          <w:rFonts w:ascii="Times New Roman" w:hAnsi="Times New Roman"/>
          <w:b/>
          <w:bCs/>
          <w:szCs w:val="24"/>
        </w:rPr>
        <w:t>W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hAnsi="Times New Roman"/>
          <w:b/>
          <w:bCs/>
          <w:szCs w:val="24"/>
        </w:rPr>
        <w:t>TiC</w:t>
      </w:r>
      <w:r>
        <w:rPr>
          <w:rFonts w:ascii="Times New Roman" w:hAnsi="Times New Roman"/>
          <w:b/>
          <w:bCs/>
          <w:szCs w:val="24"/>
          <w:vertAlign w:val="subscript"/>
        </w:rPr>
        <w:t>2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hAnsi="Times New Roman"/>
          <w:b/>
          <w:bCs/>
          <w:szCs w:val="24"/>
        </w:rPr>
        <w:t>samples</w:t>
      </w:r>
    </w:p>
    <w:tbl>
      <w:tblPr>
        <w:tblW w:w="6715" w:type="dxa"/>
        <w:jc w:val="center"/>
        <w:tblLook w:val="04A0" w:firstRow="1" w:lastRow="0" w:firstColumn="1" w:lastColumn="0" w:noHBand="0" w:noVBand="1"/>
      </w:tblPr>
      <w:tblGrid>
        <w:gridCol w:w="2657"/>
        <w:gridCol w:w="1664"/>
        <w:gridCol w:w="2394"/>
      </w:tblGrid>
      <w:tr w:rsidR="003C12D4" w14:paraId="60DD2F6C" w14:textId="77777777">
        <w:trPr>
          <w:trHeight w:val="587"/>
          <w:jc w:val="center"/>
        </w:trPr>
        <w:tc>
          <w:tcPr>
            <w:tcW w:w="265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B61C1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/>
              </w:rPr>
              <w:t>Catalysts</w:t>
            </w:r>
          </w:p>
        </w:tc>
        <w:tc>
          <w:tcPr>
            <w:tcW w:w="166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B5FA19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/>
              </w:rPr>
              <w:t>Co Weight%</w:t>
            </w:r>
          </w:p>
        </w:tc>
        <w:tc>
          <w:tcPr>
            <w:tcW w:w="239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EC75A3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/>
              </w:rPr>
              <w:t xml:space="preserve">Averaged Co 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  <w:t>Weight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/>
              </w:rPr>
              <w:t>%</w:t>
            </w:r>
          </w:p>
        </w:tc>
      </w:tr>
      <w:tr w:rsidR="003C12D4" w14:paraId="78FD5980" w14:textId="77777777">
        <w:trPr>
          <w:trHeight w:val="264"/>
          <w:jc w:val="center"/>
        </w:trPr>
        <w:tc>
          <w:tcPr>
            <w:tcW w:w="2657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11F9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7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00</w:t>
            </w:r>
          </w:p>
        </w:tc>
        <w:tc>
          <w:tcPr>
            <w:tcW w:w="16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5F07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4.27%</w:t>
            </w:r>
          </w:p>
        </w:tc>
        <w:tc>
          <w:tcPr>
            <w:tcW w:w="2394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0780FA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4.3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%</w:t>
            </w:r>
          </w:p>
        </w:tc>
      </w:tr>
      <w:tr w:rsidR="003C12D4" w14:paraId="23CEEB22" w14:textId="77777777">
        <w:trPr>
          <w:trHeight w:val="256"/>
          <w:jc w:val="center"/>
        </w:trPr>
        <w:tc>
          <w:tcPr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5F698E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612F5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4.36%</w:t>
            </w:r>
          </w:p>
        </w:tc>
        <w:tc>
          <w:tcPr>
            <w:tcW w:w="23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0623D1B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  <w:tr w:rsidR="003C12D4" w14:paraId="1D354952" w14:textId="77777777">
        <w:trPr>
          <w:trHeight w:val="256"/>
          <w:jc w:val="center"/>
        </w:trPr>
        <w:tc>
          <w:tcPr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F4547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18B0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4.28%</w:t>
            </w:r>
          </w:p>
        </w:tc>
        <w:tc>
          <w:tcPr>
            <w:tcW w:w="239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FB4BC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  <w:tr w:rsidR="003C12D4" w14:paraId="3D538EA7" w14:textId="77777777">
        <w:trPr>
          <w:trHeight w:val="256"/>
          <w:jc w:val="center"/>
        </w:trPr>
        <w:tc>
          <w:tcPr>
            <w:tcW w:w="265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A8B0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48D3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4.04%</w:t>
            </w:r>
          </w:p>
        </w:tc>
        <w:tc>
          <w:tcPr>
            <w:tcW w:w="2394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6B6D7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4.0%</w:t>
            </w:r>
          </w:p>
        </w:tc>
      </w:tr>
      <w:tr w:rsidR="003C12D4" w14:paraId="5269E0FC" w14:textId="77777777">
        <w:trPr>
          <w:trHeight w:val="256"/>
          <w:jc w:val="center"/>
        </w:trPr>
        <w:tc>
          <w:tcPr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947263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5120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3.89%</w:t>
            </w:r>
          </w:p>
        </w:tc>
        <w:tc>
          <w:tcPr>
            <w:tcW w:w="2394" w:type="dxa"/>
            <w:vMerge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AC0D2F4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  <w:tr w:rsidR="003C12D4" w14:paraId="299E2D82" w14:textId="77777777">
        <w:trPr>
          <w:trHeight w:val="256"/>
          <w:jc w:val="center"/>
        </w:trPr>
        <w:tc>
          <w:tcPr>
            <w:tcW w:w="2657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E9179C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3BA36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3.95%</w:t>
            </w:r>
          </w:p>
        </w:tc>
        <w:tc>
          <w:tcPr>
            <w:tcW w:w="239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F75C57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  <w:tr w:rsidR="003C12D4" w14:paraId="5DB11CDC" w14:textId="77777777">
        <w:trPr>
          <w:trHeight w:val="256"/>
          <w:jc w:val="center"/>
        </w:trPr>
        <w:tc>
          <w:tcPr>
            <w:tcW w:w="2657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4448BA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5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00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AF2F3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4.10%</w:t>
            </w:r>
          </w:p>
        </w:tc>
        <w:tc>
          <w:tcPr>
            <w:tcW w:w="2394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0FB2E96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4.1%</w:t>
            </w:r>
          </w:p>
        </w:tc>
      </w:tr>
      <w:tr w:rsidR="003C12D4" w14:paraId="01B187F9" w14:textId="77777777">
        <w:trPr>
          <w:trHeight w:val="256"/>
          <w:jc w:val="center"/>
        </w:trPr>
        <w:tc>
          <w:tcPr>
            <w:tcW w:w="2657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D1B35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F9A0B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4.15%</w:t>
            </w:r>
          </w:p>
        </w:tc>
        <w:tc>
          <w:tcPr>
            <w:tcW w:w="2394" w:type="dxa"/>
            <w:vMerge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0965115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  <w:tr w:rsidR="003C12D4" w14:paraId="685D8BA2" w14:textId="77777777">
        <w:trPr>
          <w:trHeight w:val="296"/>
          <w:jc w:val="center"/>
        </w:trPr>
        <w:tc>
          <w:tcPr>
            <w:tcW w:w="2657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2BA10CF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723954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4.01%</w:t>
            </w:r>
          </w:p>
        </w:tc>
        <w:tc>
          <w:tcPr>
            <w:tcW w:w="239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B2227CB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</w:p>
        </w:tc>
      </w:tr>
    </w:tbl>
    <w:p w14:paraId="67C2AD7A" w14:textId="77777777" w:rsidR="003C12D4" w:rsidRDefault="003C12D4">
      <w:pPr>
        <w:spacing w:after="0" w:line="240" w:lineRule="auto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3286032E" w14:textId="77777777" w:rsidR="003C12D4" w:rsidRDefault="003C12D4">
      <w:pPr>
        <w:spacing w:after="0" w:line="240" w:lineRule="auto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5A34B7BA" w14:textId="77777777" w:rsidR="003C12D4" w:rsidRDefault="00000000">
      <w:pPr>
        <w:spacing w:after="0" w:line="240" w:lineRule="auto"/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5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The Co and total loading mass of different catalysts on the electrodes</w:t>
      </w:r>
    </w:p>
    <w:tbl>
      <w:tblPr>
        <w:tblW w:w="7998" w:type="dxa"/>
        <w:jc w:val="center"/>
        <w:tblLook w:val="04A0" w:firstRow="1" w:lastRow="0" w:firstColumn="1" w:lastColumn="0" w:noHBand="0" w:noVBand="1"/>
      </w:tblPr>
      <w:tblGrid>
        <w:gridCol w:w="2211"/>
        <w:gridCol w:w="2822"/>
        <w:gridCol w:w="2965"/>
      </w:tblGrid>
      <w:tr w:rsidR="003C12D4" w14:paraId="69738CF3" w14:textId="77777777">
        <w:trPr>
          <w:trHeight w:val="497"/>
          <w:jc w:val="center"/>
        </w:trPr>
        <w:tc>
          <w:tcPr>
            <w:tcW w:w="221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379475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Catalysts</w:t>
            </w:r>
          </w:p>
        </w:tc>
        <w:tc>
          <w:tcPr>
            <w:tcW w:w="282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B3B11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Loading of catalyst</w:t>
            </w:r>
          </w:p>
        </w:tc>
        <w:tc>
          <w:tcPr>
            <w:tcW w:w="2965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E9DDEA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Loading of Co</w:t>
            </w:r>
          </w:p>
        </w:tc>
      </w:tr>
      <w:tr w:rsidR="003C12D4" w14:paraId="2E0BC691" w14:textId="77777777">
        <w:trPr>
          <w:trHeight w:val="481"/>
          <w:jc w:val="center"/>
        </w:trPr>
        <w:tc>
          <w:tcPr>
            <w:tcW w:w="22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F32FC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  <w:tc>
          <w:tcPr>
            <w:tcW w:w="28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7CB58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12.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3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6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4D5D9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0.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49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</w:tr>
      <w:tr w:rsidR="003C12D4" w14:paraId="69973ECB" w14:textId="77777777">
        <w:trPr>
          <w:trHeight w:val="471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D6D5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E7583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12.9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306B7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0.52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</w:tr>
      <w:tr w:rsidR="003C12D4" w14:paraId="690AC532" w14:textId="77777777">
        <w:trPr>
          <w:trHeight w:val="471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0E31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-500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5A28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12.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8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DA055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0.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51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</w:tr>
      <w:tr w:rsidR="003C12D4" w14:paraId="639E4490" w14:textId="77777777">
        <w:trPr>
          <w:trHeight w:val="471"/>
          <w:jc w:val="center"/>
        </w:trPr>
        <w:tc>
          <w:tcPr>
            <w:tcW w:w="2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3C080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Co/WC</w:t>
            </w:r>
          </w:p>
        </w:tc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CA77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14.7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27A6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0.59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</w:tr>
      <w:tr w:rsidR="003C12D4" w14:paraId="1033E010" w14:textId="77777777">
        <w:trPr>
          <w:trHeight w:val="497"/>
          <w:jc w:val="center"/>
        </w:trPr>
        <w:tc>
          <w:tcPr>
            <w:tcW w:w="221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9B93A6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</w:p>
        </w:tc>
        <w:tc>
          <w:tcPr>
            <w:tcW w:w="28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20359F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12.5 mg/cm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59E2D1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</w:t>
            </w:r>
          </w:p>
        </w:tc>
      </w:tr>
    </w:tbl>
    <w:p w14:paraId="31277518" w14:textId="77777777" w:rsidR="003C12D4" w:rsidRDefault="003C12D4">
      <w:pPr>
        <w:jc w:val="left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51C3E4CC" w14:textId="77777777" w:rsidR="003C12D4" w:rsidRDefault="003C12D4">
      <w:pPr>
        <w:jc w:val="left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632D4019" w14:textId="77777777" w:rsidR="003C12D4" w:rsidRDefault="00000000">
      <w:pPr>
        <w:jc w:val="center"/>
        <w:rPr>
          <w:b/>
          <w:bCs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6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Summary of HER activity catalyzed by different </w:t>
      </w:r>
      <w:r>
        <w:rPr>
          <w:rFonts w:ascii="Times New Roman" w:eastAsia="SimSun" w:hAnsi="Times New Roman"/>
          <w:b/>
          <w:bCs/>
          <w:szCs w:val="24"/>
          <w:lang w:eastAsia="zh-CN"/>
        </w:rPr>
        <w:t>Co/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MXene catalysts</w:t>
      </w:r>
    </w:p>
    <w:tbl>
      <w:tblPr>
        <w:tblW w:w="7339" w:type="dxa"/>
        <w:jc w:val="center"/>
        <w:tblLook w:val="04A0" w:firstRow="1" w:lastRow="0" w:firstColumn="1" w:lastColumn="0" w:noHBand="0" w:noVBand="1"/>
      </w:tblPr>
      <w:tblGrid>
        <w:gridCol w:w="2409"/>
        <w:gridCol w:w="2298"/>
        <w:gridCol w:w="2632"/>
      </w:tblGrid>
      <w:tr w:rsidR="003C12D4" w14:paraId="1A21F7FA" w14:textId="77777777">
        <w:trPr>
          <w:trHeight w:val="763"/>
          <w:jc w:val="center"/>
        </w:trPr>
        <w:tc>
          <w:tcPr>
            <w:tcW w:w="2409" w:type="dxa"/>
            <w:tcBorders>
              <w:top w:val="single" w:sz="12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5A00DE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Catalyst</w:t>
            </w:r>
          </w:p>
        </w:tc>
        <w:tc>
          <w:tcPr>
            <w:tcW w:w="2298" w:type="dxa"/>
            <w:tcBorders>
              <w:top w:val="single" w:sz="12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6E6BFD7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Overpotential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@ 10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632" w:type="dxa"/>
            <w:tcBorders>
              <w:top w:val="single" w:sz="12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3FE6F3C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 w:themeColor="text1"/>
                <w:sz w:val="22"/>
                <w:szCs w:val="22"/>
                <w:lang w:eastAsia="zh-CN" w:bidi="ar"/>
              </w:rPr>
              <w:t>Tafel slope</w:t>
            </w:r>
          </w:p>
        </w:tc>
      </w:tr>
      <w:tr w:rsidR="003C12D4" w14:paraId="61EB7E95" w14:textId="77777777">
        <w:trPr>
          <w:trHeight w:val="481"/>
          <w:jc w:val="center"/>
        </w:trPr>
        <w:tc>
          <w:tcPr>
            <w:tcW w:w="24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2E28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90B1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62.58 mV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A639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44.34 mV/dec</w:t>
            </w:r>
          </w:p>
        </w:tc>
      </w:tr>
      <w:tr w:rsidR="003C12D4" w14:paraId="02E7C2C4" w14:textId="77777777">
        <w:trPr>
          <w:trHeight w:val="471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3F5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140B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88.78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BD0D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50.78 mV/dec</w:t>
            </w:r>
          </w:p>
        </w:tc>
      </w:tr>
      <w:tr w:rsidR="003C12D4" w14:paraId="737AD72F" w14:textId="77777777">
        <w:trPr>
          <w:trHeight w:val="471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799F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989F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99.34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C52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71.00 mV/dec</w:t>
            </w:r>
          </w:p>
        </w:tc>
      </w:tr>
      <w:tr w:rsidR="003C12D4" w14:paraId="3D579F3D" w14:textId="77777777">
        <w:trPr>
          <w:trHeight w:val="471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E0F7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56AD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211.93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126B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166.30 mV/dec</w:t>
            </w:r>
          </w:p>
        </w:tc>
      </w:tr>
      <w:tr w:rsidR="003C12D4" w14:paraId="21B0A1C3" w14:textId="77777777">
        <w:trPr>
          <w:trHeight w:val="491"/>
          <w:jc w:val="center"/>
        </w:trPr>
        <w:tc>
          <w:tcPr>
            <w:tcW w:w="2409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6584AFB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</w:p>
        </w:tc>
        <w:tc>
          <w:tcPr>
            <w:tcW w:w="2298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vAlign w:val="center"/>
          </w:tcPr>
          <w:p w14:paraId="2E54EC8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291.11 mV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14:paraId="0B03892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268.04 mV/dec</w:t>
            </w:r>
          </w:p>
        </w:tc>
      </w:tr>
    </w:tbl>
    <w:p w14:paraId="103A8977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br w:type="page"/>
      </w:r>
    </w:p>
    <w:p w14:paraId="30B8429E" w14:textId="77777777" w:rsidR="003C12D4" w:rsidRDefault="00000000">
      <w:pPr>
        <w:widowControl w:val="0"/>
        <w:spacing w:after="0" w:line="480" w:lineRule="auto"/>
        <w:jc w:val="center"/>
        <w:rPr>
          <w:b/>
          <w:bCs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7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Summary of HER activity catalyzed by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Co/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MXene catalysts </w:t>
      </w:r>
      <w:r>
        <w:rPr>
          <w:rFonts w:ascii="Times New Roman" w:eastAsia="SimSun" w:hAnsi="Times New Roman"/>
          <w:b/>
          <w:bCs/>
          <w:szCs w:val="24"/>
          <w:lang w:eastAsia="zh-CN"/>
        </w:rPr>
        <w:t>and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b/>
          <w:bCs/>
          <w:szCs w:val="24"/>
          <w:lang w:eastAsia="zh-CN"/>
        </w:rPr>
        <w:t>Pt</w:t>
      </w:r>
    </w:p>
    <w:tbl>
      <w:tblPr>
        <w:tblW w:w="8240" w:type="dxa"/>
        <w:jc w:val="center"/>
        <w:tblLook w:val="04A0" w:firstRow="1" w:lastRow="0" w:firstColumn="1" w:lastColumn="0" w:noHBand="0" w:noVBand="1"/>
      </w:tblPr>
      <w:tblGrid>
        <w:gridCol w:w="2380"/>
        <w:gridCol w:w="2930"/>
        <w:gridCol w:w="2930"/>
      </w:tblGrid>
      <w:tr w:rsidR="003C12D4" w14:paraId="42330FDB" w14:textId="77777777">
        <w:trPr>
          <w:trHeight w:val="800"/>
          <w:jc w:val="center"/>
        </w:trPr>
        <w:tc>
          <w:tcPr>
            <w:tcW w:w="238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7E07D9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Samples</w:t>
            </w:r>
          </w:p>
        </w:tc>
        <w:tc>
          <w:tcPr>
            <w:tcW w:w="293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A3DF9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Overpotential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@ 10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93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68CCA2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Overpotential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br/>
              <w:t>@ 100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</w:tr>
      <w:tr w:rsidR="003C12D4" w14:paraId="6CBC812D" w14:textId="77777777">
        <w:trPr>
          <w:trHeight w:val="520"/>
          <w:jc w:val="center"/>
        </w:trPr>
        <w:tc>
          <w:tcPr>
            <w:tcW w:w="23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4236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F981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62.58 mV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96FA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191.18 mV</w:t>
            </w:r>
          </w:p>
        </w:tc>
      </w:tr>
      <w:tr w:rsidR="003C12D4" w14:paraId="24FF3B67" w14:textId="77777777">
        <w:trPr>
          <w:trHeight w:val="520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487B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6845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88.78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EEA4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231.90 mV</w:t>
            </w:r>
          </w:p>
        </w:tc>
      </w:tr>
      <w:tr w:rsidR="003C12D4" w14:paraId="1133D288" w14:textId="77777777">
        <w:trPr>
          <w:trHeight w:val="520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6B76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7EF1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99.34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B65F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349.60 mV</w:t>
            </w:r>
          </w:p>
        </w:tc>
      </w:tr>
      <w:tr w:rsidR="003C12D4" w14:paraId="377C1DFB" w14:textId="77777777">
        <w:trPr>
          <w:trHeight w:val="520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20739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E321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211.93 mV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4102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387.03 mV</w:t>
            </w:r>
          </w:p>
        </w:tc>
      </w:tr>
      <w:tr w:rsidR="003C12D4" w14:paraId="65C622B8" w14:textId="77777777">
        <w:trPr>
          <w:trHeight w:val="520"/>
          <w:jc w:val="center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96E50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DE66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291.11 mV</w:t>
            </w:r>
          </w:p>
        </w:tc>
        <w:tc>
          <w:tcPr>
            <w:tcW w:w="2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DD16F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476.21 mV</w:t>
            </w:r>
          </w:p>
        </w:tc>
      </w:tr>
      <w:tr w:rsidR="003C12D4" w14:paraId="454F9B52" w14:textId="77777777">
        <w:trPr>
          <w:trHeight w:val="520"/>
          <w:jc w:val="center"/>
        </w:trPr>
        <w:tc>
          <w:tcPr>
            <w:tcW w:w="238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7D2EE0C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 xml:space="preserve">Commercial </w:t>
            </w:r>
            <w:r>
              <w:rPr>
                <w:rFonts w:ascii="Times New Roman" w:eastAsia="SimSun" w:hAnsi="Times New Roman" w:hint="eastAsia"/>
                <w:color w:val="000000"/>
                <w:sz w:val="22"/>
                <w:szCs w:val="22"/>
                <w:lang w:eastAsia="zh-CN" w:bidi="ar"/>
              </w:rPr>
              <w:t>4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0% Pt/C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0A714C3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51.74 mV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786B16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238.02 mV</w:t>
            </w:r>
          </w:p>
        </w:tc>
      </w:tr>
    </w:tbl>
    <w:p w14:paraId="1A0684C3" w14:textId="77777777" w:rsidR="003C12D4" w:rsidRDefault="003C12D4"/>
    <w:p w14:paraId="071FFCDE" w14:textId="77777777" w:rsidR="003C12D4" w:rsidRDefault="003C12D4">
      <w:pPr>
        <w:widowControl w:val="0"/>
        <w:spacing w:after="0" w:line="480" w:lineRule="auto"/>
        <w:rPr>
          <w:rFonts w:ascii="Times New Roman" w:hAnsi="Times New Roman"/>
          <w:szCs w:val="24"/>
        </w:rPr>
      </w:pPr>
    </w:p>
    <w:p w14:paraId="713483D2" w14:textId="77777777" w:rsidR="003C12D4" w:rsidRDefault="00000000">
      <w:pPr>
        <w:widowControl w:val="0"/>
        <w:spacing w:after="0" w:line="480" w:lineRule="auto"/>
        <w:jc w:val="center"/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8</w:t>
      </w:r>
      <w:r>
        <w:rPr>
          <w:rFonts w:ascii="Times New Roman" w:hAnsi="Times New Roman"/>
          <w:b/>
          <w:bCs/>
          <w:szCs w:val="24"/>
        </w:rPr>
        <w:t>.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Summary of high current density HER activity catalyzed by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DengXian" w:hAnsi="Times New Roman"/>
          <w:b/>
          <w:bCs/>
          <w:kern w:val="2"/>
          <w:szCs w:val="24"/>
          <w:lang w:eastAsia="zh-CN" w:bidi="ar"/>
        </w:rPr>
        <w:t>Co/W</w:t>
      </w:r>
      <w:r>
        <w:rPr>
          <w:rFonts w:ascii="Times New Roman" w:eastAsia="DengXian" w:hAnsi="Times New Roman"/>
          <w:b/>
          <w:bCs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DengXian" w:hAnsi="Times New Roman"/>
          <w:b/>
          <w:bCs/>
          <w:kern w:val="2"/>
          <w:szCs w:val="24"/>
          <w:lang w:eastAsia="zh-CN" w:bidi="ar"/>
        </w:rPr>
        <w:t>TiC</w:t>
      </w:r>
      <w:r>
        <w:rPr>
          <w:rFonts w:ascii="Times New Roman" w:eastAsia="DengXian" w:hAnsi="Times New Roman"/>
          <w:b/>
          <w:bCs/>
          <w:kern w:val="2"/>
          <w:szCs w:val="24"/>
          <w:vertAlign w:val="subscript"/>
          <w:lang w:eastAsia="zh-CN" w:bidi="ar"/>
        </w:rPr>
        <w:t>2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-700 and </w:t>
      </w:r>
      <w:r>
        <w:rPr>
          <w:rFonts w:ascii="Times New Roman" w:eastAsia="SimSun" w:hAnsi="Times New Roman"/>
          <w:b/>
          <w:bCs/>
          <w:szCs w:val="24"/>
          <w:lang w:eastAsia="zh-CN"/>
        </w:rPr>
        <w:t>Pt</w:t>
      </w:r>
    </w:p>
    <w:tbl>
      <w:tblPr>
        <w:tblW w:w="717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300"/>
        <w:gridCol w:w="2324"/>
      </w:tblGrid>
      <w:tr w:rsidR="003C12D4" w14:paraId="03668348" w14:textId="77777777">
        <w:trPr>
          <w:trHeight w:val="683"/>
          <w:jc w:val="center"/>
        </w:trPr>
        <w:tc>
          <w:tcPr>
            <w:tcW w:w="254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6B211D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Overpotential</w:t>
            </w:r>
          </w:p>
        </w:tc>
        <w:tc>
          <w:tcPr>
            <w:tcW w:w="2300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862429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Commercial 40% Pt/C</w:t>
            </w:r>
          </w:p>
        </w:tc>
        <w:tc>
          <w:tcPr>
            <w:tcW w:w="2324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CA14F2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Co/W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TiC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-700</w:t>
            </w:r>
          </w:p>
        </w:tc>
      </w:tr>
      <w:tr w:rsidR="003C12D4" w14:paraId="63F0C49B" w14:textId="77777777">
        <w:trPr>
          <w:trHeight w:val="520"/>
          <w:jc w:val="center"/>
        </w:trPr>
        <w:tc>
          <w:tcPr>
            <w:tcW w:w="254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C71B3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10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C512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51.74 mV</w:t>
            </w:r>
          </w:p>
        </w:tc>
        <w:tc>
          <w:tcPr>
            <w:tcW w:w="232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1C07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62.58 mV</w:t>
            </w:r>
          </w:p>
        </w:tc>
      </w:tr>
      <w:tr w:rsidR="003C12D4" w14:paraId="10064DEE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35D6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100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06B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238.02 mV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3B9A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191.18 mV</w:t>
            </w:r>
          </w:p>
        </w:tc>
      </w:tr>
      <w:tr w:rsidR="003C12D4" w14:paraId="484CA8AF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86C8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200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7E19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312.41 mV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1FD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245.79 mV</w:t>
            </w:r>
          </w:p>
        </w:tc>
      </w:tr>
      <w:tr w:rsidR="003C12D4" w14:paraId="0575E907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022E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300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F63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362.49 mV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EB22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286.33 mV</w:t>
            </w:r>
          </w:p>
        </w:tc>
      </w:tr>
      <w:tr w:rsidR="003C12D4" w14:paraId="38D886C8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79570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400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BBAA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398.65 mV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05353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309.47 mV</w:t>
            </w:r>
          </w:p>
        </w:tc>
      </w:tr>
      <w:tr w:rsidR="003C12D4" w14:paraId="381EB132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778C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500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A1472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423.90 mV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298D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330.43 mV</w:t>
            </w:r>
          </w:p>
        </w:tc>
      </w:tr>
      <w:tr w:rsidR="003C12D4" w14:paraId="35D655BF" w14:textId="77777777">
        <w:trPr>
          <w:trHeight w:val="520"/>
          <w:jc w:val="center"/>
        </w:trPr>
        <w:tc>
          <w:tcPr>
            <w:tcW w:w="254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0C80A86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η @ 1000 mA/cm</w:t>
            </w:r>
            <w:r>
              <w:rPr>
                <w:rFonts w:ascii="Times New Roman" w:eastAsia="SimSun" w:hAnsi="Times New Roman"/>
                <w:color w:val="000000"/>
                <w:sz w:val="22"/>
                <w:szCs w:val="22"/>
                <w:vertAlign w:val="superscript"/>
                <w:lang w:eastAsia="zh-CN" w:bidi="ar"/>
              </w:rPr>
              <w:t>2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3EC8433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499.19 mV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noWrap/>
            <w:vAlign w:val="center"/>
          </w:tcPr>
          <w:p w14:paraId="23C774B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 w:bidi="ar"/>
              </w:rPr>
              <w:t>407.72 mV</w:t>
            </w:r>
          </w:p>
        </w:tc>
      </w:tr>
    </w:tbl>
    <w:p w14:paraId="7AA4471E" w14:textId="77777777" w:rsidR="003C12D4" w:rsidRDefault="003C12D4">
      <w:pPr>
        <w:spacing w:after="0" w:line="240" w:lineRule="auto"/>
        <w:jc w:val="left"/>
        <w:rPr>
          <w:rFonts w:ascii="Times New Roman" w:eastAsia="SimSun" w:hAnsi="Times New Roman"/>
          <w:b/>
          <w:bCs/>
          <w:szCs w:val="24"/>
          <w:lang w:eastAsia="zh-CN"/>
        </w:rPr>
      </w:pPr>
    </w:p>
    <w:p w14:paraId="0B4935B9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br w:type="page"/>
      </w:r>
    </w:p>
    <w:p w14:paraId="129EBC5F" w14:textId="77777777" w:rsidR="003C12D4" w:rsidRDefault="00000000">
      <w:pPr>
        <w:widowControl w:val="0"/>
        <w:snapToGrid w:val="0"/>
        <w:spacing w:after="0" w:line="480" w:lineRule="auto"/>
        <w:jc w:val="center"/>
        <w:rPr>
          <w:rFonts w:ascii="Times New Roman" w:eastAsia="SimSun" w:hAnsi="Times New Roman"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 xml:space="preserve">Supplementary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Table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9</w:t>
      </w:r>
      <w:r>
        <w:rPr>
          <w:rFonts w:ascii="Times New Roman" w:hAnsi="Times New Roman"/>
          <w:b/>
          <w:bCs/>
          <w:szCs w:val="24"/>
        </w:rPr>
        <w:t xml:space="preserve">.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Comparison of alkaline HER performance reported 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for 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>cobalt and transition metal carbide based</w:t>
      </w:r>
      <w:r>
        <w:rPr>
          <w:rFonts w:ascii="Times New Roman" w:eastAsia="SimSun" w:hAnsi="Times New Roman"/>
          <w:b/>
          <w:bCs/>
          <w:szCs w:val="24"/>
          <w:lang w:eastAsia="zh-CN"/>
        </w:rPr>
        <w:t xml:space="preserve"> non-noble metal</w:t>
      </w:r>
      <w:r>
        <w:rPr>
          <w:rFonts w:ascii="Times New Roman" w:eastAsia="SimSun" w:hAnsi="Times New Roman" w:hint="eastAsia"/>
          <w:b/>
          <w:bCs/>
          <w:szCs w:val="24"/>
          <w:lang w:eastAsia="zh-CN"/>
        </w:rPr>
        <w:t xml:space="preserve"> </w:t>
      </w:r>
      <w:r>
        <w:rPr>
          <w:rFonts w:ascii="Times New Roman" w:eastAsia="SimSun" w:hAnsi="Times New Roman"/>
          <w:b/>
          <w:bCs/>
          <w:szCs w:val="24"/>
          <w:lang w:eastAsia="zh-CN"/>
        </w:rPr>
        <w:t>catalysts</w:t>
      </w:r>
    </w:p>
    <w:tbl>
      <w:tblPr>
        <w:tblStyle w:val="TableGrid"/>
        <w:tblpPr w:leftFromText="180" w:rightFromText="180" w:vertAnchor="text" w:horzAnchor="margin" w:tblpX="105" w:tblpY="293"/>
        <w:tblW w:w="9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2"/>
        <w:gridCol w:w="891"/>
        <w:gridCol w:w="951"/>
        <w:gridCol w:w="853"/>
        <w:gridCol w:w="830"/>
        <w:gridCol w:w="983"/>
        <w:gridCol w:w="2166"/>
        <w:gridCol w:w="900"/>
      </w:tblGrid>
      <w:tr w:rsidR="003C12D4" w14:paraId="1992F18F" w14:textId="77777777">
        <w:trPr>
          <w:trHeight w:hRule="exact" w:val="701"/>
          <w:tblHeader/>
        </w:trPr>
        <w:tc>
          <w:tcPr>
            <w:tcW w:w="175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EAD4AE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Catalysts</w:t>
            </w:r>
          </w:p>
        </w:tc>
        <w:tc>
          <w:tcPr>
            <w:tcW w:w="89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91F30D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 xml:space="preserve">η @ 10 </w:t>
            </w:r>
          </w:p>
          <w:p w14:paraId="0CA1BFD7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344947C4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(mV)</w:t>
            </w:r>
          </w:p>
        </w:tc>
        <w:tc>
          <w:tcPr>
            <w:tcW w:w="9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A52E79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Tafel slope</w:t>
            </w:r>
          </w:p>
          <w:p w14:paraId="598A9CCF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(mV/dec)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5AEAA36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η @ 100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08C49A82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(mV)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9682C3D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η @ 500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2C761726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(mV)</w:t>
            </w:r>
          </w:p>
        </w:tc>
        <w:tc>
          <w:tcPr>
            <w:tcW w:w="98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962D15D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η @ 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6F06BE57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(mV)</w:t>
            </w:r>
          </w:p>
        </w:tc>
        <w:tc>
          <w:tcPr>
            <w:tcW w:w="21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70C0FC79" w14:textId="77777777" w:rsidR="003C12D4" w:rsidRDefault="00000000">
            <w:pPr>
              <w:spacing w:after="0" w:line="24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Stability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6A2AB50" w14:textId="77777777" w:rsidR="003C12D4" w:rsidRDefault="00000000">
            <w:pPr>
              <w:spacing w:after="0" w:line="24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Reference</w:t>
            </w:r>
          </w:p>
        </w:tc>
      </w:tr>
      <w:tr w:rsidR="003C12D4" w14:paraId="19DA413B" w14:textId="77777777">
        <w:trPr>
          <w:trHeight w:hRule="exact" w:val="558"/>
          <w:tblHeader/>
        </w:trPr>
        <w:tc>
          <w:tcPr>
            <w:tcW w:w="17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49B817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Co/W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TiC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x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-700</w:t>
            </w:r>
          </w:p>
        </w:tc>
        <w:tc>
          <w:tcPr>
            <w:tcW w:w="89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282C9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62.58</w:t>
            </w:r>
          </w:p>
        </w:tc>
        <w:tc>
          <w:tcPr>
            <w:tcW w:w="9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43555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44.34</w:t>
            </w:r>
          </w:p>
        </w:tc>
        <w:tc>
          <w:tcPr>
            <w:tcW w:w="85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2E35E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191.18</w:t>
            </w:r>
          </w:p>
        </w:tc>
        <w:tc>
          <w:tcPr>
            <w:tcW w:w="83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D6174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330.43</w:t>
            </w:r>
          </w:p>
        </w:tc>
        <w:tc>
          <w:tcPr>
            <w:tcW w:w="983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4832D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407.72</w:t>
            </w:r>
          </w:p>
        </w:tc>
        <w:tc>
          <w:tcPr>
            <w:tcW w:w="2166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D374D1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500h @10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7435426D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100h 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A423AE5" w14:textId="77777777" w:rsidR="003C12D4" w:rsidRDefault="00000000">
            <w:pPr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This work</w:t>
            </w:r>
          </w:p>
        </w:tc>
      </w:tr>
      <w:tr w:rsidR="003C12D4" w14:paraId="2A5CB3AB" w14:textId="77777777">
        <w:trPr>
          <w:trHeight w:hRule="exact" w:val="558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05265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NiFe-LDH/Ti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x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/NF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9C8A0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132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68381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70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3D76E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B06F8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205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6B86A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1A7AD6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vertAlign w:val="superscript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280h @10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  <w:lang w:eastAsia="zh-CN" w:bidi="ar"/>
              </w:rPr>
              <w:t>2</w:t>
            </w:r>
          </w:p>
          <w:p w14:paraId="57E70B01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200h 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9E061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[4]</w:t>
            </w:r>
          </w:p>
        </w:tc>
      </w:tr>
      <w:tr w:rsidR="003C12D4" w14:paraId="3D034FBB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655EA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MoS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@Mo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CT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ECAA4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176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4CFA1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207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23738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14428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494D9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32B987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8h @0.400 V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044CC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[5]</w:t>
            </w:r>
          </w:p>
        </w:tc>
      </w:tr>
      <w:tr w:rsidR="003C12D4" w14:paraId="5E8F6D83" w14:textId="77777777">
        <w:trPr>
          <w:trHeight w:hRule="exact" w:val="496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168B0E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Ni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0.9</w:t>
            </w:r>
            <w:r>
              <w:rPr>
                <w:rStyle w:val="font41"/>
                <w:rFonts w:eastAsia="SimSun"/>
                <w:sz w:val="16"/>
                <w:szCs w:val="16"/>
                <w:lang w:eastAsia="zh-CN" w:bidi="ar"/>
              </w:rPr>
              <w:t>Co</w:t>
            </w:r>
            <w:r>
              <w:rPr>
                <w:rStyle w:val="font51"/>
                <w:rFonts w:eastAsia="SimSun"/>
                <w:sz w:val="16"/>
                <w:szCs w:val="16"/>
                <w:lang w:eastAsia="zh-CN" w:bidi="ar"/>
              </w:rPr>
              <w:t>0.1</w:t>
            </w:r>
            <w:r>
              <w:rPr>
                <w:rStyle w:val="font41"/>
                <w:rFonts w:eastAsia="SimSun"/>
                <w:sz w:val="16"/>
                <w:szCs w:val="16"/>
                <w:lang w:eastAsia="zh-CN" w:bidi="ar"/>
              </w:rPr>
              <w:t>@Nb-doped Ti</w:t>
            </w:r>
            <w:r>
              <w:rPr>
                <w:rStyle w:val="font51"/>
                <w:rFonts w:eastAsia="SimSun"/>
                <w:sz w:val="16"/>
                <w:szCs w:val="16"/>
                <w:lang w:eastAsia="zh-CN" w:bidi="ar"/>
              </w:rPr>
              <w:t>3</w:t>
            </w:r>
            <w:r>
              <w:rPr>
                <w:rStyle w:val="font4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5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4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51"/>
                <w:rFonts w:eastAsia="SimSun"/>
                <w:sz w:val="16"/>
                <w:szCs w:val="16"/>
                <w:lang w:eastAsia="zh-CN" w:bidi="ar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2E174E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43.4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4F5D9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116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C6849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D9255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7A52F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CCEDAD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50h @10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C6BEB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[6]</w:t>
            </w:r>
          </w:p>
        </w:tc>
      </w:tr>
      <w:tr w:rsidR="003C12D4" w14:paraId="43C81F52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691E2B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Nb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4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B740D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398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3E930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122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9B4C1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C39C7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56A0A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5EFB12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</w:rPr>
              <w:t xml:space="preserve">50h @0.398 V 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(</w:t>
            </w:r>
            <w:r>
              <w:rPr>
                <w:rStyle w:val="font11"/>
                <w:rFonts w:eastAsia="SimSun" w:hint="eastAsia"/>
                <w:sz w:val="16"/>
                <w:szCs w:val="16"/>
                <w:lang w:eastAsia="zh-CN" w:bidi="ar"/>
              </w:rPr>
              <w:t>~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D29C6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[7]</w:t>
            </w:r>
          </w:p>
        </w:tc>
      </w:tr>
      <w:tr w:rsidR="003C12D4" w14:paraId="6E937FA2" w14:textId="77777777">
        <w:trPr>
          <w:trHeight w:hRule="exact" w:val="766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667443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WP–W</w:t>
            </w:r>
            <w:r>
              <w:rPr>
                <w:rStyle w:val="font6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87289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43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2E466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42.11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4F09A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139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31FC4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A8C51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560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9E59F3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40h @350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7BEDA181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60h @570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6659D71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60h 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9D3F5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[8]</w:t>
            </w:r>
          </w:p>
        </w:tc>
      </w:tr>
      <w:tr w:rsidR="003C12D4" w14:paraId="1531CA01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B946F4D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Mo</w:t>
            </w:r>
            <w:r>
              <w:rPr>
                <w:rFonts w:ascii="Times New Roman" w:eastAsia="SimSun" w:hAnsi="Times New Roman"/>
                <w:sz w:val="16"/>
                <w:szCs w:val="16"/>
                <w:vertAlign w:val="subscript"/>
                <w:lang w:eastAsia="zh-CN"/>
              </w:rPr>
              <w:t>2</w:t>
            </w: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C@C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7EA3C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47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5DFC1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71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9C95F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31BA2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BF8EC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5915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353B5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[9]</w:t>
            </w:r>
          </w:p>
        </w:tc>
      </w:tr>
      <w:tr w:rsidR="003C12D4" w14:paraId="104FBEAA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1F3C97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MoS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–Mo</w:t>
            </w:r>
            <w:r>
              <w:rPr>
                <w:rStyle w:val="font6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6445D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56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8D895C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64.2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F8095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171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8AC14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25412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446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41E4F0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F8AE9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[10]</w:t>
            </w:r>
          </w:p>
        </w:tc>
      </w:tr>
      <w:tr w:rsidR="003C12D4" w14:paraId="02A52C56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E523C60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HC-MoS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/Mo</w:t>
            </w:r>
            <w:r>
              <w:rPr>
                <w:rStyle w:val="font6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E306B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8489A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A1548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33E9B4" w14:textId="77777777" w:rsidR="003C12D4" w:rsidRDefault="003C12D4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99562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441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8A72F2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24h @500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8983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[11]</w:t>
            </w:r>
          </w:p>
        </w:tc>
      </w:tr>
      <w:tr w:rsidR="003C12D4" w14:paraId="1BB3E45D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A2A082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MoS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–Mo</w:t>
            </w:r>
            <w:r>
              <w:rPr>
                <w:rStyle w:val="font6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F456B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AFCA3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43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EDF6C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21E73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191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B12E6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220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4D3EEB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24h @200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7384A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[12]</w:t>
            </w:r>
          </w:p>
        </w:tc>
      </w:tr>
      <w:tr w:rsidR="003C12D4" w14:paraId="19E65877" w14:textId="77777777">
        <w:trPr>
          <w:trHeight w:hRule="exact" w:val="496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4C8F63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C/MoC/carbon nanotube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25AD5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82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78D84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42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0DC93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EC863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201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E5B9E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233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19CF86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336h @1000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A3B242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[13]</w:t>
            </w:r>
          </w:p>
        </w:tc>
      </w:tr>
      <w:tr w:rsidR="003C12D4" w14:paraId="0E5F398B" w14:textId="77777777">
        <w:trPr>
          <w:trHeight w:hRule="exact" w:val="1013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DC8979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MoC–Mo</w:t>
            </w:r>
            <w:r>
              <w:rPr>
                <w:rStyle w:val="font61"/>
                <w:rFonts w:eastAsia="SimSun"/>
                <w:sz w:val="16"/>
                <w:szCs w:val="16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C-790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92C24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98.2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34A13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59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18CED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C4A3A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292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C69CA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737C11" w14:textId="77777777" w:rsidR="003C12D4" w:rsidRDefault="00000000">
            <w:pPr>
              <w:spacing w:after="0" w:line="260" w:lineRule="auto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100h @100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616B7F20" w14:textId="77777777" w:rsidR="003C12D4" w:rsidRDefault="00000000">
            <w:pPr>
              <w:spacing w:after="0" w:line="260" w:lineRule="auto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50h @300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73F8DE7D" w14:textId="77777777" w:rsidR="003C12D4" w:rsidRDefault="00000000">
            <w:pPr>
              <w:spacing w:after="0" w:line="260" w:lineRule="auto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50h @500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2D7C68E2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2400h 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D0692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[14]</w:t>
            </w:r>
          </w:p>
        </w:tc>
      </w:tr>
      <w:tr w:rsidR="003C12D4" w14:paraId="31F9848E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2F2F55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P/N@Ti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x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@NF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37C5A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15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A6F94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30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B5EF9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B427F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6E724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23843C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4</w:t>
            </w:r>
            <w:r>
              <w:rPr>
                <w:rStyle w:val="font11"/>
                <w:rFonts w:eastAsia="SimSun" w:hint="eastAsia"/>
                <w:sz w:val="16"/>
                <w:szCs w:val="16"/>
                <w:lang w:eastAsia="zh-CN" w:bidi="ar"/>
              </w:rPr>
              <w:t>h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 xml:space="preserve"> </w:t>
            </w:r>
            <w:r>
              <w:rPr>
                <w:rStyle w:val="font11"/>
                <w:rFonts w:eastAsia="SimSun"/>
                <w:sz w:val="16"/>
                <w:szCs w:val="16"/>
              </w:rPr>
              <w:t>@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10-80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94B53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[15]</w:t>
            </w:r>
          </w:p>
        </w:tc>
      </w:tr>
      <w:tr w:rsidR="003C12D4" w14:paraId="11C594DC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5F198C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CoP/Ti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763E12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113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C1987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57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0209E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41ECF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2D36C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9AF862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24h @50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137B91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[16]</w:t>
            </w:r>
          </w:p>
        </w:tc>
      </w:tr>
      <w:tr w:rsidR="003C12D4" w14:paraId="6CEE31F3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EC710B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7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Se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8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/Ti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T</w:t>
            </w:r>
            <w:r>
              <w:rPr>
                <w:rStyle w:val="font11"/>
                <w:rFonts w:eastAsia="SimSun"/>
                <w:sz w:val="16"/>
                <w:szCs w:val="16"/>
                <w:vertAlign w:val="subscript"/>
                <w:lang w:eastAsia="zh-CN" w:bidi="ar"/>
              </w:rPr>
              <w:t>x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B9AAE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270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DD6B8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128.5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73FD0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6BFD8A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8E66A75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A8EFFC5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24h @50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F6E64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[16]</w:t>
            </w:r>
          </w:p>
        </w:tc>
      </w:tr>
      <w:tr w:rsidR="003C12D4" w14:paraId="7A2E38AD" w14:textId="77777777">
        <w:trPr>
          <w:trHeight w:hRule="exact" w:val="574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FF1B9C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Co-CeO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D2EB8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A2EBF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44477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132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6720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215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02440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F96CB5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14h @150 mV (</w:t>
            </w:r>
            <w:r>
              <w:rPr>
                <w:rStyle w:val="font11"/>
                <w:rFonts w:eastAsia="SimSun" w:hint="eastAsia"/>
                <w:sz w:val="16"/>
                <w:szCs w:val="16"/>
                <w:lang w:eastAsia="zh-CN" w:bidi="ar"/>
              </w:rPr>
              <w:t>~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40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)</w:t>
            </w:r>
          </w:p>
          <w:p w14:paraId="31CC2842" w14:textId="77777777" w:rsidR="003C12D4" w:rsidRDefault="00000000">
            <w:pPr>
              <w:spacing w:after="0" w:line="24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14h @200 mV (</w:t>
            </w:r>
            <w:r>
              <w:rPr>
                <w:rStyle w:val="font11"/>
                <w:rFonts w:eastAsia="SimSun" w:hint="eastAsia"/>
                <w:sz w:val="16"/>
                <w:szCs w:val="16"/>
                <w:lang w:eastAsia="zh-CN" w:bidi="ar"/>
              </w:rPr>
              <w:t>~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70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3130E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[17]</w:t>
            </w:r>
          </w:p>
        </w:tc>
      </w:tr>
      <w:tr w:rsidR="003C12D4" w14:paraId="24020129" w14:textId="77777777">
        <w:trPr>
          <w:trHeight w:hRule="exact" w:val="558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A41437A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3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Mo/Cu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C6868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12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22948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40</w:t>
            </w:r>
          </w:p>
        </w:tc>
        <w:tc>
          <w:tcPr>
            <w:tcW w:w="2666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CA9939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96 @ 400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90657E" w14:textId="77777777" w:rsidR="003C12D4" w:rsidRDefault="00000000">
            <w:pPr>
              <w:spacing w:after="0" w:line="260" w:lineRule="auto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1000h @60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1E9277DB" w14:textId="77777777" w:rsidR="003C12D4" w:rsidRDefault="00000000">
            <w:pPr>
              <w:spacing w:after="0" w:line="360" w:lineRule="auto"/>
              <w:textAlignment w:val="center"/>
              <w:rPr>
                <w:rStyle w:val="font2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500h @210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  <w:p w14:paraId="740CC14E" w14:textId="77777777" w:rsidR="003C12D4" w:rsidRDefault="003C12D4">
            <w:pPr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60C8B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[18]</w:t>
            </w:r>
          </w:p>
        </w:tc>
      </w:tr>
      <w:tr w:rsidR="003C12D4" w14:paraId="27D795D7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BF33717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Co-M</w:t>
            </w:r>
            <w:r>
              <w:rPr>
                <w:rStyle w:val="font71"/>
                <w:rFonts w:ascii="Times New Roman" w:hAnsi="Times New Roman"/>
                <w:sz w:val="16"/>
                <w:szCs w:val="16"/>
                <w:lang w:eastAsia="zh-CN" w:bidi="ar"/>
              </w:rPr>
              <w:t>o</w:t>
            </w:r>
            <w:r>
              <w:rPr>
                <w:rStyle w:val="font81"/>
                <w:rFonts w:ascii="Times New Roman" w:hAnsi="Times New Roman"/>
                <w:sz w:val="16"/>
                <w:szCs w:val="16"/>
                <w:lang w:eastAsia="zh-CN" w:bidi="ar"/>
              </w:rPr>
              <w:t>5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N</w:t>
            </w:r>
            <w:r>
              <w:rPr>
                <w:rStyle w:val="font31"/>
                <w:rFonts w:eastAsia="SimSun"/>
                <w:sz w:val="16"/>
                <w:szCs w:val="16"/>
                <w:lang w:eastAsia="zh-CN" w:bidi="ar"/>
              </w:rPr>
              <w:t>6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C956C3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19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B651B0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29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A92FE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75DDA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C4750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280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C994FB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10h @5000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65576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[19]</w:t>
            </w:r>
          </w:p>
        </w:tc>
      </w:tr>
      <w:tr w:rsidR="003C12D4" w14:paraId="7409BFF5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9C1726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CoP/MoP@NC/CC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30DB1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94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50FD9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40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1D8D4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C1CD8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F7CF0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475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0CDFE8F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AB849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[20]</w:t>
            </w:r>
          </w:p>
        </w:tc>
      </w:tr>
      <w:tr w:rsidR="003C12D4" w14:paraId="61FAC6C7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1621ED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CoP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2047C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6D9BF7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78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053F4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141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5A4E61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243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7DBE2C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290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F57D25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300h 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CEC22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[21]</w:t>
            </w:r>
          </w:p>
        </w:tc>
      </w:tr>
      <w:tr w:rsidR="003C12D4" w14:paraId="45F11A6C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CA8A91E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N−Co</w:t>
            </w:r>
            <w:r>
              <w:rPr>
                <w:rFonts w:ascii="Times New Roman" w:eastAsia="SimSun" w:hAnsi="Times New Roman"/>
                <w:color w:val="000000"/>
                <w:sz w:val="16"/>
                <w:szCs w:val="16"/>
                <w:vertAlign w:val="subscript"/>
                <w:lang w:eastAsia="zh-CN" w:bidi="ar"/>
              </w:rPr>
              <w:t>2</w:t>
            </w: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P/CC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6CC22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34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06165D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51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8D368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72E83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24243E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3456FB" w14:textId="77777777" w:rsidR="003C12D4" w:rsidRDefault="00000000">
            <w:pPr>
              <w:spacing w:after="0" w:line="260" w:lineRule="auto"/>
              <w:textAlignment w:val="center"/>
              <w:rPr>
                <w:rStyle w:val="font11"/>
                <w:rFonts w:eastAsia="SimSun"/>
                <w:sz w:val="16"/>
                <w:szCs w:val="16"/>
                <w:lang w:eastAsia="zh-CN" w:bidi="ar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F98F0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[22]</w:t>
            </w:r>
          </w:p>
        </w:tc>
      </w:tr>
      <w:tr w:rsidR="003C12D4" w14:paraId="4916EEBA" w14:textId="77777777">
        <w:trPr>
          <w:trHeight w:hRule="exact" w:val="309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8F7D03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Co-B-P/NF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BBBA3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42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E315C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42.1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2C6AE83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2194C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56978A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165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F004C1F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 xml:space="preserve">20h </w:t>
            </w: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>@1000 mA/cm</w:t>
            </w:r>
            <w:r>
              <w:rPr>
                <w:rStyle w:val="font21"/>
                <w:rFonts w:eastAsia="SimSun"/>
                <w:sz w:val="16"/>
                <w:szCs w:val="16"/>
                <w:lang w:eastAsia="zh-CN" w:bidi="ar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750392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[23]</w:t>
            </w:r>
          </w:p>
        </w:tc>
      </w:tr>
      <w:tr w:rsidR="003C12D4" w14:paraId="6FA16EE4" w14:textId="77777777">
        <w:trPr>
          <w:trHeight w:hRule="exact" w:val="558"/>
          <w:tblHeader/>
        </w:trPr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D1249F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A-NiCo LDH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76B37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36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CEBB1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57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6EB1374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151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561D48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286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9AE52A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381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FA6E368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Style w:val="font11"/>
                <w:rFonts w:eastAsia="SimSun"/>
                <w:sz w:val="16"/>
                <w:szCs w:val="16"/>
                <w:lang w:eastAsia="zh-CN" w:bidi="ar"/>
              </w:rPr>
              <w:t xml:space="preserve">72h </w:t>
            </w: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@1000 mA/cm</w:t>
            </w:r>
            <w:r>
              <w:rPr>
                <w:rFonts w:ascii="Times New Roman" w:eastAsia="SimSun" w:hAnsi="Times New Roman"/>
                <w:sz w:val="16"/>
                <w:szCs w:val="16"/>
                <w:vertAlign w:val="superscript"/>
                <w:lang w:eastAsia="zh-CN"/>
              </w:rPr>
              <w:t>2</w:t>
            </w:r>
          </w:p>
          <w:p w14:paraId="006EF2D6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72h @1000 mA/cm</w:t>
            </w:r>
            <w:r>
              <w:rPr>
                <w:rFonts w:ascii="Times New Roman" w:eastAsia="SimSun" w:hAnsi="Times New Roman"/>
                <w:sz w:val="16"/>
                <w:szCs w:val="16"/>
                <w:vertAlign w:val="superscript"/>
                <w:lang w:eastAsia="zh-CN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B66BE5B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[24]</w:t>
            </w:r>
          </w:p>
        </w:tc>
      </w:tr>
      <w:tr w:rsidR="003C12D4" w14:paraId="4162A2DB" w14:textId="77777777">
        <w:trPr>
          <w:trHeight w:hRule="exact" w:val="320"/>
          <w:tblHeader/>
        </w:trPr>
        <w:tc>
          <w:tcPr>
            <w:tcW w:w="1752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1F281139" w14:textId="77777777" w:rsidR="003C12D4" w:rsidRDefault="00000000">
            <w:pPr>
              <w:spacing w:after="0" w:line="260" w:lineRule="auto"/>
              <w:jc w:val="left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NiCo/NiCo-OH</w:t>
            </w:r>
          </w:p>
        </w:tc>
        <w:tc>
          <w:tcPr>
            <w:tcW w:w="89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5F297CDD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19</w:t>
            </w:r>
          </w:p>
        </w:tc>
        <w:tc>
          <w:tcPr>
            <w:tcW w:w="95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55A81D3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42</w:t>
            </w:r>
          </w:p>
        </w:tc>
        <w:tc>
          <w:tcPr>
            <w:tcW w:w="85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D7605F9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104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3CFFB5F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184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7CEB4426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color w:val="000000"/>
                <w:sz w:val="16"/>
                <w:szCs w:val="16"/>
                <w:lang w:eastAsia="zh-CN" w:bidi="ar"/>
              </w:rPr>
              <w:t>-</w:t>
            </w:r>
          </w:p>
        </w:tc>
        <w:tc>
          <w:tcPr>
            <w:tcW w:w="2166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8A2616F" w14:textId="77777777" w:rsidR="003C12D4" w:rsidRDefault="00000000">
            <w:pPr>
              <w:spacing w:after="0" w:line="260" w:lineRule="auto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 xml:space="preserve">24h </w:t>
            </w:r>
            <w:r>
              <w:rPr>
                <w:rStyle w:val="font11"/>
                <w:rFonts w:eastAsia="SimSun"/>
                <w:sz w:val="16"/>
                <w:szCs w:val="16"/>
              </w:rPr>
              <w:t>@500 mA/cm</w:t>
            </w:r>
            <w:r>
              <w:rPr>
                <w:rStyle w:val="font11"/>
                <w:rFonts w:eastAsia="SimSun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880D470" w14:textId="77777777" w:rsidR="003C12D4" w:rsidRDefault="00000000">
            <w:pPr>
              <w:spacing w:after="0" w:line="260" w:lineRule="auto"/>
              <w:jc w:val="center"/>
              <w:textAlignment w:val="center"/>
              <w:rPr>
                <w:rFonts w:ascii="Times New Roman" w:eastAsia="SimSun" w:hAnsi="Times New Roman"/>
                <w:sz w:val="16"/>
                <w:szCs w:val="16"/>
                <w:lang w:eastAsia="zh-CN"/>
              </w:rPr>
            </w:pPr>
            <w:r>
              <w:rPr>
                <w:rFonts w:ascii="Times New Roman" w:eastAsia="SimSun" w:hAnsi="Times New Roman"/>
                <w:sz w:val="16"/>
                <w:szCs w:val="16"/>
                <w:lang w:eastAsia="zh-CN"/>
              </w:rPr>
              <w:t>[25]</w:t>
            </w:r>
          </w:p>
        </w:tc>
      </w:tr>
    </w:tbl>
    <w:p w14:paraId="000E810E" w14:textId="77777777" w:rsidR="003C12D4" w:rsidRDefault="003C12D4">
      <w:pPr>
        <w:spacing w:after="0" w:line="260" w:lineRule="auto"/>
        <w:jc w:val="left"/>
        <w:textAlignment w:val="center"/>
        <w:rPr>
          <w:rFonts w:ascii="Times New Roman" w:eastAsia="SimSun" w:hAnsi="Times New Roman"/>
          <w:szCs w:val="24"/>
          <w:lang w:eastAsia="zh-CN"/>
        </w:rPr>
      </w:pPr>
    </w:p>
    <w:p w14:paraId="4779B33A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 w:hint="eastAsia"/>
          <w:b/>
          <w:bCs/>
          <w:szCs w:val="24"/>
          <w:lang w:eastAsia="zh-CN"/>
        </w:rPr>
        <w:br w:type="page"/>
      </w:r>
    </w:p>
    <w:p w14:paraId="22DD9A4E" w14:textId="77777777" w:rsidR="003C12D4" w:rsidRDefault="00000000">
      <w:pPr>
        <w:rPr>
          <w:rFonts w:ascii="Times New Roman" w:eastAsia="SimSun" w:hAnsi="Times New Roman"/>
          <w:b/>
          <w:bCs/>
          <w:szCs w:val="24"/>
          <w:lang w:eastAsia="zh-CN"/>
        </w:rPr>
      </w:pPr>
      <w:r>
        <w:rPr>
          <w:rFonts w:ascii="Times New Roman" w:eastAsia="SimSun" w:hAnsi="Times New Roman"/>
          <w:b/>
          <w:bCs/>
          <w:szCs w:val="24"/>
          <w:lang w:eastAsia="zh-CN"/>
        </w:rPr>
        <w:lastRenderedPageBreak/>
        <w:t>Supplementary References</w:t>
      </w:r>
    </w:p>
    <w:p w14:paraId="2A756878" w14:textId="77777777" w:rsidR="003C12D4" w:rsidRDefault="00000000">
      <w:pPr>
        <w:pStyle w:val="EndNoteBibliography"/>
        <w:ind w:left="720" w:hanging="720"/>
      </w:pPr>
      <w:r>
        <w:t>1.</w:t>
      </w:r>
      <w:r>
        <w:tab/>
        <w:t xml:space="preserve">McCrory, C. C. L., Jung, S., Peters, J. C., Jaramillo, T. F., Benchmarking heterogeneous electrocatalysts for the oxygen evolution reaction. </w:t>
      </w:r>
      <w:r>
        <w:rPr>
          <w:i/>
        </w:rPr>
        <w:t>J. Am. Chem. Soc.</w:t>
      </w:r>
      <w:r>
        <w:t xml:space="preserve"> </w:t>
      </w:r>
      <w:r>
        <w:rPr>
          <w:b/>
        </w:rPr>
        <w:t>135</w:t>
      </w:r>
      <w:r>
        <w:t>, 16977-16987 (2013).</w:t>
      </w:r>
    </w:p>
    <w:p w14:paraId="75359E07" w14:textId="77777777" w:rsidR="003C12D4" w:rsidRDefault="00000000">
      <w:pPr>
        <w:pStyle w:val="EndNoteBibliography"/>
        <w:ind w:left="720" w:hanging="720"/>
      </w:pPr>
      <w:r>
        <w:t>2.</w:t>
      </w:r>
      <w:r>
        <w:tab/>
        <w:t xml:space="preserve">Bergeret, G., Gallezot, P., </w:t>
      </w:r>
      <w:r>
        <w:rPr>
          <w:i/>
        </w:rPr>
        <w:t>Handbook of Heretogeneous Catalysis</w:t>
      </w:r>
      <w:r>
        <w:t>.</w:t>
      </w:r>
      <w:r>
        <w:rPr>
          <w:rFonts w:hint="eastAsia"/>
        </w:rPr>
        <w:t xml:space="preserve"> </w:t>
      </w:r>
      <w:r>
        <w:t>vol. 2, pp. 738-765</w:t>
      </w:r>
      <w:r>
        <w:rPr>
          <w:rFonts w:hint="eastAsia"/>
        </w:rPr>
        <w:t xml:space="preserve"> </w:t>
      </w:r>
      <w:r>
        <w:t>(Wiley-VCH, 2008).</w:t>
      </w:r>
    </w:p>
    <w:p w14:paraId="24FC7BF7" w14:textId="77777777" w:rsidR="003C12D4" w:rsidRDefault="00000000">
      <w:pPr>
        <w:pStyle w:val="EndNoteBibliography"/>
        <w:ind w:left="720" w:hanging="720"/>
      </w:pPr>
      <w:r>
        <w:t>3.</w:t>
      </w:r>
      <w:r>
        <w:tab/>
        <w:t xml:space="preserve">Carmo, M., Fritz, D. L., Mergel, J., Stolten, D., A comprehensive review on PEM water electrolysis. </w:t>
      </w:r>
      <w:r>
        <w:rPr>
          <w:i/>
        </w:rPr>
        <w:t>Int. J. Hydrogen Energy</w:t>
      </w:r>
      <w:r>
        <w:t xml:space="preserve"> </w:t>
      </w:r>
      <w:r>
        <w:rPr>
          <w:b/>
        </w:rPr>
        <w:t>38</w:t>
      </w:r>
      <w:r>
        <w:t>, 4901-4934 (2013).</w:t>
      </w:r>
    </w:p>
    <w:p w14:paraId="052C6B4E" w14:textId="77777777" w:rsidR="003C12D4" w:rsidRDefault="00000000">
      <w:pPr>
        <w:pStyle w:val="EndNoteBibliography"/>
        <w:ind w:left="720" w:hanging="720"/>
      </w:pPr>
      <w:r>
        <w:t>4.</w:t>
      </w:r>
      <w:r>
        <w:tab/>
        <w:t>Yu, M.</w:t>
      </w:r>
      <w:r>
        <w:rPr>
          <w:i/>
        </w:rPr>
        <w:t xml:space="preserve"> et al.</w:t>
      </w:r>
      <w:r>
        <w:t xml:space="preserve">, A hierarchically porous and hydrophilic 3D nickel–iron/MXene electrode for accelerating oxygen and hydrogen evolution at high current densities. </w:t>
      </w:r>
      <w:r>
        <w:rPr>
          <w:i/>
        </w:rPr>
        <w:t>Nano Energy</w:t>
      </w:r>
      <w:r>
        <w:t xml:space="preserve"> </w:t>
      </w:r>
      <w:r>
        <w:rPr>
          <w:b/>
        </w:rPr>
        <w:t>63</w:t>
      </w:r>
      <w:r>
        <w:t>, 103880 (2019).</w:t>
      </w:r>
    </w:p>
    <w:p w14:paraId="141D4822" w14:textId="77777777" w:rsidR="003C12D4" w:rsidRDefault="00000000">
      <w:pPr>
        <w:pStyle w:val="EndNoteBibliography"/>
        <w:ind w:left="720" w:hanging="720"/>
      </w:pPr>
      <w:r>
        <w:t>5.</w:t>
      </w:r>
      <w:r>
        <w:tab/>
        <w:t>Ren, J.</w:t>
      </w:r>
      <w:r>
        <w:rPr>
          <w:i/>
        </w:rPr>
        <w:t xml:space="preserve"> et al.</w:t>
      </w:r>
      <w:r>
        <w:t>, 2D organ-like molybdenum carbide (MXene) coupled with MoS</w:t>
      </w:r>
      <w:r>
        <w:rPr>
          <w:vertAlign w:val="subscript"/>
        </w:rPr>
        <w:t>2</w:t>
      </w:r>
      <w:r>
        <w:t xml:space="preserve"> nanoflowers enhances the catalytic activity in the hydrogen evolution reaction. </w:t>
      </w:r>
      <w:r>
        <w:rPr>
          <w:i/>
        </w:rPr>
        <w:t>CrystEngComm</w:t>
      </w:r>
      <w:r>
        <w:t xml:space="preserve"> </w:t>
      </w:r>
      <w:r>
        <w:rPr>
          <w:b/>
        </w:rPr>
        <w:t>22</w:t>
      </w:r>
      <w:r>
        <w:t>, 1395-1403 (2020).</w:t>
      </w:r>
    </w:p>
    <w:p w14:paraId="42650E0D" w14:textId="77777777" w:rsidR="003C12D4" w:rsidRDefault="00000000">
      <w:pPr>
        <w:pStyle w:val="EndNoteBibliography"/>
        <w:ind w:left="720" w:hanging="720"/>
      </w:pPr>
      <w:r>
        <w:t>6.</w:t>
      </w:r>
      <w:r>
        <w:tab/>
        <w:t>Du, C.-F.</w:t>
      </w:r>
      <w:r>
        <w:rPr>
          <w:i/>
        </w:rPr>
        <w:t xml:space="preserve"> et al.</w:t>
      </w:r>
      <w:r>
        <w:t xml:space="preserve">, Synergy of Nb doping and surface alloy enhanced on water–alkali electrocatalytic hydrogen generation performance in Ti-based MXene. </w:t>
      </w:r>
      <w:r>
        <w:rPr>
          <w:i/>
        </w:rPr>
        <w:t>Adv. Sci.</w:t>
      </w:r>
      <w:r>
        <w:t xml:space="preserve"> </w:t>
      </w:r>
      <w:r>
        <w:rPr>
          <w:b/>
        </w:rPr>
        <w:t>6</w:t>
      </w:r>
      <w:r>
        <w:t>, 1900116 (2019).</w:t>
      </w:r>
    </w:p>
    <w:p w14:paraId="39D8F06D" w14:textId="77777777" w:rsidR="003C12D4" w:rsidRDefault="00000000">
      <w:pPr>
        <w:pStyle w:val="EndNoteBibliography"/>
        <w:ind w:left="720" w:hanging="720"/>
      </w:pPr>
      <w:r>
        <w:t>7.</w:t>
      </w:r>
      <w:r>
        <w:tab/>
        <w:t>Tan, Y.</w:t>
      </w:r>
      <w:r>
        <w:rPr>
          <w:i/>
        </w:rPr>
        <w:t xml:space="preserve"> et al.</w:t>
      </w:r>
      <w:r>
        <w:t>, Nb</w:t>
      </w:r>
      <w:r>
        <w:rPr>
          <w:vertAlign w:val="subscript"/>
        </w:rPr>
        <w:t>4</w:t>
      </w:r>
      <w:r>
        <w:t>C</w:t>
      </w:r>
      <w:r>
        <w:rPr>
          <w:vertAlign w:val="subscript"/>
        </w:rPr>
        <w:t>3</w:t>
      </w:r>
      <w:r>
        <w:t>T</w:t>
      </w:r>
      <w:r>
        <w:rPr>
          <w:vertAlign w:val="subscript"/>
        </w:rPr>
        <w:t>x</w:t>
      </w:r>
      <w:r>
        <w:t xml:space="preserve"> (MXene) as a new stable catalyst for the hydrogen evolution reaction. </w:t>
      </w:r>
      <w:r>
        <w:rPr>
          <w:i/>
        </w:rPr>
        <w:t>Int. J. Hydrogen Energy</w:t>
      </w:r>
      <w:r>
        <w:t xml:space="preserve"> </w:t>
      </w:r>
      <w:r>
        <w:rPr>
          <w:b/>
        </w:rPr>
        <w:t>46</w:t>
      </w:r>
      <w:r>
        <w:t>, 1955-1966 (2021).</w:t>
      </w:r>
    </w:p>
    <w:p w14:paraId="528C480F" w14:textId="77777777" w:rsidR="003C12D4" w:rsidRDefault="00000000">
      <w:pPr>
        <w:pStyle w:val="EndNoteBibliography"/>
        <w:ind w:left="720" w:hanging="720"/>
      </w:pPr>
      <w:r>
        <w:t>8.</w:t>
      </w:r>
      <w:r>
        <w:tab/>
        <w:t>Huang, J., Jian, C., Cai, Q., Hong, W., Liu, W., A large scale self-supported WP–W</w:t>
      </w:r>
      <w:r>
        <w:rPr>
          <w:vertAlign w:val="subscript"/>
        </w:rPr>
        <w:t>2</w:t>
      </w:r>
      <w:r>
        <w:t xml:space="preserve">C nanoporous network for efficient hydrogen evolution reaction in alkaline media. </w:t>
      </w:r>
      <w:r>
        <w:rPr>
          <w:i/>
        </w:rPr>
        <w:t>J. Mater. Chem. A</w:t>
      </w:r>
      <w:r>
        <w:t xml:space="preserve"> </w:t>
      </w:r>
      <w:r>
        <w:rPr>
          <w:b/>
        </w:rPr>
        <w:t>10</w:t>
      </w:r>
      <w:r>
        <w:t>, 10990-10997 (2022).</w:t>
      </w:r>
    </w:p>
    <w:p w14:paraId="6AB545B5" w14:textId="77777777" w:rsidR="003C12D4" w:rsidRDefault="00000000">
      <w:pPr>
        <w:pStyle w:val="EndNoteBibliography"/>
        <w:ind w:left="720" w:hanging="720"/>
      </w:pPr>
      <w:r>
        <w:t>9.</w:t>
      </w:r>
      <w:r>
        <w:tab/>
        <w:t>Chen, Y.-Y.</w:t>
      </w:r>
      <w:r>
        <w:rPr>
          <w:i/>
        </w:rPr>
        <w:t xml:space="preserve"> et al.</w:t>
      </w:r>
      <w:r>
        <w:t>, Pomegranate-like N,P-doped Mo</w:t>
      </w:r>
      <w:r>
        <w:rPr>
          <w:vertAlign w:val="subscript"/>
        </w:rPr>
        <w:t>2</w:t>
      </w:r>
      <w:r>
        <w:t xml:space="preserve">C@C nanospheres as highly active electrocatalysts for alkaline hydrogen evolution. </w:t>
      </w:r>
      <w:r>
        <w:rPr>
          <w:i/>
        </w:rPr>
        <w:t>ACS Nano</w:t>
      </w:r>
      <w:r>
        <w:t xml:space="preserve"> </w:t>
      </w:r>
      <w:r>
        <w:rPr>
          <w:b/>
        </w:rPr>
        <w:t>10</w:t>
      </w:r>
      <w:r>
        <w:t>, 8851-8860 (2016).</w:t>
      </w:r>
    </w:p>
    <w:p w14:paraId="47401DED" w14:textId="77777777" w:rsidR="003C12D4" w:rsidRDefault="00000000">
      <w:pPr>
        <w:pStyle w:val="EndNoteBibliography"/>
        <w:ind w:left="720" w:hanging="720"/>
      </w:pPr>
      <w:r>
        <w:t>10.</w:t>
      </w:r>
      <w:r>
        <w:tab/>
        <w:t xml:space="preserve">Jian, C., Cai, Q., Liu, W. J. C. C., A three-dimensional macroporous framework molybdenum disulfide–carbide heterojunction for highly efficient electrocatalytic hydrogen evolution at high current densities. </w:t>
      </w:r>
      <w:r>
        <w:rPr>
          <w:i/>
        </w:rPr>
        <w:t>Chem. Commun.</w:t>
      </w:r>
      <w:r>
        <w:t xml:space="preserve"> </w:t>
      </w:r>
      <w:r>
        <w:rPr>
          <w:b/>
        </w:rPr>
        <w:t>57</w:t>
      </w:r>
      <w:r>
        <w:t>, 11819-11822 (2021).</w:t>
      </w:r>
    </w:p>
    <w:p w14:paraId="01C8D987" w14:textId="77777777" w:rsidR="003C12D4" w:rsidRDefault="00000000">
      <w:pPr>
        <w:pStyle w:val="EndNoteBibliography"/>
        <w:ind w:left="720" w:hanging="720"/>
      </w:pPr>
      <w:r>
        <w:t>11.</w:t>
      </w:r>
      <w:r>
        <w:tab/>
        <w:t>Zhang, C.</w:t>
      </w:r>
      <w:r>
        <w:rPr>
          <w:i/>
        </w:rPr>
        <w:t xml:space="preserve"> et al.</w:t>
      </w:r>
      <w:r>
        <w:t xml:space="preserve">, High-throughput production of cheap mineral-based two-dimensional electrocatalysts for high-current-density hydrogen evolution. </w:t>
      </w:r>
      <w:r>
        <w:rPr>
          <w:i/>
        </w:rPr>
        <w:t>Nat. Commun.</w:t>
      </w:r>
      <w:r>
        <w:t xml:space="preserve"> </w:t>
      </w:r>
      <w:r>
        <w:rPr>
          <w:b/>
        </w:rPr>
        <w:t>11</w:t>
      </w:r>
      <w:r>
        <w:t>, 3724 (2020).</w:t>
      </w:r>
    </w:p>
    <w:p w14:paraId="114DCE03" w14:textId="77777777" w:rsidR="003C12D4" w:rsidRDefault="00000000">
      <w:pPr>
        <w:pStyle w:val="EndNoteBibliography"/>
        <w:ind w:left="720" w:hanging="720"/>
      </w:pPr>
      <w:r>
        <w:t>12.</w:t>
      </w:r>
      <w:r>
        <w:tab/>
        <w:t>Luo, Y.</w:t>
      </w:r>
      <w:r>
        <w:rPr>
          <w:i/>
        </w:rPr>
        <w:t xml:space="preserve"> et al.</w:t>
      </w:r>
      <w:r>
        <w:t xml:space="preserve">, Morphology and surface chemistry engineering toward pH-universal catalysts for hydrogen evolution at high current density. </w:t>
      </w:r>
      <w:r>
        <w:rPr>
          <w:i/>
        </w:rPr>
        <w:t>Nat. Commun.</w:t>
      </w:r>
      <w:r>
        <w:t xml:space="preserve"> </w:t>
      </w:r>
      <w:r>
        <w:rPr>
          <w:b/>
        </w:rPr>
        <w:t>10</w:t>
      </w:r>
      <w:r>
        <w:t>, 269 (2019).</w:t>
      </w:r>
    </w:p>
    <w:p w14:paraId="70E504E2" w14:textId="77777777" w:rsidR="003C12D4" w:rsidRDefault="00000000">
      <w:pPr>
        <w:pStyle w:val="EndNoteBibliography"/>
        <w:ind w:left="720" w:hanging="720"/>
      </w:pPr>
      <w:r>
        <w:t>13.</w:t>
      </w:r>
      <w:r>
        <w:tab/>
        <w:t>Li, C.</w:t>
      </w:r>
      <w:r>
        <w:rPr>
          <w:i/>
        </w:rPr>
        <w:t xml:space="preserve"> et al.</w:t>
      </w:r>
      <w:r>
        <w:t xml:space="preserve">, Ultrafast self-heating synthesis of robust heterogeneous nanocarbides for high current density hydrogen evolution reaction. </w:t>
      </w:r>
      <w:r>
        <w:rPr>
          <w:i/>
        </w:rPr>
        <w:t>Nat. Commun.</w:t>
      </w:r>
      <w:r>
        <w:t xml:space="preserve"> </w:t>
      </w:r>
      <w:r>
        <w:rPr>
          <w:b/>
        </w:rPr>
        <w:t>13</w:t>
      </w:r>
      <w:r>
        <w:t>, 3338 (2022).</w:t>
      </w:r>
    </w:p>
    <w:p w14:paraId="1CF940FF" w14:textId="77777777" w:rsidR="003C12D4" w:rsidRDefault="00000000">
      <w:pPr>
        <w:pStyle w:val="EndNoteBibliography"/>
        <w:ind w:left="720" w:hanging="720"/>
      </w:pPr>
      <w:r>
        <w:t>14.</w:t>
      </w:r>
      <w:r>
        <w:tab/>
        <w:t>Liu, W.</w:t>
      </w:r>
      <w:r>
        <w:rPr>
          <w:i/>
        </w:rPr>
        <w:t xml:space="preserve"> et al.</w:t>
      </w:r>
      <w:r>
        <w:t>, A durable and pH-universal self-standing MoC–Mo</w:t>
      </w:r>
      <w:r>
        <w:rPr>
          <w:vertAlign w:val="subscript"/>
        </w:rPr>
        <w:t>2</w:t>
      </w:r>
      <w:r>
        <w:t xml:space="preserve">C heterojunction electrode for efficient hydrogen evolution reaction. </w:t>
      </w:r>
      <w:r>
        <w:rPr>
          <w:i/>
        </w:rPr>
        <w:t>Nat. Commun.</w:t>
      </w:r>
      <w:r>
        <w:t xml:space="preserve"> </w:t>
      </w:r>
      <w:r>
        <w:rPr>
          <w:b/>
        </w:rPr>
        <w:t>12</w:t>
      </w:r>
      <w:r>
        <w:t>, 6776 (2021).</w:t>
      </w:r>
    </w:p>
    <w:p w14:paraId="213F49E2" w14:textId="77777777" w:rsidR="003C12D4" w:rsidRDefault="00000000">
      <w:pPr>
        <w:pStyle w:val="EndNoteBibliography"/>
        <w:ind w:left="720" w:hanging="720"/>
      </w:pPr>
      <w:r>
        <w:rPr>
          <w:rFonts w:hint="eastAsia"/>
        </w:rPr>
        <w:t>15.</w:t>
      </w:r>
      <w:r>
        <w:rPr>
          <w:rFonts w:hint="eastAsia"/>
        </w:rPr>
        <w:tab/>
        <w:t>Lv, Z.</w:t>
      </w:r>
      <w:r>
        <w:rPr>
          <w:rFonts w:hint="eastAsia"/>
          <w:i/>
        </w:rPr>
        <w:t xml:space="preserve"> et al.</w:t>
      </w:r>
      <w:r>
        <w:rPr>
          <w:rFonts w:hint="eastAsia"/>
        </w:rPr>
        <w:t>, Co</w:t>
      </w:r>
      <w:r>
        <w:rPr>
          <w:rFonts w:hint="eastAsia"/>
        </w:rPr>
        <w:t>‐</w:t>
      </w:r>
      <w:r>
        <w:rPr>
          <w:rFonts w:hint="eastAsia"/>
        </w:rPr>
        <w:t>constructing interfaces of multiheterostructure on MXene (Ti</w:t>
      </w:r>
      <w:r>
        <w:rPr>
          <w:rFonts w:hint="eastAsia"/>
          <w:vertAlign w:val="subscript"/>
        </w:rPr>
        <w:t>3</w:t>
      </w:r>
      <w:r>
        <w:rPr>
          <w:rFonts w:hint="eastAsia"/>
        </w:rPr>
        <w:t>C</w:t>
      </w:r>
      <w:r>
        <w:rPr>
          <w:rFonts w:hint="eastAsia"/>
          <w:vertAlign w:val="subscript"/>
        </w:rPr>
        <w:t>2</w:t>
      </w:r>
      <w:r>
        <w:rPr>
          <w:rFonts w:hint="eastAsia"/>
        </w:rPr>
        <w:t>T</w:t>
      </w:r>
      <w:r>
        <w:rPr>
          <w:rFonts w:hint="eastAsia"/>
          <w:vertAlign w:val="subscript"/>
        </w:rPr>
        <w:t>x</w:t>
      </w:r>
      <w:r>
        <w:rPr>
          <w:rFonts w:hint="eastAsia"/>
        </w:rPr>
        <w:t>)</w:t>
      </w:r>
      <w:r>
        <w:rPr>
          <w:rFonts w:hint="eastAsia"/>
        </w:rPr>
        <w:t>‐</w:t>
      </w:r>
      <w:r>
        <w:rPr>
          <w:rFonts w:hint="eastAsia"/>
        </w:rPr>
        <w:t>modified 3D self</w:t>
      </w:r>
      <w:r>
        <w:rPr>
          <w:rFonts w:hint="eastAsia"/>
        </w:rPr>
        <w:t>‐</w:t>
      </w:r>
      <w:r>
        <w:rPr>
          <w:rFonts w:hint="eastAsia"/>
        </w:rPr>
        <w:t xml:space="preserve">supporting electrode for ultraefficient electrocatalytic HER in alkaline media. </w:t>
      </w:r>
      <w:r>
        <w:rPr>
          <w:rFonts w:hint="eastAsia"/>
          <w:i/>
        </w:rPr>
        <w:t>Adv. Funct. Mater.</w:t>
      </w:r>
      <w:r>
        <w:rPr>
          <w:rFonts w:hint="eastAsia"/>
        </w:rPr>
        <w:t xml:space="preserve"> </w:t>
      </w:r>
      <w:r>
        <w:rPr>
          <w:rFonts w:hint="eastAsia"/>
          <w:b/>
        </w:rPr>
        <w:t>31</w:t>
      </w:r>
      <w:r>
        <w:rPr>
          <w:rFonts w:hint="eastAsia"/>
        </w:rPr>
        <w:t>, 2102576 (2021).</w:t>
      </w:r>
    </w:p>
    <w:p w14:paraId="14023560" w14:textId="77777777" w:rsidR="003C12D4" w:rsidRDefault="00000000">
      <w:pPr>
        <w:pStyle w:val="EndNoteBibliography"/>
        <w:ind w:left="720" w:hanging="720"/>
      </w:pPr>
      <w:r>
        <w:t>16.</w:t>
      </w:r>
      <w:r>
        <w:tab/>
        <w:t>Selvam, N. C. S.</w:t>
      </w:r>
      <w:r>
        <w:rPr>
          <w:i/>
        </w:rPr>
        <w:t xml:space="preserve"> et al.</w:t>
      </w:r>
      <w:r>
        <w:t>, MXene supported Co</w:t>
      </w:r>
      <w:r>
        <w:rPr>
          <w:vertAlign w:val="subscript"/>
        </w:rPr>
        <w:t>x</w:t>
      </w:r>
      <w:r>
        <w:t>A</w:t>
      </w:r>
      <w:r>
        <w:rPr>
          <w:vertAlign w:val="subscript"/>
        </w:rPr>
        <w:t>y</w:t>
      </w:r>
      <w:r>
        <w:t xml:space="preserve">(A=OH, P, Se) electrocatalysts for overall water splitting: unveiling the role of anions in intrinsic activity and stability. </w:t>
      </w:r>
      <w:r>
        <w:rPr>
          <w:i/>
        </w:rPr>
        <w:t>J. Mater. Chem. A</w:t>
      </w:r>
      <w:r>
        <w:t xml:space="preserve"> </w:t>
      </w:r>
      <w:r>
        <w:rPr>
          <w:b/>
        </w:rPr>
        <w:t>7</w:t>
      </w:r>
      <w:r>
        <w:t>, 27383-27393 (2019).</w:t>
      </w:r>
    </w:p>
    <w:p w14:paraId="33C66849" w14:textId="77777777" w:rsidR="003C12D4" w:rsidRDefault="00000000">
      <w:pPr>
        <w:pStyle w:val="EndNoteBibliography"/>
        <w:ind w:left="720" w:hanging="720"/>
      </w:pPr>
      <w:r>
        <w:t>17.</w:t>
      </w:r>
      <w:r>
        <w:tab/>
        <w:t>Jiang, S.</w:t>
      </w:r>
      <w:r>
        <w:rPr>
          <w:i/>
        </w:rPr>
        <w:t xml:space="preserve"> et al.</w:t>
      </w:r>
      <w:r>
        <w:t xml:space="preserve">, Promoting formation of oxygen vacancies in two-dimensional cobalt-doped ceria nanosheets for efficient hydrogen evolution. </w:t>
      </w:r>
      <w:r>
        <w:rPr>
          <w:i/>
        </w:rPr>
        <w:t>J. Am. Chem. Soc.</w:t>
      </w:r>
      <w:r>
        <w:t xml:space="preserve"> </w:t>
      </w:r>
      <w:r>
        <w:rPr>
          <w:b/>
        </w:rPr>
        <w:t>142</w:t>
      </w:r>
      <w:r>
        <w:t>, 6461-6466 (2020).</w:t>
      </w:r>
    </w:p>
    <w:p w14:paraId="5D9B8C23" w14:textId="77777777" w:rsidR="003C12D4" w:rsidRDefault="00000000">
      <w:pPr>
        <w:pStyle w:val="EndNoteBibliography"/>
        <w:ind w:left="720" w:hanging="720"/>
      </w:pPr>
      <w:r>
        <w:lastRenderedPageBreak/>
        <w:t>18.</w:t>
      </w:r>
      <w:r>
        <w:tab/>
        <w:t>Shi, H.</w:t>
      </w:r>
      <w:r>
        <w:rPr>
          <w:i/>
        </w:rPr>
        <w:t xml:space="preserve"> et al.</w:t>
      </w:r>
      <w:r>
        <w:t>, Spontaneously separated intermetallic Co</w:t>
      </w:r>
      <w:r>
        <w:rPr>
          <w:vertAlign w:val="subscript"/>
        </w:rPr>
        <w:t>3</w:t>
      </w:r>
      <w:r>
        <w:t xml:space="preserve">Mo from nanoporous copper as versatile electrocatalysts for highly efficient water splitting. </w:t>
      </w:r>
      <w:r>
        <w:rPr>
          <w:i/>
        </w:rPr>
        <w:t>Nat. Commun.</w:t>
      </w:r>
      <w:r>
        <w:t xml:space="preserve"> </w:t>
      </w:r>
      <w:r>
        <w:rPr>
          <w:b/>
        </w:rPr>
        <w:t>11</w:t>
      </w:r>
      <w:r>
        <w:t>, 2940 (2020).</w:t>
      </w:r>
    </w:p>
    <w:p w14:paraId="335C0FD4" w14:textId="77777777" w:rsidR="003C12D4" w:rsidRDefault="00000000">
      <w:pPr>
        <w:pStyle w:val="EndNoteBibliography"/>
        <w:ind w:left="720" w:hanging="720"/>
      </w:pPr>
      <w:r>
        <w:t>19.</w:t>
      </w:r>
      <w:r>
        <w:tab/>
        <w:t>Lin, F.</w:t>
      </w:r>
      <w:r>
        <w:rPr>
          <w:i/>
        </w:rPr>
        <w:t xml:space="preserve"> et al.</w:t>
      </w:r>
      <w:r>
        <w:t>, Elec</w:t>
      </w:r>
      <w:r>
        <w:rPr>
          <w:rFonts w:hint="eastAsia"/>
        </w:rPr>
        <w:t>trocatalytic hydrogen evolution of ultrathin Co</w:t>
      </w:r>
      <w:r>
        <w:rPr>
          <w:rFonts w:hint="eastAsia"/>
        </w:rPr>
        <w:t>‐</w:t>
      </w:r>
      <w:r>
        <w:rPr>
          <w:rFonts w:hint="eastAsia"/>
        </w:rPr>
        <w:t>Mo</w:t>
      </w:r>
      <w:r>
        <w:rPr>
          <w:rFonts w:hint="eastAsia"/>
          <w:vertAlign w:val="subscript"/>
        </w:rPr>
        <w:t>5</w:t>
      </w:r>
      <w:r>
        <w:rPr>
          <w:rFonts w:hint="eastAsia"/>
        </w:rPr>
        <w:t>N</w:t>
      </w:r>
      <w:r>
        <w:rPr>
          <w:rFonts w:hint="eastAsia"/>
          <w:vertAlign w:val="subscript"/>
        </w:rPr>
        <w:t>6</w:t>
      </w:r>
      <w:r>
        <w:rPr>
          <w:rFonts w:hint="eastAsia"/>
        </w:rPr>
        <w:t xml:space="preserve"> heterojunction with interfacial electron redistribution. </w:t>
      </w:r>
      <w:r>
        <w:rPr>
          <w:rFonts w:hint="eastAsia"/>
          <w:i/>
        </w:rPr>
        <w:t>Adv. Energy Mater.</w:t>
      </w:r>
      <w:r>
        <w:rPr>
          <w:rFonts w:hint="eastAsia"/>
        </w:rPr>
        <w:t xml:space="preserve"> </w:t>
      </w:r>
      <w:r>
        <w:rPr>
          <w:rFonts w:hint="eastAsia"/>
          <w:b/>
        </w:rPr>
        <w:t>10</w:t>
      </w:r>
      <w:r>
        <w:rPr>
          <w:rFonts w:hint="eastAsia"/>
        </w:rPr>
        <w:t>, 2002176 (2020).</w:t>
      </w:r>
    </w:p>
    <w:p w14:paraId="6DD80E2E" w14:textId="77777777" w:rsidR="003C12D4" w:rsidRDefault="00000000">
      <w:pPr>
        <w:pStyle w:val="EndNoteBibliography"/>
        <w:ind w:left="720" w:hanging="720"/>
      </w:pPr>
      <w:r>
        <w:t>20.</w:t>
      </w:r>
      <w:r>
        <w:tab/>
        <w:t>Tang, Y.-J.</w:t>
      </w:r>
      <w:r>
        <w:rPr>
          <w:i/>
        </w:rPr>
        <w:t xml:space="preserve"> et al.</w:t>
      </w:r>
      <w:r>
        <w:t xml:space="preserve">, Solid-phase hot-pressing of POMs-ZIFs precursor and derived phosphide for overall water splitting. </w:t>
      </w:r>
      <w:r>
        <w:rPr>
          <w:i/>
        </w:rPr>
        <w:t>Appl. Catal., B</w:t>
      </w:r>
      <w:r>
        <w:t xml:space="preserve"> </w:t>
      </w:r>
      <w:r>
        <w:rPr>
          <w:b/>
        </w:rPr>
        <w:t>245</w:t>
      </w:r>
      <w:r>
        <w:t>, 528-535 (2019).</w:t>
      </w:r>
    </w:p>
    <w:p w14:paraId="14A4F692" w14:textId="77777777" w:rsidR="003C12D4" w:rsidRDefault="00000000">
      <w:pPr>
        <w:pStyle w:val="EndNoteBibliography"/>
        <w:ind w:left="720" w:hanging="720"/>
      </w:pPr>
      <w:r>
        <w:t>21.</w:t>
      </w:r>
      <w:r>
        <w:tab/>
        <w:t>Li, Y.</w:t>
      </w:r>
      <w:r>
        <w:rPr>
          <w:i/>
        </w:rPr>
        <w:t xml:space="preserve"> et al.</w:t>
      </w:r>
      <w:r>
        <w:t xml:space="preserve">, Bifunctional porous cobalt phosphide foam for high-current-density alkaline water electrolysis with 4000-h long stability. </w:t>
      </w:r>
      <w:r>
        <w:rPr>
          <w:i/>
        </w:rPr>
        <w:t>ACS Sustainable Chem. Eng.</w:t>
      </w:r>
      <w:r>
        <w:t xml:space="preserve"> </w:t>
      </w:r>
      <w:r>
        <w:rPr>
          <w:b/>
        </w:rPr>
        <w:t>8</w:t>
      </w:r>
      <w:r>
        <w:t>, 10193-10200 (2020).</w:t>
      </w:r>
    </w:p>
    <w:p w14:paraId="1793FC42" w14:textId="77777777" w:rsidR="003C12D4" w:rsidRDefault="00000000">
      <w:pPr>
        <w:pStyle w:val="EndNoteBibliography"/>
        <w:ind w:left="720" w:hanging="720"/>
      </w:pPr>
      <w:r>
        <w:t>22.</w:t>
      </w:r>
      <w:r>
        <w:tab/>
        <w:t>Men, Y.</w:t>
      </w:r>
      <w:r>
        <w:rPr>
          <w:i/>
        </w:rPr>
        <w:t xml:space="preserve"> et al.</w:t>
      </w:r>
      <w:r>
        <w:t>, Tailoring the electronic structure of Co</w:t>
      </w:r>
      <w:r>
        <w:rPr>
          <w:vertAlign w:val="subscript"/>
        </w:rPr>
        <w:t>2</w:t>
      </w:r>
      <w:r>
        <w:t xml:space="preserve">P by N doping for boosting hydrogen evolution reaction at all pH values. </w:t>
      </w:r>
      <w:r>
        <w:rPr>
          <w:i/>
        </w:rPr>
        <w:t>ACS Catal.</w:t>
      </w:r>
      <w:r>
        <w:t xml:space="preserve"> </w:t>
      </w:r>
      <w:r>
        <w:rPr>
          <w:b/>
        </w:rPr>
        <w:t>9</w:t>
      </w:r>
      <w:r>
        <w:t>, 3744-3752 (2019).</w:t>
      </w:r>
    </w:p>
    <w:p w14:paraId="234132D1" w14:textId="77777777" w:rsidR="003C12D4" w:rsidRDefault="00000000">
      <w:pPr>
        <w:pStyle w:val="EndNoteBibliography"/>
        <w:ind w:left="720" w:hanging="720"/>
      </w:pPr>
      <w:r>
        <w:t>23.</w:t>
      </w:r>
      <w:r>
        <w:tab/>
        <w:t>Sun, H.</w:t>
      </w:r>
      <w:r>
        <w:rPr>
          <w:i/>
        </w:rPr>
        <w:t xml:space="preserve"> et al.</w:t>
      </w:r>
      <w:r>
        <w:t xml:space="preserve">, Superhydrophilic amorphous Co–B–P nanosheet electrocatalysts with Pt-like activity and durability for the hydrogen evolution reaction. </w:t>
      </w:r>
      <w:r>
        <w:rPr>
          <w:i/>
        </w:rPr>
        <w:t>J. Mater. Chem. A</w:t>
      </w:r>
      <w:r>
        <w:t xml:space="preserve"> </w:t>
      </w:r>
      <w:r>
        <w:rPr>
          <w:b/>
        </w:rPr>
        <w:t>6</w:t>
      </w:r>
      <w:r>
        <w:t>, 22062-22069 (2018).</w:t>
      </w:r>
    </w:p>
    <w:p w14:paraId="1747304E" w14:textId="77777777" w:rsidR="003C12D4" w:rsidRDefault="00000000">
      <w:pPr>
        <w:pStyle w:val="EndNoteBibliography"/>
        <w:ind w:left="720" w:hanging="720"/>
      </w:pPr>
      <w:r>
        <w:t>24.</w:t>
      </w:r>
      <w:r>
        <w:tab/>
        <w:t xml:space="preserve">Yang, H., Chen, Z., Guo, P., Fei, B., Wu, R., B-doping-induced amorphization of LDH for large-current-density hydrogen evolution reaction. </w:t>
      </w:r>
      <w:r>
        <w:rPr>
          <w:i/>
        </w:rPr>
        <w:t>Appl. Catal., B</w:t>
      </w:r>
      <w:r>
        <w:t xml:space="preserve"> </w:t>
      </w:r>
      <w:r>
        <w:rPr>
          <w:b/>
        </w:rPr>
        <w:t>261</w:t>
      </w:r>
      <w:r>
        <w:t>, 118240 (2020).</w:t>
      </w:r>
    </w:p>
    <w:p w14:paraId="2114D28A" w14:textId="77777777" w:rsidR="003C12D4" w:rsidRDefault="00000000">
      <w:pPr>
        <w:pStyle w:val="EndNoteBibliography"/>
        <w:ind w:left="720" w:hanging="720"/>
      </w:pPr>
      <w:r>
        <w:t>25.</w:t>
      </w:r>
      <w:r>
        <w:tab/>
        <w:t>Zhu, W.</w:t>
      </w:r>
      <w:r>
        <w:rPr>
          <w:i/>
        </w:rPr>
        <w:t xml:space="preserve"> et al.</w:t>
      </w:r>
      <w:r>
        <w:t xml:space="preserve">, NiCo/NiCo–OH and NiFe/NiFe–OH core shell nanostructures for water splitting electrocatalysis at large currents. </w:t>
      </w:r>
      <w:r>
        <w:rPr>
          <w:i/>
        </w:rPr>
        <w:t>Appl. Catal., B</w:t>
      </w:r>
      <w:r>
        <w:t xml:space="preserve"> </w:t>
      </w:r>
      <w:r>
        <w:rPr>
          <w:b/>
        </w:rPr>
        <w:t>278</w:t>
      </w:r>
      <w:r>
        <w:t>, 119326 (2020).</w:t>
      </w:r>
    </w:p>
    <w:p w14:paraId="36DDC66F" w14:textId="77777777" w:rsidR="003C12D4" w:rsidRDefault="003C12D4">
      <w:pPr>
        <w:pStyle w:val="SNSynopsisTOC"/>
        <w:spacing w:after="240"/>
        <w:ind w:left="480" w:hangingChars="200" w:hanging="480"/>
        <w:rPr>
          <w:rFonts w:ascii="Times New Roman" w:hAnsi="Times New Roman"/>
          <w:szCs w:val="24"/>
        </w:rPr>
      </w:pPr>
    </w:p>
    <w:p w14:paraId="7512630B" w14:textId="77777777" w:rsidR="003C12D4" w:rsidRDefault="003C12D4"/>
    <w:sectPr w:rsidR="003C12D4">
      <w:footerReference w:type="even" r:id="rId29"/>
      <w:footerReference w:type="default" r:id="rId3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763D4" w14:textId="77777777" w:rsidR="00367386" w:rsidRDefault="00367386">
      <w:pPr>
        <w:spacing w:line="240" w:lineRule="auto"/>
      </w:pPr>
      <w:r>
        <w:separator/>
      </w:r>
    </w:p>
  </w:endnote>
  <w:endnote w:type="continuationSeparator" w:id="0">
    <w:p w14:paraId="221767FC" w14:textId="77777777" w:rsidR="00367386" w:rsidRDefault="003673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20B0604020202020204"/>
    <w:charset w:val="00"/>
    <w:family w:val="roman"/>
    <w:pitch w:val="default"/>
    <w:sig w:usb0="00000000" w:usb1="00000000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F4B21" w14:textId="77777777" w:rsidR="003C12D4" w:rsidRDefault="00000000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</w:rPr>
      <w:t>1</w:t>
    </w:r>
    <w:r>
      <w:rPr>
        <w:rStyle w:val="PageNumber"/>
        <w:rFonts w:eastAsiaTheme="majorEastAsia"/>
      </w:rPr>
      <w:fldChar w:fldCharType="end"/>
    </w:r>
  </w:p>
  <w:p w14:paraId="6A82171D" w14:textId="77777777" w:rsidR="003C12D4" w:rsidRDefault="003C12D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56765" w14:textId="77777777" w:rsidR="003C12D4" w:rsidRDefault="00000000">
    <w:pPr>
      <w:pStyle w:val="Footer"/>
      <w:framePr w:wrap="around" w:vAnchor="text" w:hAnchor="margin" w:xAlign="right" w:y="1"/>
      <w:rPr>
        <w:rStyle w:val="PageNumber"/>
        <w:rFonts w:eastAsiaTheme="majorEastAsia"/>
      </w:rPr>
    </w:pPr>
    <w:r>
      <w:rPr>
        <w:rStyle w:val="PageNumber"/>
        <w:rFonts w:eastAsiaTheme="majorEastAsia"/>
      </w:rPr>
      <w:fldChar w:fldCharType="begin"/>
    </w:r>
    <w:r>
      <w:rPr>
        <w:rStyle w:val="PageNumber"/>
        <w:rFonts w:eastAsiaTheme="majorEastAsia"/>
      </w:rPr>
      <w:instrText xml:space="preserve">PAGE  </w:instrText>
    </w:r>
    <w:r>
      <w:rPr>
        <w:rStyle w:val="PageNumber"/>
        <w:rFonts w:eastAsiaTheme="majorEastAsia"/>
      </w:rPr>
      <w:fldChar w:fldCharType="separate"/>
    </w:r>
    <w:r>
      <w:rPr>
        <w:rStyle w:val="PageNumber"/>
        <w:rFonts w:eastAsiaTheme="majorEastAsia"/>
      </w:rPr>
      <w:t>1</w:t>
    </w:r>
    <w:r>
      <w:rPr>
        <w:rStyle w:val="PageNumber"/>
        <w:rFonts w:eastAsiaTheme="majorEastAsia"/>
      </w:rPr>
      <w:fldChar w:fldCharType="end"/>
    </w:r>
  </w:p>
  <w:p w14:paraId="7CCC72FE" w14:textId="77777777" w:rsidR="003C12D4" w:rsidRDefault="003C12D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70F8D" w14:textId="77777777" w:rsidR="00367386" w:rsidRDefault="00367386">
      <w:pPr>
        <w:spacing w:after="0"/>
      </w:pPr>
      <w:r>
        <w:separator/>
      </w:r>
    </w:p>
  </w:footnote>
  <w:footnote w:type="continuationSeparator" w:id="0">
    <w:p w14:paraId="595C3AEF" w14:textId="77777777" w:rsidR="00367386" w:rsidRDefault="0036738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hjODRjY2ZkMmY3YzNmNmUyMjc3N2IyNDhhYTFkNDQ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B3384"/>
    <w:rsid w:val="00367386"/>
    <w:rsid w:val="003C12D4"/>
    <w:rsid w:val="004D2EE1"/>
    <w:rsid w:val="0061099C"/>
    <w:rsid w:val="00723EB6"/>
    <w:rsid w:val="008B3384"/>
    <w:rsid w:val="00EB33DD"/>
    <w:rsid w:val="3EF8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A43AE14"/>
  <w15:docId w15:val="{DB600A4E-7376-674A-9DFF-8A1F1BFF4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qFormat="1"/>
    <w:lsdException w:name="annotation text" w:unhideWhenUsed="1" w:qFormat="1"/>
    <w:lsdException w:name="header" w:uiPriority="0" w:unhideWhenUsed="1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spacing w:after="200" w:line="259" w:lineRule="auto"/>
      <w:jc w:val="both"/>
    </w:pPr>
    <w:rPr>
      <w:rFonts w:ascii="Times" w:eastAsia="Times New Roman" w:hAnsi="Times" w:cs="Times New Roman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semiHidden/>
    <w:unhideWhenUsed/>
    <w:qFormat/>
    <w:pPr>
      <w:spacing w:beforeAutospacing="1" w:after="0" w:afterAutospacing="1"/>
      <w:jc w:val="left"/>
      <w:outlineLvl w:val="1"/>
    </w:pPr>
    <w:rPr>
      <w:rFonts w:ascii="SimSun" w:eastAsia="SimSun" w:hAnsi="SimSun" w:hint="eastAsia"/>
      <w:b/>
      <w:bCs/>
      <w:sz w:val="36"/>
      <w:szCs w:val="36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autoRedefine/>
    <w:uiPriority w:val="99"/>
    <w:unhideWhenUsed/>
    <w:qFormat/>
    <w:pPr>
      <w:jc w:val="left"/>
    </w:pPr>
    <w:rPr>
      <w:sz w:val="20"/>
    </w:rPr>
  </w:style>
  <w:style w:type="paragraph" w:styleId="BodyText">
    <w:name w:val="Body Text"/>
    <w:basedOn w:val="Normal"/>
    <w:link w:val="BodyTextChar"/>
    <w:autoRedefine/>
    <w:qFormat/>
    <w:pPr>
      <w:jc w:val="center"/>
    </w:pPr>
    <w:rPr>
      <w:b/>
      <w:sz w:val="40"/>
    </w:rPr>
  </w:style>
  <w:style w:type="paragraph" w:styleId="BalloonText">
    <w:name w:val="Balloon Text"/>
    <w:basedOn w:val="Normal"/>
    <w:link w:val="BalloonTextChar"/>
    <w:autoRedefine/>
    <w:semiHidden/>
    <w:qFormat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autoRedefine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autoRedefine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FootnoteText">
    <w:name w:val="footnote text"/>
    <w:basedOn w:val="Normal"/>
    <w:next w:val="TFReferencesSection"/>
    <w:link w:val="FootnoteTextChar"/>
    <w:autoRedefine/>
    <w:semiHidden/>
    <w:qFormat/>
  </w:style>
  <w:style w:type="paragraph" w:customStyle="1" w:styleId="TFReferencesSection">
    <w:name w:val="TF_References_Section"/>
    <w:basedOn w:val="Normal"/>
    <w:autoRedefine/>
    <w:qFormat/>
    <w:pPr>
      <w:spacing w:line="480" w:lineRule="auto"/>
      <w:ind w:firstLine="187"/>
    </w:pPr>
  </w:style>
  <w:style w:type="paragraph" w:styleId="NormalWeb">
    <w:name w:val="Normal (Web)"/>
    <w:basedOn w:val="Normal"/>
    <w:autoRedefine/>
    <w:semiHidden/>
    <w:unhideWhenUsed/>
    <w:qFormat/>
  </w:style>
  <w:style w:type="paragraph" w:styleId="Title">
    <w:name w:val="Title"/>
    <w:basedOn w:val="Normal"/>
    <w:next w:val="Normal"/>
    <w:link w:val="TitleChar"/>
    <w:autoRedefine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autoRedefine/>
    <w:semiHidden/>
    <w:unhideWhenUsed/>
    <w:qFormat/>
    <w:rPr>
      <w:b/>
      <w:bCs/>
    </w:rPr>
  </w:style>
  <w:style w:type="table" w:styleId="TableGrid">
    <w:name w:val="Table Grid"/>
    <w:basedOn w:val="TableNormal"/>
    <w:autoRedefine/>
    <w:uiPriority w:val="39"/>
    <w:qFormat/>
    <w:rPr>
      <w:rFonts w:ascii="Calibri" w:eastAsia="DengXian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autoRedefine/>
    <w:qFormat/>
  </w:style>
  <w:style w:type="character" w:styleId="FollowedHyperlink">
    <w:name w:val="FollowedHyperlink"/>
    <w:autoRedefine/>
    <w:qFormat/>
    <w:rPr>
      <w:color w:val="800080"/>
      <w:u w:val="single"/>
    </w:rPr>
  </w:style>
  <w:style w:type="character" w:styleId="Hyperlink">
    <w:name w:val="Hyperlink"/>
    <w:autoRedefine/>
    <w:qFormat/>
    <w:rPr>
      <w:color w:val="0000FF"/>
      <w:u w:val="single"/>
    </w:rPr>
  </w:style>
  <w:style w:type="character" w:styleId="CommentReference">
    <w:name w:val="annotation reference"/>
    <w:basedOn w:val="DefaultParagraphFont"/>
    <w:autoRedefine/>
    <w:uiPriority w:val="99"/>
    <w:semiHidden/>
    <w:unhideWhenUsed/>
    <w:qFormat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autoRedefine/>
    <w:uiPriority w:val="9"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autoRedefine/>
    <w:semiHidden/>
    <w:qFormat/>
    <w:rPr>
      <w:rFonts w:ascii="SimSun" w:eastAsia="SimSun" w:hAnsi="SimSun" w:cs="Times New Roma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autoRedefine/>
    <w:uiPriority w:val="9"/>
    <w:semiHidden/>
    <w:qFormat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autoRedefine/>
    <w:uiPriority w:val="9"/>
    <w:semiHidden/>
    <w:qFormat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autoRedefine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autoRedefine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autoRedefine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autoRedefine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autoRedefine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autoRedefine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autoRedefine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autoRedefine/>
    <w:uiPriority w:val="21"/>
    <w:qFormat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autoRedefine/>
    <w:uiPriority w:val="30"/>
    <w:qFormat/>
    <w:rPr>
      <w:i/>
      <w:iCs/>
      <w:color w:val="2F5496" w:themeColor="accent1" w:themeShade="BF"/>
    </w:rPr>
  </w:style>
  <w:style w:type="character" w:customStyle="1" w:styleId="IntenseReference1">
    <w:name w:val="Intense Reference1"/>
    <w:basedOn w:val="DefaultParagraphFont"/>
    <w:autoRedefine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autoRedefine/>
    <w:uiPriority w:val="99"/>
    <w:qFormat/>
    <w:rPr>
      <w:rFonts w:ascii="Times" w:eastAsia="Times New Roman" w:hAnsi="Times" w:cs="Times New Roman"/>
      <w:kern w:val="0"/>
      <w:sz w:val="20"/>
      <w:szCs w:val="20"/>
      <w:lang w:eastAsia="en-US"/>
      <w14:ligatures w14:val="none"/>
    </w:rPr>
  </w:style>
  <w:style w:type="character" w:customStyle="1" w:styleId="BodyTextChar">
    <w:name w:val="Body Text Char"/>
    <w:basedOn w:val="DefaultParagraphFont"/>
    <w:link w:val="BodyText"/>
    <w:autoRedefine/>
    <w:qFormat/>
    <w:rPr>
      <w:rFonts w:ascii="Times" w:eastAsia="Times New Roman" w:hAnsi="Times" w:cs="Times New Roman"/>
      <w:b/>
      <w:kern w:val="0"/>
      <w:sz w:val="40"/>
      <w:szCs w:val="20"/>
      <w:lang w:eastAsia="en-US"/>
      <w14:ligatures w14:val="none"/>
    </w:rPr>
  </w:style>
  <w:style w:type="character" w:customStyle="1" w:styleId="BalloonTextChar">
    <w:name w:val="Balloon Text Char"/>
    <w:basedOn w:val="DefaultParagraphFont"/>
    <w:link w:val="BalloonText"/>
    <w:autoRedefine/>
    <w:semiHidden/>
    <w:qFormat/>
    <w:rPr>
      <w:rFonts w:ascii="Tahoma" w:eastAsia="Times New Roman" w:hAnsi="Tahoma" w:cs="Tahoma"/>
      <w:kern w:val="0"/>
      <w:sz w:val="16"/>
      <w:szCs w:val="16"/>
      <w:lang w:eastAsia="en-US"/>
      <w14:ligatures w14:val="none"/>
    </w:rPr>
  </w:style>
  <w:style w:type="character" w:customStyle="1" w:styleId="FooterChar">
    <w:name w:val="Footer Char"/>
    <w:basedOn w:val="DefaultParagraphFont"/>
    <w:link w:val="Footer"/>
    <w:autoRedefine/>
    <w:qFormat/>
    <w:rPr>
      <w:rFonts w:ascii="Times" w:eastAsia="Times New Roman" w:hAnsi="Times" w:cs="Times New Roman"/>
      <w:kern w:val="0"/>
      <w:szCs w:val="2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autoRedefine/>
    <w:qFormat/>
    <w:rPr>
      <w:rFonts w:ascii="Times" w:eastAsia="Times New Roman" w:hAnsi="Times" w:cs="Times New Roman"/>
      <w:kern w:val="0"/>
      <w:sz w:val="18"/>
      <w:szCs w:val="20"/>
      <w:lang w:eastAsia="en-US"/>
      <w14:ligatures w14:val="none"/>
    </w:rPr>
  </w:style>
  <w:style w:type="character" w:customStyle="1" w:styleId="FootnoteTextChar">
    <w:name w:val="Footnote Text Char"/>
    <w:basedOn w:val="DefaultParagraphFont"/>
    <w:link w:val="FootnoteText"/>
    <w:autoRedefine/>
    <w:semiHidden/>
    <w:qFormat/>
    <w:rPr>
      <w:rFonts w:ascii="Times" w:eastAsia="Times New Roman" w:hAnsi="Times" w:cs="Times New Roman"/>
      <w:kern w:val="0"/>
      <w:szCs w:val="20"/>
      <w:lang w:eastAsia="en-US"/>
      <w14:ligatures w14:val="none"/>
    </w:rPr>
  </w:style>
  <w:style w:type="character" w:customStyle="1" w:styleId="CommentSubjectChar">
    <w:name w:val="Comment Subject Char"/>
    <w:basedOn w:val="CommentTextChar"/>
    <w:link w:val="CommentSubject"/>
    <w:autoRedefine/>
    <w:semiHidden/>
    <w:qFormat/>
    <w:rPr>
      <w:rFonts w:ascii="Times" w:eastAsia="Times New Roman" w:hAnsi="Times" w:cs="Times New Roman"/>
      <w:b/>
      <w:bCs/>
      <w:kern w:val="0"/>
      <w:sz w:val="20"/>
      <w:szCs w:val="20"/>
      <w:lang w:eastAsia="en-US"/>
      <w14:ligatures w14:val="none"/>
    </w:rPr>
  </w:style>
  <w:style w:type="paragraph" w:customStyle="1" w:styleId="TAMainText">
    <w:name w:val="TA_Main_Text"/>
    <w:basedOn w:val="Normal"/>
    <w:autoRedefine/>
    <w:qFormat/>
    <w:pPr>
      <w:spacing w:after="0" w:line="480" w:lineRule="auto"/>
      <w:ind w:firstLine="202"/>
    </w:pPr>
  </w:style>
  <w:style w:type="paragraph" w:customStyle="1" w:styleId="BATitle">
    <w:name w:val="BA_Title"/>
    <w:basedOn w:val="Normal"/>
    <w:next w:val="BBAuthorName"/>
    <w:autoRedefine/>
    <w:qFormat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Normal"/>
    <w:next w:val="BCAuthorAddress"/>
    <w:autoRedefine/>
    <w:qFormat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Normal"/>
    <w:next w:val="BIEmailAddress"/>
    <w:autoRedefine/>
    <w:qFormat/>
    <w:pPr>
      <w:spacing w:after="240" w:line="480" w:lineRule="auto"/>
      <w:jc w:val="center"/>
    </w:pPr>
  </w:style>
  <w:style w:type="paragraph" w:customStyle="1" w:styleId="BIEmailAddress">
    <w:name w:val="BI_Email_Address"/>
    <w:basedOn w:val="Normal"/>
    <w:next w:val="AIReceivedDate"/>
    <w:autoRedefine/>
    <w:qFormat/>
    <w:pPr>
      <w:spacing w:line="480" w:lineRule="auto"/>
    </w:pPr>
  </w:style>
  <w:style w:type="paragraph" w:customStyle="1" w:styleId="AIReceivedDate">
    <w:name w:val="AI_Received_Date"/>
    <w:basedOn w:val="Normal"/>
    <w:next w:val="BDAbstract"/>
    <w:autoRedefine/>
    <w:qFormat/>
    <w:pPr>
      <w:spacing w:after="240" w:line="480" w:lineRule="auto"/>
    </w:pPr>
    <w:rPr>
      <w:b/>
    </w:rPr>
  </w:style>
  <w:style w:type="paragraph" w:customStyle="1" w:styleId="BDAbstract">
    <w:name w:val="BD_Abstract"/>
    <w:basedOn w:val="Normal"/>
    <w:next w:val="TAMainText"/>
    <w:autoRedefine/>
    <w:qFormat/>
    <w:pPr>
      <w:spacing w:before="360" w:after="360" w:line="480" w:lineRule="auto"/>
    </w:pPr>
  </w:style>
  <w:style w:type="paragraph" w:customStyle="1" w:styleId="TDAcknowledgments">
    <w:name w:val="TD_Acknowledgments"/>
    <w:basedOn w:val="Normal"/>
    <w:next w:val="Normal"/>
    <w:autoRedefine/>
    <w:qFormat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Normal"/>
    <w:next w:val="Normal"/>
    <w:autoRedefine/>
    <w:qFormat/>
    <w:pPr>
      <w:spacing w:line="480" w:lineRule="auto"/>
      <w:ind w:firstLine="187"/>
    </w:pPr>
  </w:style>
  <w:style w:type="paragraph" w:customStyle="1" w:styleId="VCSchemeTitle">
    <w:name w:val="VC_Scheme_Title"/>
    <w:basedOn w:val="Normal"/>
    <w:next w:val="Normal"/>
    <w:autoRedefine/>
    <w:qFormat/>
    <w:pPr>
      <w:spacing w:line="480" w:lineRule="auto"/>
    </w:pPr>
  </w:style>
  <w:style w:type="paragraph" w:customStyle="1" w:styleId="VDTableTitle">
    <w:name w:val="VD_Table_Title"/>
    <w:basedOn w:val="Normal"/>
    <w:next w:val="Normal"/>
    <w:autoRedefine/>
    <w:qFormat/>
    <w:pPr>
      <w:spacing w:line="480" w:lineRule="auto"/>
    </w:pPr>
  </w:style>
  <w:style w:type="paragraph" w:customStyle="1" w:styleId="VAFigureCaption">
    <w:name w:val="VA_Figure_Caption"/>
    <w:basedOn w:val="Normal"/>
    <w:next w:val="Normal"/>
    <w:link w:val="VAFigureCaptionChar"/>
    <w:autoRedefine/>
    <w:qFormat/>
    <w:pPr>
      <w:spacing w:after="240" w:line="480" w:lineRule="auto"/>
      <w:ind w:firstLine="720"/>
    </w:pPr>
  </w:style>
  <w:style w:type="paragraph" w:customStyle="1" w:styleId="VBChartTitle">
    <w:name w:val="VB_Chart_Title"/>
    <w:basedOn w:val="Normal"/>
    <w:next w:val="Normal"/>
    <w:autoRedefine/>
    <w:qFormat/>
    <w:pPr>
      <w:spacing w:line="480" w:lineRule="auto"/>
    </w:pPr>
  </w:style>
  <w:style w:type="paragraph" w:customStyle="1" w:styleId="FETableFootnote">
    <w:name w:val="FE_Table_Footnote"/>
    <w:basedOn w:val="Normal"/>
    <w:next w:val="Normal"/>
    <w:autoRedefine/>
    <w:qFormat/>
    <w:pPr>
      <w:ind w:firstLine="187"/>
    </w:pPr>
  </w:style>
  <w:style w:type="paragraph" w:customStyle="1" w:styleId="FCChartFootnote">
    <w:name w:val="FC_Chart_Footnote"/>
    <w:basedOn w:val="Normal"/>
    <w:next w:val="Normal"/>
    <w:autoRedefine/>
    <w:qFormat/>
    <w:pPr>
      <w:ind w:firstLine="187"/>
    </w:pPr>
  </w:style>
  <w:style w:type="paragraph" w:customStyle="1" w:styleId="FDSchemeFootnote">
    <w:name w:val="FD_Scheme_Footnote"/>
    <w:basedOn w:val="Normal"/>
    <w:next w:val="Normal"/>
    <w:autoRedefine/>
    <w:qFormat/>
    <w:pPr>
      <w:ind w:firstLine="187"/>
    </w:pPr>
  </w:style>
  <w:style w:type="paragraph" w:customStyle="1" w:styleId="TCTableBody">
    <w:name w:val="TC_Table_Body"/>
    <w:basedOn w:val="Normal"/>
    <w:autoRedefine/>
    <w:qFormat/>
  </w:style>
  <w:style w:type="paragraph" w:customStyle="1" w:styleId="AFTitleRunningHead">
    <w:name w:val="AF_Title_Running_Head"/>
    <w:basedOn w:val="Normal"/>
    <w:next w:val="TAMainText"/>
    <w:autoRedefine/>
    <w:qFormat/>
    <w:pPr>
      <w:spacing w:line="480" w:lineRule="auto"/>
    </w:pPr>
  </w:style>
  <w:style w:type="paragraph" w:customStyle="1" w:styleId="BEAuthorBiography">
    <w:name w:val="BE_Author_Biography"/>
    <w:basedOn w:val="Normal"/>
    <w:autoRedefine/>
    <w:qFormat/>
    <w:pPr>
      <w:spacing w:line="480" w:lineRule="auto"/>
    </w:pPr>
  </w:style>
  <w:style w:type="paragraph" w:customStyle="1" w:styleId="FACorrespondingAuthorFootnote">
    <w:name w:val="FA_Corresponding_Author_Footnote"/>
    <w:basedOn w:val="Normal"/>
    <w:next w:val="TAMainText"/>
    <w:autoRedefine/>
    <w:qFormat/>
    <w:pPr>
      <w:spacing w:line="480" w:lineRule="auto"/>
    </w:pPr>
  </w:style>
  <w:style w:type="paragraph" w:customStyle="1" w:styleId="SNSynopsisTOC">
    <w:name w:val="SN_Synopsis_TOC"/>
    <w:basedOn w:val="Normal"/>
    <w:autoRedefine/>
    <w:qFormat/>
    <w:pPr>
      <w:spacing w:line="480" w:lineRule="auto"/>
    </w:pPr>
  </w:style>
  <w:style w:type="paragraph" w:customStyle="1" w:styleId="BGKeywords">
    <w:name w:val="BG_Keywords"/>
    <w:basedOn w:val="Normal"/>
    <w:autoRedefine/>
    <w:qFormat/>
    <w:pPr>
      <w:spacing w:line="480" w:lineRule="auto"/>
    </w:pPr>
  </w:style>
  <w:style w:type="paragraph" w:customStyle="1" w:styleId="BHBriefs">
    <w:name w:val="BH_Briefs"/>
    <w:basedOn w:val="Normal"/>
    <w:autoRedefine/>
    <w:qFormat/>
    <w:pPr>
      <w:spacing w:line="480" w:lineRule="auto"/>
    </w:pPr>
  </w:style>
  <w:style w:type="paragraph" w:customStyle="1" w:styleId="StyleFACorrespondingAuthorFootnote7pt">
    <w:name w:val="Style FA_Corresponding_Author_Footnote + 7 pt"/>
    <w:basedOn w:val="Normal"/>
    <w:next w:val="BGKeywords"/>
    <w:link w:val="StyleFACorrespondingAuthorFootnote7ptChar"/>
    <w:autoRedefine/>
    <w:qFormat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autoRedefine/>
    <w:qFormat/>
    <w:rPr>
      <w:rFonts w:ascii="Arno Pro" w:eastAsia="Times New Roman" w:hAnsi="Arno Pro" w:cs="Times New Roman"/>
      <w:kern w:val="20"/>
      <w:sz w:val="18"/>
      <w:szCs w:val="20"/>
      <w:lang w:eastAsia="en-US"/>
      <w14:ligatures w14:val="none"/>
    </w:rPr>
  </w:style>
  <w:style w:type="paragraph" w:customStyle="1" w:styleId="FAAuthorInfoSubtitle">
    <w:name w:val="FA_Author_Info_Subtitle"/>
    <w:basedOn w:val="Normal"/>
    <w:link w:val="FAAuthorInfoSubtitleChar"/>
    <w:autoRedefine/>
    <w:qFormat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autoRedefine/>
    <w:qFormat/>
    <w:rPr>
      <w:rFonts w:ascii="Times" w:eastAsia="Times New Roman" w:hAnsi="Times" w:cs="Times New Roman"/>
      <w:b/>
      <w:kern w:val="0"/>
      <w:szCs w:val="20"/>
      <w:lang w:eastAsia="en-US"/>
      <w14:ligatures w14:val="none"/>
    </w:rPr>
  </w:style>
  <w:style w:type="paragraph" w:customStyle="1" w:styleId="Default">
    <w:name w:val="Default"/>
    <w:autoRedefine/>
    <w:qFormat/>
    <w:pPr>
      <w:autoSpaceDE w:val="0"/>
      <w:autoSpaceDN w:val="0"/>
      <w:adjustRightInd w:val="0"/>
      <w:spacing w:after="160" w:line="259" w:lineRule="auto"/>
    </w:pPr>
    <w:rPr>
      <w:rFonts w:ascii="Symbol" w:eastAsia="Times New Roman" w:hAnsi="Symbol" w:cs="Symbol"/>
      <w:color w:val="000000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Revision1">
    <w:name w:val="Revision1"/>
    <w:autoRedefine/>
    <w:hidden/>
    <w:uiPriority w:val="99"/>
    <w:semiHidden/>
    <w:qFormat/>
    <w:pPr>
      <w:spacing w:after="160" w:line="259" w:lineRule="auto"/>
    </w:pPr>
    <w:rPr>
      <w:rFonts w:ascii="Times" w:eastAsia="Times New Roman" w:hAnsi="Times" w:cs="Times New Roman"/>
      <w:sz w:val="24"/>
      <w:lang w:eastAsia="en-US"/>
    </w:rPr>
  </w:style>
  <w:style w:type="paragraph" w:customStyle="1" w:styleId="Revision2">
    <w:name w:val="Revision2"/>
    <w:autoRedefine/>
    <w:hidden/>
    <w:uiPriority w:val="99"/>
    <w:semiHidden/>
    <w:qFormat/>
    <w:rPr>
      <w:rFonts w:ascii="Times" w:eastAsia="Times New Roman" w:hAnsi="Times" w:cs="Times New Roman"/>
      <w:sz w:val="24"/>
      <w:lang w:eastAsia="en-US"/>
    </w:rPr>
  </w:style>
  <w:style w:type="paragraph" w:customStyle="1" w:styleId="1">
    <w:name w:val="正文1"/>
    <w:autoRedefine/>
    <w:qFormat/>
    <w:pPr>
      <w:spacing w:before="100" w:beforeAutospacing="1" w:after="160" w:line="256" w:lineRule="auto"/>
    </w:pPr>
    <w:rPr>
      <w:rFonts w:ascii="Calibri" w:eastAsia="Times New Roman" w:hAnsi="Calibri" w:cs="Times New Roman"/>
      <w:sz w:val="22"/>
      <w:szCs w:val="22"/>
    </w:rPr>
  </w:style>
  <w:style w:type="paragraph" w:styleId="NoSpacing">
    <w:name w:val="No Spacing"/>
    <w:basedOn w:val="Normal"/>
    <w:autoRedefine/>
    <w:uiPriority w:val="99"/>
    <w:qFormat/>
    <w:pPr>
      <w:spacing w:before="100" w:beforeAutospacing="1" w:after="0" w:line="240" w:lineRule="auto"/>
      <w:jc w:val="left"/>
    </w:pPr>
    <w:rPr>
      <w:rFonts w:ascii="Calibri" w:hAnsi="Calibri"/>
      <w:sz w:val="22"/>
      <w:szCs w:val="22"/>
      <w:lang w:eastAsia="zh-CN"/>
    </w:rPr>
  </w:style>
  <w:style w:type="character" w:customStyle="1" w:styleId="smallcaps">
    <w:name w:val="smallcaps"/>
    <w:basedOn w:val="DefaultParagraphFont"/>
    <w:autoRedefine/>
    <w:qFormat/>
  </w:style>
  <w:style w:type="paragraph" w:customStyle="1" w:styleId="EndNoteBibliography">
    <w:name w:val="EndNote Bibliography"/>
    <w:basedOn w:val="Normal"/>
    <w:autoRedefine/>
    <w:qFormat/>
    <w:pPr>
      <w:widowControl w:val="0"/>
      <w:spacing w:after="0" w:line="240" w:lineRule="auto"/>
    </w:pPr>
    <w:rPr>
      <w:rFonts w:ascii="Times New Roman" w:eastAsia="DengXian" w:hAnsi="Times New Roman"/>
      <w:kern w:val="2"/>
      <w:szCs w:val="22"/>
      <w:lang w:eastAsia="zh-CN"/>
    </w:rPr>
  </w:style>
  <w:style w:type="table" w:customStyle="1" w:styleId="TableNormal1">
    <w:name w:val="Table Normal1"/>
    <w:basedOn w:val="TableNormal"/>
    <w:autoRedefine/>
    <w:semiHidden/>
    <w:qFormat/>
    <w:rPr>
      <w:rFonts w:ascii="DengXian" w:eastAsia="DengXian" w:hAnsi="DengXian" w:cs="DengXian" w:hint="eastAsia"/>
    </w:rPr>
    <w:tblPr/>
  </w:style>
  <w:style w:type="paragraph" w:customStyle="1" w:styleId="EndNoteBibliographyTitle">
    <w:name w:val="EndNote Bibliography Title"/>
    <w:basedOn w:val="Normal"/>
    <w:link w:val="EndNoteBibliographyTitleChar"/>
    <w:autoRedefine/>
    <w:qFormat/>
    <w:pPr>
      <w:spacing w:after="0"/>
      <w:jc w:val="center"/>
    </w:pPr>
    <w:rPr>
      <w:rFonts w:ascii="Times New Roman" w:hAnsi="Times New Roman"/>
    </w:rPr>
  </w:style>
  <w:style w:type="character" w:customStyle="1" w:styleId="VAFigureCaptionChar">
    <w:name w:val="VA_Figure_Caption Char"/>
    <w:basedOn w:val="DefaultParagraphFont"/>
    <w:link w:val="VAFigureCaption"/>
    <w:autoRedefine/>
    <w:qFormat/>
    <w:rPr>
      <w:rFonts w:ascii="Times" w:eastAsia="Times New Roman" w:hAnsi="Times" w:cs="Times New Roman"/>
      <w:kern w:val="0"/>
      <w:szCs w:val="20"/>
      <w:lang w:eastAsia="en-US"/>
      <w14:ligatures w14:val="none"/>
    </w:rPr>
  </w:style>
  <w:style w:type="character" w:customStyle="1" w:styleId="EndNoteBibliographyTitleChar">
    <w:name w:val="EndNote Bibliography Title Char"/>
    <w:basedOn w:val="VAFigureCaptionChar"/>
    <w:link w:val="EndNoteBibliographyTitle"/>
    <w:autoRedefine/>
    <w:qFormat/>
    <w:rPr>
      <w:rFonts w:ascii="Times New Roman" w:eastAsia="Times New Roman" w:hAnsi="Times New Roman" w:cs="Times New Roman"/>
      <w:kern w:val="0"/>
      <w:szCs w:val="20"/>
      <w:lang w:eastAsia="en-US"/>
      <w14:ligatures w14:val="none"/>
    </w:rPr>
  </w:style>
  <w:style w:type="character" w:customStyle="1" w:styleId="UnresolvedMention2">
    <w:name w:val="Unresolved Mention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11">
    <w:name w:val="font1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perscript"/>
    </w:rPr>
  </w:style>
  <w:style w:type="character" w:customStyle="1" w:styleId="font31">
    <w:name w:val="font3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bscript"/>
    </w:rPr>
  </w:style>
  <w:style w:type="character" w:customStyle="1" w:styleId="font41">
    <w:name w:val="font4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bscript"/>
    </w:rPr>
  </w:style>
  <w:style w:type="character" w:customStyle="1" w:styleId="font61">
    <w:name w:val="font61"/>
    <w:basedOn w:val="DefaultParagraphFont"/>
    <w:autoRedefine/>
    <w:qFormat/>
    <w:rPr>
      <w:rFonts w:ascii="Times New Roman" w:hAnsi="Times New Roman" w:cs="Times New Roman" w:hint="default"/>
      <w:color w:val="000000"/>
      <w:sz w:val="22"/>
      <w:szCs w:val="22"/>
      <w:u w:val="none"/>
      <w:vertAlign w:val="subscript"/>
    </w:rPr>
  </w:style>
  <w:style w:type="character" w:customStyle="1" w:styleId="font71">
    <w:name w:val="font71"/>
    <w:basedOn w:val="DefaultParagraphFont"/>
    <w:autoRedefine/>
    <w:qFormat/>
    <w:rPr>
      <w:rFonts w:ascii="SimSun" w:eastAsia="SimSun" w:hAnsi="SimSun" w:cs="SimSun"/>
      <w:color w:val="000000"/>
      <w:sz w:val="22"/>
      <w:szCs w:val="22"/>
      <w:u w:val="none"/>
    </w:rPr>
  </w:style>
  <w:style w:type="character" w:customStyle="1" w:styleId="font81">
    <w:name w:val="font81"/>
    <w:basedOn w:val="DefaultParagraphFont"/>
    <w:autoRedefine/>
    <w:qFormat/>
    <w:rPr>
      <w:rFonts w:ascii="SimSun" w:eastAsia="SimSun" w:hAnsi="SimSun" w:cs="SimSun"/>
      <w:color w:val="000000"/>
      <w:sz w:val="22"/>
      <w:szCs w:val="22"/>
      <w:u w:val="none"/>
      <w:vertAlign w:val="subscript"/>
    </w:rPr>
  </w:style>
  <w:style w:type="paragraph" w:customStyle="1" w:styleId="11">
    <w:name w:val="修订1"/>
    <w:autoRedefine/>
    <w:hidden/>
    <w:uiPriority w:val="99"/>
    <w:unhideWhenUsed/>
    <w:qFormat/>
    <w:rPr>
      <w:rFonts w:ascii="Times" w:eastAsia="Times New Roman" w:hAnsi="Times" w:cs="Times New Roman"/>
      <w:sz w:val="24"/>
      <w:lang w:eastAsia="en-US"/>
    </w:rPr>
  </w:style>
  <w:style w:type="character" w:customStyle="1" w:styleId="normaltextrun">
    <w:name w:val="normaltextrun"/>
    <w:basedOn w:val="DefaultParagraphFont"/>
    <w:autoRedefine/>
    <w:qFormat/>
  </w:style>
  <w:style w:type="paragraph" w:customStyle="1" w:styleId="Revision3">
    <w:name w:val="Revision3"/>
    <w:autoRedefine/>
    <w:hidden/>
    <w:uiPriority w:val="99"/>
    <w:unhideWhenUsed/>
    <w:qFormat/>
    <w:rPr>
      <w:rFonts w:ascii="Times" w:eastAsia="Times New Roman" w:hAnsi="Times" w:cs="Times New Roman"/>
      <w:sz w:val="24"/>
      <w:lang w:eastAsia="en-US"/>
    </w:rPr>
  </w:style>
  <w:style w:type="paragraph" w:customStyle="1" w:styleId="2">
    <w:name w:val="修订2"/>
    <w:autoRedefine/>
    <w:hidden/>
    <w:uiPriority w:val="99"/>
    <w:unhideWhenUsed/>
    <w:qFormat/>
    <w:rPr>
      <w:rFonts w:ascii="Times" w:eastAsia="Times New Roman" w:hAnsi="Times" w:cs="Times New Roman"/>
      <w:sz w:val="24"/>
      <w:lang w:eastAsia="en-US"/>
    </w:rPr>
  </w:style>
  <w:style w:type="character" w:customStyle="1" w:styleId="100">
    <w:name w:val="10"/>
    <w:basedOn w:val="DefaultParagraphFont"/>
    <w:autoRedefine/>
    <w:qFormat/>
    <w:rPr>
      <w:rFonts w:ascii="SimSun" w:eastAsia="SimSun" w:hAnsi="SimSun" w:cs="SimSun" w:hint="eastAsia"/>
    </w:rPr>
  </w:style>
  <w:style w:type="character" w:customStyle="1" w:styleId="15">
    <w:name w:val="15"/>
    <w:basedOn w:val="DefaultParagraphFont"/>
    <w:autoRedefine/>
    <w:qFormat/>
    <w:rPr>
      <w:rFonts w:ascii="SimSun" w:eastAsia="SimSun" w:hAnsi="SimSun" w:cs="SimSun" w:hint="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png"/><Relationship Id="rId3" Type="http://schemas.openxmlformats.org/officeDocument/2006/relationships/webSettings" Target="webSettings.xml"/><Relationship Id="rId21" Type="http://schemas.openxmlformats.org/officeDocument/2006/relationships/image" Target="media/image14.tiff"/><Relationship Id="rId7" Type="http://schemas.openxmlformats.org/officeDocument/2006/relationships/hyperlink" Target="mailto:wzli@iastate.edu" TargetMode="Externa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png"/><Relationship Id="rId2" Type="http://schemas.openxmlformats.org/officeDocument/2006/relationships/settings" Target="settings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roling@iastate.edu;" TargetMode="External"/><Relationship Id="rId11" Type="http://schemas.openxmlformats.org/officeDocument/2006/relationships/image" Target="media/image4.tiff"/><Relationship Id="rId24" Type="http://schemas.openxmlformats.org/officeDocument/2006/relationships/image" Target="media/image17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8.tiff"/><Relationship Id="rId23" Type="http://schemas.openxmlformats.org/officeDocument/2006/relationships/image" Target="media/image16.png"/><Relationship Id="rId28" Type="http://schemas.openxmlformats.org/officeDocument/2006/relationships/image" Target="media/image21.tiff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36</Pages>
  <Words>3295</Words>
  <Characters>18783</Characters>
  <Application>Microsoft Office Word</Application>
  <DocSecurity>0</DocSecurity>
  <Lines>156</Lines>
  <Paragraphs>44</Paragraphs>
  <ScaleCrop>false</ScaleCrop>
  <Company/>
  <LinksUpToDate>false</LinksUpToDate>
  <CharactersWithSpaces>22034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Liu, Xiaopeng [C B E]</dc:creator>
  <cp:lastModifiedBy>Wu, Yue [C B E]</cp:lastModifiedBy>
  <cp:revision>2</cp:revision>
  <dcterms:created xsi:type="dcterms:W3CDTF">2024-03-30T03:58:00Z</dcterms:created>
  <dcterms:modified xsi:type="dcterms:W3CDTF">2024-04-29T17:32:00Z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783446ce-04ca-497c-a7d4-69d1542865ed</vt:lpwstr>
  </property>
  <property fmtid="{D5CDD505-2E9C-101B-9397-08002B2CF9AE}" pid="3" name="KSOProductBuildVer">
    <vt:lpwstr>2052-12.1.0.16417</vt:lpwstr>
  </property>
  <property fmtid="{D5CDD505-2E9C-101B-9397-08002B2CF9AE}" pid="4" name="ICV">
    <vt:lpwstr>35ADC22F26484E26A5A724FD1CEF8DFD_12</vt:lpwstr>
  </property>
</Properties>
</file>