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4DD7" w14:textId="77777777" w:rsidR="002A232F" w:rsidRPr="00D7605D" w:rsidRDefault="002A232F" w:rsidP="002A232F">
      <w:pPr>
        <w:rPr>
          <w:rFonts w:ascii="Times New Roman" w:hAnsi="Times New Roman" w:cs="Times New Roman"/>
          <w:sz w:val="20"/>
          <w:szCs w:val="20"/>
        </w:rPr>
      </w:pPr>
      <w:r w:rsidRPr="00D7605D">
        <w:rPr>
          <w:rFonts w:ascii="Times New Roman" w:hAnsi="Times New Roman" w:cs="Times New Roman"/>
          <w:b/>
          <w:bCs/>
          <w:sz w:val="20"/>
          <w:szCs w:val="20"/>
        </w:rPr>
        <w:t xml:space="preserve">Supplemental Digital Appendix 1. </w:t>
      </w:r>
      <w:r w:rsidRPr="00D7605D">
        <w:rPr>
          <w:rFonts w:ascii="Times New Roman" w:hAnsi="Times New Roman" w:cs="Times New Roman"/>
          <w:sz w:val="20"/>
          <w:szCs w:val="20"/>
        </w:rPr>
        <w:t>Note Count by International Classification of Diseases, 10</w:t>
      </w:r>
      <w:r w:rsidRPr="00D7605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7605D">
        <w:rPr>
          <w:rFonts w:ascii="Times New Roman" w:hAnsi="Times New Roman" w:cs="Times New Roman"/>
          <w:sz w:val="20"/>
          <w:szCs w:val="20"/>
        </w:rPr>
        <w:t xml:space="preserve"> edition, Clinical Modification</w:t>
      </w:r>
    </w:p>
    <w:p w14:paraId="06201CA2" w14:textId="77777777" w:rsidR="005F44BE" w:rsidRPr="00D7605D" w:rsidRDefault="005F44BE">
      <w:pPr>
        <w:rPr>
          <w:b/>
          <w:bCs/>
          <w:sz w:val="20"/>
          <w:szCs w:val="20"/>
        </w:rPr>
      </w:pPr>
    </w:p>
    <w:p w14:paraId="18F71925" w14:textId="77777777" w:rsidR="002A232F" w:rsidRDefault="002A232F">
      <w:pPr>
        <w:rPr>
          <w:b/>
          <w:bCs/>
        </w:rPr>
      </w:pPr>
    </w:p>
    <w:tbl>
      <w:tblPr>
        <w:tblStyle w:val="PlainTable2"/>
        <w:tblW w:w="0" w:type="auto"/>
        <w:tblBorders>
          <w:insideH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867"/>
        <w:gridCol w:w="3713"/>
        <w:gridCol w:w="1170"/>
        <w:gridCol w:w="1620"/>
        <w:gridCol w:w="989"/>
      </w:tblGrid>
      <w:tr w:rsidR="002A232F" w14:paraId="2679EB44" w14:textId="77777777" w:rsidTr="001A3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5A8C4CF3" w14:textId="77777777" w:rsidR="002A232F" w:rsidRDefault="002A232F" w:rsidP="001A3FA7">
            <w:r w:rsidRPr="3C584ED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Diagnostic Area</w:t>
            </w:r>
          </w:p>
        </w:tc>
        <w:tc>
          <w:tcPr>
            <w:tcW w:w="3713" w:type="dxa"/>
          </w:tcPr>
          <w:p w14:paraId="5370DC12" w14:textId="77777777" w:rsidR="002A232F" w:rsidRDefault="002A232F" w:rsidP="001A3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C584ED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ICD-10-CM Chapter</w:t>
            </w:r>
          </w:p>
        </w:tc>
        <w:tc>
          <w:tcPr>
            <w:tcW w:w="1170" w:type="dxa"/>
          </w:tcPr>
          <w:p w14:paraId="2BB7778E" w14:textId="77777777" w:rsidR="002A232F" w:rsidRDefault="002A232F" w:rsidP="001A3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C584ED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Chapter Number</w:t>
            </w:r>
          </w:p>
        </w:tc>
        <w:tc>
          <w:tcPr>
            <w:tcW w:w="1620" w:type="dxa"/>
          </w:tcPr>
          <w:p w14:paraId="38725455" w14:textId="77777777" w:rsidR="002A232F" w:rsidRDefault="002A232F" w:rsidP="001A3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C584ED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ICD Code Range</w:t>
            </w:r>
          </w:p>
        </w:tc>
        <w:tc>
          <w:tcPr>
            <w:tcW w:w="989" w:type="dxa"/>
          </w:tcPr>
          <w:p w14:paraId="151A213D" w14:textId="77777777" w:rsidR="002A232F" w:rsidRDefault="002A232F" w:rsidP="001A3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C584ED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Notes</w:t>
            </w:r>
          </w:p>
        </w:tc>
      </w:tr>
      <w:tr w:rsidR="002A232F" w14:paraId="79A6EACE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2E435BD5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Infectious</w:t>
            </w:r>
          </w:p>
        </w:tc>
        <w:tc>
          <w:tcPr>
            <w:tcW w:w="3713" w:type="dxa"/>
            <w:vAlign w:val="center"/>
          </w:tcPr>
          <w:p w14:paraId="6926C2D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Certain infectious and parasitic diseases</w:t>
            </w:r>
          </w:p>
        </w:tc>
        <w:tc>
          <w:tcPr>
            <w:tcW w:w="1170" w:type="dxa"/>
            <w:vAlign w:val="center"/>
          </w:tcPr>
          <w:p w14:paraId="0F0D580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center"/>
          </w:tcPr>
          <w:p w14:paraId="0DF68E3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A00-B99</w:t>
            </w:r>
          </w:p>
        </w:tc>
        <w:tc>
          <w:tcPr>
            <w:tcW w:w="989" w:type="dxa"/>
            <w:vAlign w:val="center"/>
          </w:tcPr>
          <w:p w14:paraId="46BA71A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4308</w:t>
            </w:r>
          </w:p>
        </w:tc>
      </w:tr>
      <w:tr w:rsidR="002A232F" w14:paraId="6D84FBA6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 w:val="restart"/>
            <w:vAlign w:val="center"/>
          </w:tcPr>
          <w:p w14:paraId="138AEA8F" w14:textId="77777777" w:rsidR="002A232F" w:rsidRPr="002D76D6" w:rsidRDefault="002A232F" w:rsidP="001A3FA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Hematologic/</w:t>
            </w:r>
          </w:p>
          <w:p w14:paraId="53551E07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Oncologic</w:t>
            </w:r>
          </w:p>
        </w:tc>
        <w:tc>
          <w:tcPr>
            <w:tcW w:w="3713" w:type="dxa"/>
            <w:vAlign w:val="center"/>
          </w:tcPr>
          <w:p w14:paraId="036DE79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Neoplasms</w:t>
            </w:r>
          </w:p>
        </w:tc>
        <w:tc>
          <w:tcPr>
            <w:tcW w:w="1170" w:type="dxa"/>
            <w:vAlign w:val="center"/>
          </w:tcPr>
          <w:p w14:paraId="2A5A0E5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0" w:type="dxa"/>
            <w:vAlign w:val="center"/>
          </w:tcPr>
          <w:p w14:paraId="5BE4862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C00-D49</w:t>
            </w:r>
          </w:p>
        </w:tc>
        <w:tc>
          <w:tcPr>
            <w:tcW w:w="989" w:type="dxa"/>
            <w:vAlign w:val="center"/>
          </w:tcPr>
          <w:p w14:paraId="68FA831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1917</w:t>
            </w:r>
          </w:p>
        </w:tc>
      </w:tr>
      <w:tr w:rsidR="002A232F" w14:paraId="024D31A2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21B702C5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04F215F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blood and the blood-forming organs and certain disorders involving the immune system</w:t>
            </w:r>
          </w:p>
        </w:tc>
        <w:tc>
          <w:tcPr>
            <w:tcW w:w="1170" w:type="dxa"/>
            <w:vAlign w:val="center"/>
          </w:tcPr>
          <w:p w14:paraId="5641426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center"/>
          </w:tcPr>
          <w:p w14:paraId="209D4090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D50-D89</w:t>
            </w:r>
          </w:p>
        </w:tc>
        <w:tc>
          <w:tcPr>
            <w:tcW w:w="989" w:type="dxa"/>
            <w:vAlign w:val="center"/>
          </w:tcPr>
          <w:p w14:paraId="4BC2914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1165</w:t>
            </w:r>
          </w:p>
        </w:tc>
      </w:tr>
      <w:tr w:rsidR="002A232F" w14:paraId="09179E77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675D496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Endocrine</w:t>
            </w:r>
          </w:p>
        </w:tc>
        <w:tc>
          <w:tcPr>
            <w:tcW w:w="3713" w:type="dxa"/>
            <w:vAlign w:val="center"/>
          </w:tcPr>
          <w:p w14:paraId="51697C4C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Endocrine, nutritional and metabolic disorders</w:t>
            </w:r>
          </w:p>
        </w:tc>
        <w:tc>
          <w:tcPr>
            <w:tcW w:w="1170" w:type="dxa"/>
            <w:vAlign w:val="center"/>
          </w:tcPr>
          <w:p w14:paraId="56D25F7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center"/>
          </w:tcPr>
          <w:p w14:paraId="5FA5AC6D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E00-E89</w:t>
            </w:r>
          </w:p>
        </w:tc>
        <w:tc>
          <w:tcPr>
            <w:tcW w:w="989" w:type="dxa"/>
            <w:vAlign w:val="center"/>
          </w:tcPr>
          <w:p w14:paraId="71D4BB0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2208</w:t>
            </w:r>
          </w:p>
        </w:tc>
      </w:tr>
      <w:tr w:rsidR="002A232F" w14:paraId="75193D4D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A26E138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3713" w:type="dxa"/>
            <w:vAlign w:val="center"/>
          </w:tcPr>
          <w:p w14:paraId="709AFEB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Mental, behavioral and neurodevelopmental disorders</w:t>
            </w:r>
          </w:p>
        </w:tc>
        <w:tc>
          <w:tcPr>
            <w:tcW w:w="1170" w:type="dxa"/>
            <w:vAlign w:val="center"/>
          </w:tcPr>
          <w:p w14:paraId="052A25AC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center"/>
          </w:tcPr>
          <w:p w14:paraId="3CF3E8B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F01-F99</w:t>
            </w:r>
          </w:p>
        </w:tc>
        <w:tc>
          <w:tcPr>
            <w:tcW w:w="989" w:type="dxa"/>
            <w:vAlign w:val="center"/>
          </w:tcPr>
          <w:p w14:paraId="743374E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1440</w:t>
            </w:r>
          </w:p>
        </w:tc>
      </w:tr>
      <w:tr w:rsidR="002A232F" w14:paraId="7F5B4579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4519C65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Neurologic</w:t>
            </w:r>
          </w:p>
        </w:tc>
        <w:tc>
          <w:tcPr>
            <w:tcW w:w="3713" w:type="dxa"/>
            <w:vAlign w:val="center"/>
          </w:tcPr>
          <w:p w14:paraId="29E9BE69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nervous system</w:t>
            </w:r>
          </w:p>
        </w:tc>
        <w:tc>
          <w:tcPr>
            <w:tcW w:w="1170" w:type="dxa"/>
            <w:vAlign w:val="center"/>
          </w:tcPr>
          <w:p w14:paraId="073A9552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center"/>
          </w:tcPr>
          <w:p w14:paraId="6D7F0FB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G00-G99</w:t>
            </w:r>
          </w:p>
        </w:tc>
        <w:tc>
          <w:tcPr>
            <w:tcW w:w="989" w:type="dxa"/>
            <w:vAlign w:val="center"/>
          </w:tcPr>
          <w:p w14:paraId="3E8B417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937</w:t>
            </w:r>
          </w:p>
        </w:tc>
      </w:tr>
      <w:tr w:rsidR="002A232F" w14:paraId="5698713E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B852B97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Cardiac</w:t>
            </w:r>
          </w:p>
        </w:tc>
        <w:tc>
          <w:tcPr>
            <w:tcW w:w="3713" w:type="dxa"/>
            <w:vAlign w:val="center"/>
          </w:tcPr>
          <w:p w14:paraId="6EE62AC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circulatory / cardiovascular system</w:t>
            </w:r>
          </w:p>
        </w:tc>
        <w:tc>
          <w:tcPr>
            <w:tcW w:w="1170" w:type="dxa"/>
            <w:vAlign w:val="center"/>
          </w:tcPr>
          <w:p w14:paraId="0F03F5E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center"/>
          </w:tcPr>
          <w:p w14:paraId="25FE52A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I00-I99</w:t>
            </w:r>
          </w:p>
        </w:tc>
        <w:tc>
          <w:tcPr>
            <w:tcW w:w="989" w:type="dxa"/>
            <w:vAlign w:val="center"/>
          </w:tcPr>
          <w:p w14:paraId="28B58412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7787</w:t>
            </w:r>
          </w:p>
        </w:tc>
      </w:tr>
      <w:tr w:rsidR="002A232F" w14:paraId="690EA263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313D3509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Pulmonary</w:t>
            </w:r>
          </w:p>
        </w:tc>
        <w:tc>
          <w:tcPr>
            <w:tcW w:w="3713" w:type="dxa"/>
            <w:vAlign w:val="center"/>
          </w:tcPr>
          <w:p w14:paraId="1428681F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respiratory system</w:t>
            </w:r>
          </w:p>
        </w:tc>
        <w:tc>
          <w:tcPr>
            <w:tcW w:w="1170" w:type="dxa"/>
            <w:vAlign w:val="center"/>
          </w:tcPr>
          <w:p w14:paraId="6D2F3C89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center"/>
          </w:tcPr>
          <w:p w14:paraId="4832345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J00-J99</w:t>
            </w:r>
          </w:p>
        </w:tc>
        <w:tc>
          <w:tcPr>
            <w:tcW w:w="989" w:type="dxa"/>
            <w:vAlign w:val="center"/>
          </w:tcPr>
          <w:p w14:paraId="490F3FC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3626</w:t>
            </w:r>
          </w:p>
        </w:tc>
      </w:tr>
      <w:tr w:rsidR="002A232F" w14:paraId="4DA22AAB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71789BC9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Gastrointestinal</w:t>
            </w:r>
          </w:p>
        </w:tc>
        <w:tc>
          <w:tcPr>
            <w:tcW w:w="3713" w:type="dxa"/>
            <w:vAlign w:val="center"/>
          </w:tcPr>
          <w:p w14:paraId="3AFD567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digestive system</w:t>
            </w:r>
          </w:p>
        </w:tc>
        <w:tc>
          <w:tcPr>
            <w:tcW w:w="1170" w:type="dxa"/>
            <w:vAlign w:val="center"/>
          </w:tcPr>
          <w:p w14:paraId="23EB1B8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center"/>
          </w:tcPr>
          <w:p w14:paraId="0D8BCD0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K00-K95</w:t>
            </w:r>
          </w:p>
        </w:tc>
        <w:tc>
          <w:tcPr>
            <w:tcW w:w="989" w:type="dxa"/>
            <w:vAlign w:val="center"/>
          </w:tcPr>
          <w:p w14:paraId="47456E3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3559</w:t>
            </w:r>
          </w:p>
        </w:tc>
      </w:tr>
      <w:tr w:rsidR="002A232F" w14:paraId="0C2FFD39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14BB12B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Dermatologic</w:t>
            </w:r>
          </w:p>
        </w:tc>
        <w:tc>
          <w:tcPr>
            <w:tcW w:w="3713" w:type="dxa"/>
            <w:vAlign w:val="center"/>
          </w:tcPr>
          <w:p w14:paraId="2FD8B0A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skin and subcutaneous tissue</w:t>
            </w:r>
          </w:p>
        </w:tc>
        <w:tc>
          <w:tcPr>
            <w:tcW w:w="1170" w:type="dxa"/>
            <w:vAlign w:val="center"/>
          </w:tcPr>
          <w:p w14:paraId="26FE2EC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center"/>
          </w:tcPr>
          <w:p w14:paraId="0054FA3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L00-L99</w:t>
            </w:r>
          </w:p>
        </w:tc>
        <w:tc>
          <w:tcPr>
            <w:tcW w:w="989" w:type="dxa"/>
            <w:vAlign w:val="center"/>
          </w:tcPr>
          <w:p w14:paraId="570F976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1164</w:t>
            </w:r>
          </w:p>
        </w:tc>
      </w:tr>
      <w:tr w:rsidR="002A232F" w14:paraId="37BD5042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28123B6A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Musculoskeletal</w:t>
            </w:r>
          </w:p>
        </w:tc>
        <w:tc>
          <w:tcPr>
            <w:tcW w:w="3713" w:type="dxa"/>
            <w:vAlign w:val="center"/>
          </w:tcPr>
          <w:p w14:paraId="5E7E24D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musculoskeletal system and the connective tissue</w:t>
            </w:r>
          </w:p>
        </w:tc>
        <w:tc>
          <w:tcPr>
            <w:tcW w:w="1170" w:type="dxa"/>
            <w:vAlign w:val="center"/>
          </w:tcPr>
          <w:p w14:paraId="2857B242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center"/>
          </w:tcPr>
          <w:p w14:paraId="475E4E4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M00-M99</w:t>
            </w:r>
          </w:p>
        </w:tc>
        <w:tc>
          <w:tcPr>
            <w:tcW w:w="989" w:type="dxa"/>
            <w:vAlign w:val="center"/>
          </w:tcPr>
          <w:p w14:paraId="07ED5AB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1267</w:t>
            </w:r>
          </w:p>
        </w:tc>
      </w:tr>
      <w:tr w:rsidR="002A232F" w14:paraId="718BADF3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74BCB589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Genitourinary</w:t>
            </w:r>
          </w:p>
        </w:tc>
        <w:tc>
          <w:tcPr>
            <w:tcW w:w="3713" w:type="dxa"/>
            <w:vAlign w:val="center"/>
          </w:tcPr>
          <w:p w14:paraId="068D468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genitourinary system</w:t>
            </w:r>
          </w:p>
        </w:tc>
        <w:tc>
          <w:tcPr>
            <w:tcW w:w="1170" w:type="dxa"/>
            <w:vAlign w:val="center"/>
          </w:tcPr>
          <w:p w14:paraId="74D66E8B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14:paraId="615BC6B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N00-N99</w:t>
            </w:r>
          </w:p>
        </w:tc>
        <w:tc>
          <w:tcPr>
            <w:tcW w:w="989" w:type="dxa"/>
            <w:vAlign w:val="center"/>
          </w:tcPr>
          <w:p w14:paraId="18E3ADB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2592</w:t>
            </w:r>
          </w:p>
        </w:tc>
      </w:tr>
      <w:tr w:rsidR="002A232F" w14:paraId="528BE4EE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 w:val="restart"/>
            <w:vAlign w:val="center"/>
          </w:tcPr>
          <w:p w14:paraId="169D4222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3713" w:type="dxa"/>
            <w:vAlign w:val="center"/>
          </w:tcPr>
          <w:p w14:paraId="29FED9C3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eye and adnexa</w:t>
            </w:r>
          </w:p>
        </w:tc>
        <w:tc>
          <w:tcPr>
            <w:tcW w:w="1170" w:type="dxa"/>
            <w:vAlign w:val="center"/>
          </w:tcPr>
          <w:p w14:paraId="30F4C54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center"/>
          </w:tcPr>
          <w:p w14:paraId="39416B3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H00-H59</w:t>
            </w:r>
          </w:p>
        </w:tc>
        <w:tc>
          <w:tcPr>
            <w:tcW w:w="989" w:type="dxa"/>
            <w:vAlign w:val="center"/>
          </w:tcPr>
          <w:p w14:paraId="1DBC0EA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</w:tr>
      <w:tr w:rsidR="002A232F" w14:paraId="2925266D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5BDA4F62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6124430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Diseases of the ear and mastoid process</w:t>
            </w:r>
          </w:p>
        </w:tc>
        <w:tc>
          <w:tcPr>
            <w:tcW w:w="1170" w:type="dxa"/>
            <w:vAlign w:val="center"/>
          </w:tcPr>
          <w:p w14:paraId="472C815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center"/>
          </w:tcPr>
          <w:p w14:paraId="116AD4F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H60-H95</w:t>
            </w:r>
          </w:p>
        </w:tc>
        <w:tc>
          <w:tcPr>
            <w:tcW w:w="989" w:type="dxa"/>
            <w:vAlign w:val="center"/>
          </w:tcPr>
          <w:p w14:paraId="4A7943A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232F" w14:paraId="3D9DF0BA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113FE563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5B4FCCDF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Pregnancy, childbirth and the puerperium </w:t>
            </w:r>
          </w:p>
        </w:tc>
        <w:tc>
          <w:tcPr>
            <w:tcW w:w="1170" w:type="dxa"/>
            <w:vAlign w:val="center"/>
          </w:tcPr>
          <w:p w14:paraId="1F7372E9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20" w:type="dxa"/>
            <w:vAlign w:val="center"/>
          </w:tcPr>
          <w:p w14:paraId="2B0C1DB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O00-O9A</w:t>
            </w:r>
          </w:p>
        </w:tc>
        <w:tc>
          <w:tcPr>
            <w:tcW w:w="989" w:type="dxa"/>
            <w:vAlign w:val="center"/>
          </w:tcPr>
          <w:p w14:paraId="0ADC39B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</w:tr>
      <w:tr w:rsidR="002A232F" w14:paraId="270BDDE6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6F28D69A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0CBDB34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Certain conditions originating in the perinatal period</w:t>
            </w:r>
          </w:p>
        </w:tc>
        <w:tc>
          <w:tcPr>
            <w:tcW w:w="1170" w:type="dxa"/>
            <w:vAlign w:val="center"/>
          </w:tcPr>
          <w:p w14:paraId="649382D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center"/>
          </w:tcPr>
          <w:p w14:paraId="0A0F0FA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P00-P96</w:t>
            </w:r>
          </w:p>
        </w:tc>
        <w:tc>
          <w:tcPr>
            <w:tcW w:w="989" w:type="dxa"/>
            <w:vAlign w:val="center"/>
          </w:tcPr>
          <w:p w14:paraId="7ED75CB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2A232F" w14:paraId="42C11C5E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0D4C941A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4DDA713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Congenital malformations, deformations and chromosomal abnormalities </w:t>
            </w:r>
          </w:p>
        </w:tc>
        <w:tc>
          <w:tcPr>
            <w:tcW w:w="1170" w:type="dxa"/>
            <w:vAlign w:val="center"/>
          </w:tcPr>
          <w:p w14:paraId="5036985C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center"/>
          </w:tcPr>
          <w:p w14:paraId="597FD68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Q00-Q99</w:t>
            </w:r>
          </w:p>
        </w:tc>
        <w:tc>
          <w:tcPr>
            <w:tcW w:w="989" w:type="dxa"/>
            <w:vAlign w:val="center"/>
          </w:tcPr>
          <w:p w14:paraId="18565329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2A232F" w14:paraId="70E2A44C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056A1F23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5339452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Symptoms, signs and abnormal clinical and laboratory findings, not elsewhere classified </w:t>
            </w:r>
          </w:p>
        </w:tc>
        <w:tc>
          <w:tcPr>
            <w:tcW w:w="1170" w:type="dxa"/>
            <w:vAlign w:val="center"/>
          </w:tcPr>
          <w:p w14:paraId="571EAEED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620" w:type="dxa"/>
            <w:vAlign w:val="center"/>
          </w:tcPr>
          <w:p w14:paraId="4F29980F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R00-R99</w:t>
            </w:r>
          </w:p>
        </w:tc>
        <w:tc>
          <w:tcPr>
            <w:tcW w:w="989" w:type="dxa"/>
            <w:vAlign w:val="center"/>
          </w:tcPr>
          <w:p w14:paraId="09BB48C0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2093</w:t>
            </w:r>
          </w:p>
        </w:tc>
      </w:tr>
      <w:tr w:rsidR="002A232F" w14:paraId="0D09849D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41C5DA71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5E59EB0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Injury, poisoning and certain other consequences of external causes </w:t>
            </w:r>
          </w:p>
        </w:tc>
        <w:tc>
          <w:tcPr>
            <w:tcW w:w="1170" w:type="dxa"/>
            <w:vAlign w:val="center"/>
          </w:tcPr>
          <w:p w14:paraId="3A9969EB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center"/>
          </w:tcPr>
          <w:p w14:paraId="2A812D12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S00-T88</w:t>
            </w:r>
          </w:p>
        </w:tc>
        <w:tc>
          <w:tcPr>
            <w:tcW w:w="989" w:type="dxa"/>
            <w:vAlign w:val="center"/>
          </w:tcPr>
          <w:p w14:paraId="38AAD711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1117</w:t>
            </w:r>
          </w:p>
        </w:tc>
      </w:tr>
      <w:tr w:rsidR="002A232F" w14:paraId="758BE90C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413141EB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19BAA7C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External causes of morbidity</w:t>
            </w:r>
          </w:p>
        </w:tc>
        <w:tc>
          <w:tcPr>
            <w:tcW w:w="1170" w:type="dxa"/>
            <w:vAlign w:val="center"/>
          </w:tcPr>
          <w:p w14:paraId="28C2EA6A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20" w:type="dxa"/>
            <w:vAlign w:val="center"/>
          </w:tcPr>
          <w:p w14:paraId="58A7A0AD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V00-Y99</w:t>
            </w:r>
          </w:p>
        </w:tc>
        <w:tc>
          <w:tcPr>
            <w:tcW w:w="989" w:type="dxa"/>
            <w:vAlign w:val="center"/>
          </w:tcPr>
          <w:p w14:paraId="31CBE138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157</w:t>
            </w:r>
          </w:p>
        </w:tc>
      </w:tr>
      <w:tr w:rsidR="002A232F" w14:paraId="7C621A74" w14:textId="77777777" w:rsidTr="001A3FA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13786B0C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0DAF5E3D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Factors influencing health status and contact with health services</w:t>
            </w:r>
          </w:p>
        </w:tc>
        <w:tc>
          <w:tcPr>
            <w:tcW w:w="1170" w:type="dxa"/>
            <w:vAlign w:val="center"/>
          </w:tcPr>
          <w:p w14:paraId="1BBF0A74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20" w:type="dxa"/>
            <w:vAlign w:val="center"/>
          </w:tcPr>
          <w:p w14:paraId="0B00B1C7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Z00-Z99</w:t>
            </w:r>
          </w:p>
        </w:tc>
        <w:tc>
          <w:tcPr>
            <w:tcW w:w="989" w:type="dxa"/>
            <w:vAlign w:val="center"/>
          </w:tcPr>
          <w:p w14:paraId="34B0C429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192</w:t>
            </w:r>
          </w:p>
        </w:tc>
      </w:tr>
      <w:tr w:rsidR="002A232F" w14:paraId="69DCED06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</w:tcPr>
          <w:p w14:paraId="5A9DD1DE" w14:textId="77777777" w:rsidR="002A232F" w:rsidRPr="002D76D6" w:rsidRDefault="002A232F" w:rsidP="001A3FA7">
            <w:pPr>
              <w:rPr>
                <w:sz w:val="20"/>
                <w:szCs w:val="20"/>
              </w:rPr>
            </w:pPr>
          </w:p>
        </w:tc>
        <w:tc>
          <w:tcPr>
            <w:tcW w:w="3713" w:type="dxa"/>
            <w:vAlign w:val="center"/>
          </w:tcPr>
          <w:p w14:paraId="73892A0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Codes for Special Purposes</w:t>
            </w:r>
          </w:p>
        </w:tc>
        <w:tc>
          <w:tcPr>
            <w:tcW w:w="1170" w:type="dxa"/>
            <w:vAlign w:val="center"/>
          </w:tcPr>
          <w:p w14:paraId="701F5750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center"/>
          </w:tcPr>
          <w:p w14:paraId="7D659E8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U00-U99</w:t>
            </w:r>
          </w:p>
        </w:tc>
        <w:tc>
          <w:tcPr>
            <w:tcW w:w="989" w:type="dxa"/>
            <w:vAlign w:val="center"/>
          </w:tcPr>
          <w:p w14:paraId="3E80AF96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2A232F" w14:paraId="73ACBB6F" w14:textId="77777777" w:rsidTr="001A3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5B7DEFB8" w14:textId="77777777" w:rsidR="002A232F" w:rsidRPr="002D76D6" w:rsidRDefault="002A232F" w:rsidP="001A3FA7">
            <w:pPr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3713" w:type="dxa"/>
          </w:tcPr>
          <w:p w14:paraId="09625F4E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1DEEF7AC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14:paraId="73A04E22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Unavailable</w:t>
            </w:r>
          </w:p>
        </w:tc>
        <w:tc>
          <w:tcPr>
            <w:tcW w:w="989" w:type="dxa"/>
          </w:tcPr>
          <w:p w14:paraId="67E26795" w14:textId="77777777" w:rsidR="002A232F" w:rsidRPr="002D76D6" w:rsidRDefault="002A232F" w:rsidP="001A3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76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2094</w:t>
            </w:r>
          </w:p>
        </w:tc>
      </w:tr>
    </w:tbl>
    <w:p w14:paraId="449F7847" w14:textId="77777777" w:rsidR="002A232F" w:rsidRDefault="002A232F">
      <w:pPr>
        <w:rPr>
          <w:b/>
          <w:bCs/>
        </w:rPr>
      </w:pPr>
    </w:p>
    <w:p w14:paraId="34D60573" w14:textId="77777777" w:rsidR="002A232F" w:rsidRDefault="002A232F">
      <w:pPr>
        <w:rPr>
          <w:b/>
          <w:bCs/>
        </w:rPr>
      </w:pPr>
    </w:p>
    <w:p w14:paraId="119BD576" w14:textId="77777777" w:rsidR="002A232F" w:rsidRDefault="002A232F">
      <w:pPr>
        <w:rPr>
          <w:b/>
          <w:bCs/>
        </w:rPr>
      </w:pPr>
    </w:p>
    <w:p w14:paraId="2258CAB0" w14:textId="77777777" w:rsidR="002A232F" w:rsidRDefault="002A232F">
      <w:pPr>
        <w:rPr>
          <w:b/>
          <w:bCs/>
        </w:rPr>
      </w:pPr>
    </w:p>
    <w:p w14:paraId="43648BF7" w14:textId="77777777" w:rsidR="002A232F" w:rsidRPr="00D7605D" w:rsidRDefault="002A232F">
      <w:pPr>
        <w:rPr>
          <w:rFonts w:ascii="Times New Roman" w:hAnsi="Times New Roman" w:cs="Times New Roman"/>
          <w:sz w:val="20"/>
          <w:szCs w:val="20"/>
        </w:rPr>
      </w:pPr>
      <w:r w:rsidRPr="00D7605D">
        <w:rPr>
          <w:rFonts w:ascii="Times New Roman" w:hAnsi="Times New Roman" w:cs="Times New Roman"/>
          <w:b/>
          <w:bCs/>
          <w:sz w:val="20"/>
          <w:szCs w:val="20"/>
        </w:rPr>
        <w:t xml:space="preserve">Supplemental Digital Appendix 2. </w:t>
      </w:r>
      <w:r w:rsidRPr="00D7605D">
        <w:rPr>
          <w:rFonts w:ascii="Times New Roman" w:hAnsi="Times New Roman" w:cs="Times New Roman"/>
          <w:sz w:val="20"/>
          <w:szCs w:val="20"/>
        </w:rPr>
        <w:t>Resident Count by Site and by Academic Year</w:t>
      </w:r>
    </w:p>
    <w:p w14:paraId="035A6E42" w14:textId="77777777" w:rsidR="002A232F" w:rsidRPr="002A232F" w:rsidRDefault="002A232F"/>
    <w:p w14:paraId="3F448031" w14:textId="543C593F" w:rsidR="002A232F" w:rsidRDefault="00AE66C7">
      <w:pPr>
        <w:rPr>
          <w:b/>
          <w:bCs/>
        </w:rPr>
      </w:pPr>
      <w:r w:rsidRPr="00AE66C7">
        <w:rPr>
          <w:b/>
          <w:bCs/>
        </w:rPr>
        <w:drawing>
          <wp:inline distT="0" distB="0" distL="0" distR="0" wp14:anchorId="2A38A0C7" wp14:editId="01DE52B8">
            <wp:extent cx="5943600" cy="2453640"/>
            <wp:effectExtent l="0" t="0" r="0" b="0"/>
            <wp:docPr id="2068804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040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6A3B4" w14:textId="77777777" w:rsidR="002A232F" w:rsidRDefault="002A232F">
      <w:pPr>
        <w:rPr>
          <w:b/>
          <w:bCs/>
        </w:rPr>
      </w:pPr>
      <w:r>
        <w:rPr>
          <w:b/>
          <w:bCs/>
        </w:rPr>
        <w:br w:type="page"/>
      </w:r>
    </w:p>
    <w:p w14:paraId="2DF30A4E" w14:textId="3B0216DC" w:rsidR="002A232F" w:rsidRPr="00D7605D" w:rsidRDefault="002A232F" w:rsidP="002A232F">
      <w:pPr>
        <w:rPr>
          <w:rFonts w:ascii="Times New Roman" w:hAnsi="Times New Roman" w:cs="Times New Roman"/>
          <w:sz w:val="20"/>
          <w:szCs w:val="20"/>
        </w:rPr>
      </w:pPr>
      <w:r w:rsidRPr="00D7605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 </w:t>
      </w:r>
      <w:r w:rsidR="00D7605D" w:rsidRPr="00D7605D">
        <w:rPr>
          <w:rFonts w:ascii="Times New Roman" w:hAnsi="Times New Roman" w:cs="Times New Roman"/>
          <w:b/>
          <w:bCs/>
          <w:sz w:val="20"/>
          <w:szCs w:val="20"/>
        </w:rPr>
        <w:t>Digital Appendix</w:t>
      </w:r>
      <w:r w:rsidRPr="00D7605D">
        <w:rPr>
          <w:rFonts w:ascii="Times New Roman" w:hAnsi="Times New Roman" w:cs="Times New Roman"/>
          <w:b/>
          <w:bCs/>
          <w:sz w:val="20"/>
          <w:szCs w:val="20"/>
        </w:rPr>
        <w:t xml:space="preserve"> 3:</w:t>
      </w:r>
      <w:r w:rsidRPr="00D7605D">
        <w:rPr>
          <w:rFonts w:ascii="Times New Roman" w:hAnsi="Times New Roman" w:cs="Times New Roman"/>
          <w:sz w:val="20"/>
          <w:szCs w:val="20"/>
        </w:rPr>
        <w:t xml:space="preserve"> Descriptive Statistics of Note Quality by Resident Post-Graduate Year (PGY), Clinical Learning Environment Characteristics, and Patient Characteristics</w:t>
      </w:r>
    </w:p>
    <w:p w14:paraId="5FDF2AF9" w14:textId="77777777" w:rsidR="002A232F" w:rsidRPr="002A232F" w:rsidRDefault="002A232F" w:rsidP="002A232F">
      <w:pPr>
        <w:rPr>
          <w:rFonts w:ascii="Times New Roman" w:hAnsi="Times New Roman" w:cs="Times New Roman"/>
        </w:rPr>
      </w:pPr>
    </w:p>
    <w:p w14:paraId="0F808E18" w14:textId="72CF70F3" w:rsidR="002A232F" w:rsidRDefault="007C049A">
      <w:pPr>
        <w:rPr>
          <w:b/>
          <w:bCs/>
        </w:rPr>
      </w:pPr>
      <w:r w:rsidRPr="007C049A">
        <w:rPr>
          <w:b/>
          <w:bCs/>
        </w:rPr>
        <w:drawing>
          <wp:inline distT="0" distB="0" distL="0" distR="0" wp14:anchorId="5D6DB30B" wp14:editId="2BFB09EE">
            <wp:extent cx="5943600" cy="4921250"/>
            <wp:effectExtent l="0" t="0" r="0" b="6350"/>
            <wp:docPr id="668920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206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0ECB" w14:textId="10810BBE" w:rsidR="00B47623" w:rsidRPr="002A232F" w:rsidRDefault="00B47623">
      <w:pPr>
        <w:rPr>
          <w:b/>
          <w:bCs/>
        </w:rPr>
      </w:pPr>
      <w:r w:rsidRPr="00B47623">
        <w:rPr>
          <w:b/>
          <w:bCs/>
        </w:rPr>
        <w:drawing>
          <wp:inline distT="0" distB="0" distL="0" distR="0" wp14:anchorId="41AC30F8" wp14:editId="1741BC23">
            <wp:extent cx="5943600" cy="1983740"/>
            <wp:effectExtent l="0" t="0" r="0" b="0"/>
            <wp:docPr id="5073737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737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623" w:rsidRPr="002A2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38"/>
    <w:rsid w:val="00002BE9"/>
    <w:rsid w:val="00005AF4"/>
    <w:rsid w:val="000E7198"/>
    <w:rsid w:val="000F07E0"/>
    <w:rsid w:val="000F7467"/>
    <w:rsid w:val="001470ED"/>
    <w:rsid w:val="001475E3"/>
    <w:rsid w:val="00184505"/>
    <w:rsid w:val="001936FD"/>
    <w:rsid w:val="001B3B35"/>
    <w:rsid w:val="001E23F2"/>
    <w:rsid w:val="001F0A71"/>
    <w:rsid w:val="00261220"/>
    <w:rsid w:val="002A232F"/>
    <w:rsid w:val="002B3A2E"/>
    <w:rsid w:val="002B494E"/>
    <w:rsid w:val="002D6E54"/>
    <w:rsid w:val="0037103A"/>
    <w:rsid w:val="003A40A1"/>
    <w:rsid w:val="00416035"/>
    <w:rsid w:val="0043370D"/>
    <w:rsid w:val="004401EE"/>
    <w:rsid w:val="004C4F22"/>
    <w:rsid w:val="004E09A2"/>
    <w:rsid w:val="00515E5E"/>
    <w:rsid w:val="005348BB"/>
    <w:rsid w:val="00544938"/>
    <w:rsid w:val="00546D56"/>
    <w:rsid w:val="00560BE6"/>
    <w:rsid w:val="005C3EF6"/>
    <w:rsid w:val="005E5BF8"/>
    <w:rsid w:val="005F44BE"/>
    <w:rsid w:val="00671CBE"/>
    <w:rsid w:val="00695224"/>
    <w:rsid w:val="006A32F6"/>
    <w:rsid w:val="006B38D3"/>
    <w:rsid w:val="006C444A"/>
    <w:rsid w:val="006D5071"/>
    <w:rsid w:val="006F3257"/>
    <w:rsid w:val="007345DE"/>
    <w:rsid w:val="007C049A"/>
    <w:rsid w:val="007F0427"/>
    <w:rsid w:val="00870213"/>
    <w:rsid w:val="008A467C"/>
    <w:rsid w:val="008C7701"/>
    <w:rsid w:val="008D4E40"/>
    <w:rsid w:val="00946B5B"/>
    <w:rsid w:val="009A2F67"/>
    <w:rsid w:val="009A3160"/>
    <w:rsid w:val="009F1C6B"/>
    <w:rsid w:val="00A528F3"/>
    <w:rsid w:val="00A80EE4"/>
    <w:rsid w:val="00AB70A7"/>
    <w:rsid w:val="00AC4911"/>
    <w:rsid w:val="00AE66C7"/>
    <w:rsid w:val="00B47623"/>
    <w:rsid w:val="00B74086"/>
    <w:rsid w:val="00B76C6D"/>
    <w:rsid w:val="00BC3FBF"/>
    <w:rsid w:val="00BD590A"/>
    <w:rsid w:val="00C71DC6"/>
    <w:rsid w:val="00CA7058"/>
    <w:rsid w:val="00CC300A"/>
    <w:rsid w:val="00CE3EA5"/>
    <w:rsid w:val="00D131EA"/>
    <w:rsid w:val="00D7605D"/>
    <w:rsid w:val="00DB5DE5"/>
    <w:rsid w:val="00DE174F"/>
    <w:rsid w:val="00E741F6"/>
    <w:rsid w:val="00ED5CE7"/>
    <w:rsid w:val="00F103B7"/>
    <w:rsid w:val="00F11D0B"/>
    <w:rsid w:val="00F37C03"/>
    <w:rsid w:val="00F5068A"/>
    <w:rsid w:val="00FF160F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CF8CD"/>
  <w15:chartTrackingRefBased/>
  <w15:docId w15:val="{334BE96F-2ED5-AB43-AF1B-2DFE3117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A23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Schaye, Verity</dc:creator>
  <cp:keywords/>
  <dc:description/>
  <cp:lastModifiedBy>Microsoft Office User</cp:lastModifiedBy>
  <cp:revision>6</cp:revision>
  <dcterms:created xsi:type="dcterms:W3CDTF">2024-04-18T23:08:00Z</dcterms:created>
  <dcterms:modified xsi:type="dcterms:W3CDTF">2024-05-13T15:43:00Z</dcterms:modified>
</cp:coreProperties>
</file>