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cs="Times New Roman" w:eastAsia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cs="Times New Roman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Quality assessment of included studies using the Newcastle-Ottawa Scale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</w:t>
      </w:r>
    </w:p>
    <w:tbl>
      <w:tblPr>
        <w:tblStyle w:val="6"/>
        <w:tblpPr w:leftFromText="180" w:rightFromText="180" w:vertAnchor="page" w:horzAnchor="margin" w:tblpY="1941"/>
        <w:tblW w:w="891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17"/>
        <w:gridCol w:w="567"/>
        <w:gridCol w:w="567"/>
        <w:gridCol w:w="567"/>
        <w:gridCol w:w="1701"/>
        <w:gridCol w:w="567"/>
        <w:gridCol w:w="567"/>
        <w:gridCol w:w="567"/>
        <w:gridCol w:w="81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376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Study</w:t>
            </w:r>
          </w:p>
        </w:tc>
        <w:tc>
          <w:tcPr>
            <w:tcW w:w="231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Selection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701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Comparability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Exposure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814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Score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376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0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  <w:tc>
          <w:tcPr>
            <w:tcW w:w="81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376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Rosemar </w:t>
            </w:r>
            <w:r>
              <w:rPr>
                <w:rFonts w:hint="eastAsia"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2008)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  <w:lang w:val="en-US" w:eastAsia="zh-CN"/>
              </w:rPr>
              <w:t>[4]</w:t>
            </w:r>
          </w:p>
        </w:tc>
        <w:tc>
          <w:tcPr>
            <w:tcW w:w="617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☆☆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814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Cs w:val="21"/>
              </w:rPr>
              <w:t>Zendejas (2014)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  <w:lang w:val="en-US" w:eastAsia="zh-CN"/>
              </w:rPr>
              <w:t>[32]</w:t>
            </w:r>
          </w:p>
        </w:tc>
        <w:tc>
          <w:tcPr>
            <w:tcW w:w="617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☆☆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56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814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376" w:type="dxa"/>
            <w:tcBorders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szCs w:val="21"/>
              </w:rPr>
              <w:t>Goede (2014)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</w:rPr>
              <w:t>[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  <w:lang w:val="en-US" w:eastAsia="zh-CN"/>
              </w:rPr>
              <w:t>34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</w:rPr>
              <w:t>]</w:t>
            </w:r>
          </w:p>
        </w:tc>
        <w:tc>
          <w:tcPr>
            <w:tcW w:w="617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bottom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bottom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1701" w:type="dxa"/>
            <w:tcBorders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☆☆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bottom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" w:hRule="atLeast"/>
        </w:trPr>
        <w:tc>
          <w:tcPr>
            <w:tcW w:w="237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Pivo (2023)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</w:rPr>
              <w:t>[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</w:rPr>
              <w:t>]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☆☆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" w:hRule="atLeast"/>
        </w:trPr>
        <w:tc>
          <w:tcPr>
            <w:tcW w:w="237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Hemberg (2022)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</w:rPr>
              <w:t>[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  <w:lang w:val="en-US" w:eastAsia="zh-CN"/>
              </w:rPr>
              <w:t>36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</w:rPr>
              <w:t>]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" w:hRule="atLeast"/>
        </w:trPr>
        <w:tc>
          <w:tcPr>
            <w:tcW w:w="2376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Liem (1997)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</w:rPr>
              <w:t>[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  <w:lang w:val="en-US" w:eastAsia="zh-CN"/>
              </w:rPr>
              <w:t>35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</w:rPr>
              <w:t>]</w:t>
            </w:r>
          </w:p>
        </w:tc>
        <w:tc>
          <w:tcPr>
            <w:tcW w:w="617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center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☆☆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" w:hRule="atLeast"/>
        </w:trPr>
        <w:tc>
          <w:tcPr>
            <w:tcW w:w="2376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Ruhl (2006)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</w:rPr>
              <w:t>[</w:t>
            </w:r>
            <w:r>
              <w:rPr>
                <w:rFonts w:hint="eastAsia" w:ascii="Times New Roman" w:hAnsi="Times New Roman"/>
                <w:sz w:val="21"/>
                <w:szCs w:val="21"/>
                <w:vertAlign w:val="superscript"/>
                <w:lang w:val="en-US" w:eastAsia="zh-CN"/>
              </w:rPr>
              <w:t>33</w:t>
            </w:r>
            <w:bookmarkStart w:id="0" w:name="_GoBack"/>
            <w:bookmarkEnd w:id="0"/>
            <w:r>
              <w:rPr>
                <w:rFonts w:hint="eastAsia" w:ascii="Times New Roman" w:hAnsi="Times New Roman"/>
                <w:sz w:val="21"/>
                <w:szCs w:val="21"/>
                <w:vertAlign w:val="superscript"/>
              </w:rPr>
              <w:t>]</w:t>
            </w:r>
          </w:p>
        </w:tc>
        <w:tc>
          <w:tcPr>
            <w:tcW w:w="61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701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☆☆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 Symbol" w:hAnsi="Segoe UI Symbol" w:cs="Segoe UI Symbo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☆</w:t>
            </w:r>
          </w:p>
        </w:tc>
        <w:tc>
          <w:tcPr>
            <w:tcW w:w="81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1: Is the case definition adequate? 2: Representativeness of the cases. 3: Selection of Controls. 4: Definition of Controls.</w:t>
      </w:r>
    </w:p>
    <w:p>
      <w:pPr>
        <w:spacing w:line="360" w:lineRule="auto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b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Comparability: Comparability of cases and controls on the basis of the design or analysis. A maximum of two stars can be given for comparability.</w:t>
      </w:r>
    </w:p>
    <w:p>
      <w:pPr>
        <w:spacing w:line="360" w:lineRule="auto"/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A: Ascertainment of exposure. B: Same method of ascertainment for cases and controls. C: Nonresponse rate.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yNDMyMDZhNWM4ODgyMWZlOThhMGE1YTdlZGE5Y2UifQ=="/>
  </w:docVars>
  <w:rsids>
    <w:rsidRoot w:val="00172A27"/>
    <w:rsid w:val="000208F6"/>
    <w:rsid w:val="00077D41"/>
    <w:rsid w:val="00301AC7"/>
    <w:rsid w:val="006739DF"/>
    <w:rsid w:val="0068294B"/>
    <w:rsid w:val="00682E03"/>
    <w:rsid w:val="008C03AC"/>
    <w:rsid w:val="009211F7"/>
    <w:rsid w:val="00AA340A"/>
    <w:rsid w:val="00AD2038"/>
    <w:rsid w:val="00B75F85"/>
    <w:rsid w:val="00FA714C"/>
    <w:rsid w:val="0C3F7439"/>
    <w:rsid w:val="102962AF"/>
    <w:rsid w:val="1416784A"/>
    <w:rsid w:val="1A8B7B14"/>
    <w:rsid w:val="222F592B"/>
    <w:rsid w:val="56D12D3D"/>
    <w:rsid w:val="59D72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标题 2 字符"/>
    <w:basedOn w:val="7"/>
    <w:link w:val="2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650</Characters>
  <Lines>5</Lines>
  <Paragraphs>1</Paragraphs>
  <TotalTime>0</TotalTime>
  <ScaleCrop>false</ScaleCrop>
  <LinksUpToDate>false</LinksUpToDate>
  <CharactersWithSpaces>762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2023-07-12T12:32:00Z</dcterms:created>
  <dc:creator>xianhao yi</dc:creator>
  <cp:lastModifiedBy>易显浩</cp:lastModifiedBy>
  <dcterms:modified xsi:type="dcterms:W3CDTF">2024-02-01T01:13:38Z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C00D024459F4475EAF2727FEC9D4130D_12</vt:lpwstr>
  </property>
</Properties>
</file>