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AB9DE" w14:textId="77777777" w:rsidR="002819A5" w:rsidRPr="002205A6" w:rsidRDefault="002205A6" w:rsidP="002205A6">
      <w:pPr>
        <w:spacing w:line="360" w:lineRule="auto"/>
        <w:jc w:val="left"/>
        <w:rPr>
          <w:rFonts w:ascii="Arial" w:hAnsi="Arial" w:cs="Arial"/>
          <w:sz w:val="22"/>
        </w:rPr>
      </w:pPr>
      <w:r w:rsidRPr="002205A6">
        <w:rPr>
          <w:rFonts w:ascii="Arial" w:hAnsi="Arial" w:cs="Arial"/>
          <w:sz w:val="22"/>
        </w:rPr>
        <w:t>Figure legend</w:t>
      </w:r>
    </w:p>
    <w:p w14:paraId="125970CA" w14:textId="77777777" w:rsidR="002205A6" w:rsidRPr="002205A6" w:rsidRDefault="002205A6" w:rsidP="002205A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sz w:val="22"/>
        </w:rPr>
      </w:pPr>
      <w:r w:rsidRPr="002205A6">
        <w:rPr>
          <w:rFonts w:ascii="Arial" w:hAnsi="Arial" w:cs="Arial"/>
          <w:sz w:val="22"/>
        </w:rPr>
        <w:t>Fig.1 Flow of Study Participants in this Study. CABG: Coronary artery bypass grafting; CTA: coronary computed tomography angiography; SVG: saphenous vein graft.</w:t>
      </w:r>
    </w:p>
    <w:p w14:paraId="0C48A1AB" w14:textId="29132F9C" w:rsidR="00F449CF" w:rsidRDefault="002205A6" w:rsidP="002205A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sz w:val="22"/>
        </w:rPr>
      </w:pPr>
      <w:r w:rsidRPr="00F449CF">
        <w:rPr>
          <w:rFonts w:ascii="Arial" w:hAnsi="Arial" w:cs="Arial"/>
          <w:sz w:val="22"/>
        </w:rPr>
        <w:t xml:space="preserve">Fig.2 </w:t>
      </w:r>
      <w:r w:rsidR="00F449CF" w:rsidRPr="00F449CF">
        <w:rPr>
          <w:rFonts w:ascii="Arial" w:hAnsi="Arial" w:cs="Arial"/>
          <w:sz w:val="22"/>
        </w:rPr>
        <w:t xml:space="preserve">Cumulative rate of SVG occlusion </w:t>
      </w:r>
      <w:r w:rsidR="006870A3">
        <w:rPr>
          <w:rFonts w:ascii="Arial" w:hAnsi="Arial" w:cs="Arial" w:hint="eastAsia"/>
          <w:sz w:val="22"/>
        </w:rPr>
        <w:t>in</w:t>
      </w:r>
      <w:r w:rsidR="00F449CF" w:rsidRPr="00F449CF">
        <w:rPr>
          <w:rFonts w:ascii="Arial" w:hAnsi="Arial" w:cs="Arial"/>
          <w:sz w:val="22"/>
        </w:rPr>
        <w:t xml:space="preserve"> </w:t>
      </w:r>
      <w:r w:rsidR="006870A3">
        <w:rPr>
          <w:rFonts w:ascii="Arial" w:hAnsi="Arial" w:cs="Arial" w:hint="eastAsia"/>
          <w:sz w:val="22"/>
        </w:rPr>
        <w:t>type</w:t>
      </w:r>
      <w:r w:rsidR="006870A3">
        <w:rPr>
          <w:rFonts w:ascii="Arial" w:hAnsi="Arial" w:cs="Arial"/>
          <w:sz w:val="22"/>
        </w:rPr>
        <w:t xml:space="preserve"> 2 </w:t>
      </w:r>
      <w:r w:rsidR="006870A3" w:rsidRPr="006870A3">
        <w:rPr>
          <w:rFonts w:ascii="Arial" w:hAnsi="Arial" w:cs="Arial"/>
          <w:sz w:val="22"/>
        </w:rPr>
        <w:t>diabetes mellitus</w:t>
      </w:r>
      <w:r w:rsidR="006870A3">
        <w:rPr>
          <w:rFonts w:ascii="Arial" w:hAnsi="Arial" w:cs="Arial"/>
          <w:sz w:val="22"/>
        </w:rPr>
        <w:t xml:space="preserve"> </w:t>
      </w:r>
      <w:r w:rsidR="00F449CF" w:rsidRPr="00F449CF">
        <w:rPr>
          <w:rFonts w:ascii="Arial" w:hAnsi="Arial" w:cs="Arial"/>
          <w:sz w:val="22"/>
        </w:rPr>
        <w:t>patients classified into four groups based on the developed risk score. Risk groups 1-4 represent risk scores ≤5, 6-10, 11-13, and ≥14. SVG: saphenous vein graft</w:t>
      </w:r>
      <w:r w:rsidR="00F449CF">
        <w:rPr>
          <w:rFonts w:ascii="Arial" w:hAnsi="Arial" w:cs="Arial"/>
          <w:sz w:val="22"/>
        </w:rPr>
        <w:t>.</w:t>
      </w:r>
    </w:p>
    <w:p w14:paraId="596EDE02" w14:textId="271A306F" w:rsidR="00F449CF" w:rsidRDefault="00F449CF" w:rsidP="002205A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sz w:val="22"/>
        </w:rPr>
      </w:pPr>
      <w:r w:rsidRPr="00F449CF">
        <w:rPr>
          <w:rFonts w:ascii="Arial" w:hAnsi="Arial" w:cs="Arial"/>
          <w:sz w:val="22"/>
        </w:rPr>
        <w:t xml:space="preserve">Fig.3 Observed vs. model-predicted late SVG occlusion </w:t>
      </w:r>
      <w:r w:rsidR="006870A3">
        <w:rPr>
          <w:rFonts w:ascii="Arial" w:hAnsi="Arial" w:cs="Arial" w:hint="eastAsia"/>
          <w:sz w:val="22"/>
        </w:rPr>
        <w:t>for</w:t>
      </w:r>
      <w:r w:rsidR="006870A3" w:rsidRPr="006870A3">
        <w:rPr>
          <w:rFonts w:ascii="Arial" w:hAnsi="Arial" w:cs="Arial"/>
          <w:sz w:val="22"/>
        </w:rPr>
        <w:t xml:space="preserve"> type 2 diabetes mellitus patients</w:t>
      </w:r>
      <w:r w:rsidR="006870A3" w:rsidRPr="006870A3">
        <w:rPr>
          <w:rFonts w:ascii="Arial" w:hAnsi="Arial" w:cs="Arial"/>
          <w:sz w:val="22"/>
        </w:rPr>
        <w:t xml:space="preserve"> </w:t>
      </w:r>
      <w:r w:rsidRPr="00F449CF">
        <w:rPr>
          <w:rFonts w:ascii="Arial" w:hAnsi="Arial" w:cs="Arial"/>
          <w:sz w:val="22"/>
        </w:rPr>
        <w:t>in four risk groups. Risk groups 1-4 represent risk scores ≤5, 6-10, 11-13, and ≥14. SVG: saphenous vein graft</w:t>
      </w:r>
      <w:r>
        <w:rPr>
          <w:rFonts w:ascii="Arial" w:hAnsi="Arial" w:cs="Arial"/>
          <w:sz w:val="22"/>
        </w:rPr>
        <w:t>.</w:t>
      </w:r>
    </w:p>
    <w:p w14:paraId="0D47D81C" w14:textId="77777777" w:rsidR="00F449CF" w:rsidRDefault="00F449CF" w:rsidP="002205A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Arial" w:hAnsi="Arial" w:cs="Arial"/>
          <w:sz w:val="22"/>
        </w:rPr>
      </w:pPr>
      <w:r w:rsidRPr="00F449CF">
        <w:rPr>
          <w:rFonts w:ascii="Arial" w:hAnsi="Arial" w:cs="Arial"/>
          <w:sz w:val="22"/>
        </w:rPr>
        <w:t>Fig 4. Observed rate of occlusion with 95% confidence interval vs. model-predicted risk of occlusion in groups based on the developed risk score. SVG: saphenous vein graft</w:t>
      </w:r>
      <w:r>
        <w:rPr>
          <w:rFonts w:ascii="Arial" w:hAnsi="Arial" w:cs="Arial"/>
          <w:sz w:val="22"/>
        </w:rPr>
        <w:t>.</w:t>
      </w:r>
    </w:p>
    <w:p w14:paraId="183A546F" w14:textId="32C0D516" w:rsidR="002205A6" w:rsidRPr="00F449CF" w:rsidRDefault="00F449CF" w:rsidP="00F449CF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sz w:val="22"/>
        </w:rPr>
      </w:pPr>
      <w:r w:rsidRPr="00F449CF">
        <w:rPr>
          <w:rFonts w:ascii="Arial" w:hAnsi="Arial" w:cs="Arial"/>
          <w:sz w:val="22"/>
        </w:rPr>
        <w:t xml:space="preserve">Fig 5. </w:t>
      </w:r>
      <w:bookmarkStart w:id="0" w:name="_Hlk35044297"/>
      <w:r w:rsidRPr="00F449CF">
        <w:rPr>
          <w:rFonts w:ascii="Arial" w:hAnsi="Arial" w:cs="Arial"/>
          <w:sz w:val="22"/>
        </w:rPr>
        <w:t>The calibration plot presents the predicted risk against the observed proportion of late SVG occlusion</w:t>
      </w:r>
      <w:r w:rsidR="00704FBE">
        <w:rPr>
          <w:rFonts w:ascii="Arial" w:hAnsi="Arial" w:cs="Arial"/>
          <w:sz w:val="22"/>
        </w:rPr>
        <w:t xml:space="preserve"> in T2DM patients</w:t>
      </w:r>
      <w:r w:rsidRPr="00F449CF">
        <w:rPr>
          <w:rFonts w:ascii="Arial" w:hAnsi="Arial" w:cs="Arial"/>
          <w:sz w:val="22"/>
        </w:rPr>
        <w:t xml:space="preserve"> for 21 groups based on the calculated SVG occlusion risk score</w:t>
      </w:r>
      <w:r>
        <w:rPr>
          <w:rFonts w:ascii="Arial" w:hAnsi="Arial" w:cs="Arial"/>
          <w:sz w:val="22"/>
        </w:rPr>
        <w:t>.</w:t>
      </w:r>
      <w:r w:rsidRPr="00F449CF">
        <w:rPr>
          <w:rFonts w:ascii="Arial" w:hAnsi="Arial" w:cs="Arial"/>
          <w:sz w:val="22"/>
        </w:rPr>
        <w:t xml:space="preserve"> A locally weighted regression line is plotted to show the general trend. The dashed line is the line of reference shows the ideal calibration line. SVG: saphenous vein graft</w:t>
      </w:r>
      <w:r w:rsidR="00704FBE">
        <w:rPr>
          <w:rFonts w:ascii="Arial" w:hAnsi="Arial" w:cs="Arial"/>
          <w:sz w:val="22"/>
        </w:rPr>
        <w:t>;</w:t>
      </w:r>
      <w:r w:rsidR="006870A3">
        <w:rPr>
          <w:rFonts w:ascii="Arial" w:hAnsi="Arial" w:cs="Arial"/>
          <w:sz w:val="22"/>
        </w:rPr>
        <w:t xml:space="preserve"> </w:t>
      </w:r>
      <w:r w:rsidR="00704FBE">
        <w:rPr>
          <w:rFonts w:ascii="Arial" w:hAnsi="Arial" w:cs="Arial"/>
          <w:sz w:val="22"/>
        </w:rPr>
        <w:t>T2DM:</w:t>
      </w:r>
      <w:r w:rsidR="00704FBE" w:rsidRPr="00704FBE">
        <w:t xml:space="preserve"> </w:t>
      </w:r>
      <w:r w:rsidR="00704FBE" w:rsidRPr="00704FBE">
        <w:rPr>
          <w:rFonts w:ascii="Arial" w:hAnsi="Arial" w:cs="Arial"/>
          <w:sz w:val="22"/>
        </w:rPr>
        <w:t>type 2 diabetes mellitus</w:t>
      </w:r>
    </w:p>
    <w:bookmarkEnd w:id="0"/>
    <w:p w14:paraId="10C5EAE3" w14:textId="77777777" w:rsidR="002205A6" w:rsidRPr="002205A6" w:rsidRDefault="002205A6" w:rsidP="002205A6">
      <w:pPr>
        <w:spacing w:line="360" w:lineRule="auto"/>
        <w:rPr>
          <w:rFonts w:ascii="Arial" w:hAnsi="Arial" w:cs="Arial"/>
          <w:sz w:val="22"/>
        </w:rPr>
      </w:pPr>
    </w:p>
    <w:sectPr w:rsidR="002205A6" w:rsidRPr="00220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2A951" w14:textId="77777777" w:rsidR="00E87566" w:rsidRDefault="00E87566" w:rsidP="00F449CF">
      <w:r>
        <w:separator/>
      </w:r>
    </w:p>
  </w:endnote>
  <w:endnote w:type="continuationSeparator" w:id="0">
    <w:p w14:paraId="4D0CBF9C" w14:textId="77777777" w:rsidR="00E87566" w:rsidRDefault="00E87566" w:rsidP="00F4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8768A" w14:textId="77777777" w:rsidR="00E87566" w:rsidRDefault="00E87566" w:rsidP="00F449CF">
      <w:r>
        <w:separator/>
      </w:r>
    </w:p>
  </w:footnote>
  <w:footnote w:type="continuationSeparator" w:id="0">
    <w:p w14:paraId="7D6692C1" w14:textId="77777777" w:rsidR="00E87566" w:rsidRDefault="00E87566" w:rsidP="00F44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D86404"/>
    <w:multiLevelType w:val="hybridMultilevel"/>
    <w:tmpl w:val="CB70432A"/>
    <w:lvl w:ilvl="0" w:tplc="6A7EEB6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A6"/>
    <w:rsid w:val="002205A6"/>
    <w:rsid w:val="002819A5"/>
    <w:rsid w:val="006870A3"/>
    <w:rsid w:val="00704FBE"/>
    <w:rsid w:val="008D0517"/>
    <w:rsid w:val="00DB1B3D"/>
    <w:rsid w:val="00E87566"/>
    <w:rsid w:val="00F4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02152"/>
  <w15:chartTrackingRefBased/>
  <w15:docId w15:val="{2DE07BF4-C958-4B69-A51A-361811A9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5A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44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49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4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4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yujing</dc:creator>
  <cp:keywords/>
  <dc:description/>
  <cp:lastModifiedBy>cheng yujing</cp:lastModifiedBy>
  <cp:revision>2</cp:revision>
  <dcterms:created xsi:type="dcterms:W3CDTF">2020-07-15T08:18:00Z</dcterms:created>
  <dcterms:modified xsi:type="dcterms:W3CDTF">2020-07-15T08:18:00Z</dcterms:modified>
</cp:coreProperties>
</file>