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30EF2" w14:textId="77777777" w:rsidR="00CE0B91" w:rsidRPr="00616B0E" w:rsidRDefault="00CE0B91" w:rsidP="00CE0B91">
      <w:pPr>
        <w:spacing w:line="480" w:lineRule="auto"/>
        <w:rPr>
          <w:rFonts w:eastAsia="SimSun" w:cs="Times New Roman"/>
          <w:b/>
          <w:bCs/>
          <w:color w:val="000000"/>
          <w:kern w:val="0"/>
          <w:sz w:val="24"/>
        </w:rPr>
      </w:pPr>
      <w:bookmarkStart w:id="0" w:name="_Hlk166091722"/>
      <w:r w:rsidRPr="00616B0E">
        <w:rPr>
          <w:rFonts w:eastAsia="SimSun" w:cs="Times New Roman"/>
          <w:b/>
          <w:bCs/>
          <w:color w:val="000000"/>
          <w:kern w:val="0"/>
          <w:sz w:val="24"/>
        </w:rPr>
        <w:t>Supplementary Information</w:t>
      </w:r>
    </w:p>
    <w:p w14:paraId="5EB11302" w14:textId="77777777" w:rsidR="00CE0B91" w:rsidRPr="00616B0E" w:rsidRDefault="00CE0B91" w:rsidP="00CE0B91">
      <w:pPr>
        <w:spacing w:line="480" w:lineRule="auto"/>
        <w:rPr>
          <w:rFonts w:eastAsia="SimSun" w:cs="Times New Roman"/>
          <w:color w:val="000000"/>
          <w:kern w:val="0"/>
          <w:sz w:val="24"/>
        </w:rPr>
      </w:pPr>
      <w:r w:rsidRPr="00616B0E">
        <w:rPr>
          <w:rFonts w:eastAsia="SimSun" w:cs="Times New Roman"/>
          <w:color w:val="000000"/>
          <w:kern w:val="0"/>
          <w:sz w:val="24"/>
        </w:rPr>
        <w:t xml:space="preserve">Additional file 1: </w:t>
      </w:r>
    </w:p>
    <w:bookmarkEnd w:id="0"/>
    <w:p w14:paraId="4A331D4D" w14:textId="77777777" w:rsidR="00CE0B91" w:rsidRPr="00972897" w:rsidRDefault="00CE0B91" w:rsidP="00CE0B91">
      <w:pPr>
        <w:spacing w:line="480" w:lineRule="auto"/>
        <w:rPr>
          <w:sz w:val="24"/>
        </w:rPr>
      </w:pPr>
      <w:r w:rsidRPr="00972897">
        <w:rPr>
          <w:sz w:val="24"/>
        </w:rPr>
        <w:t xml:space="preserve">Fig.S1. Description Single-cell transcriptome mapping of PN stem apices. </w:t>
      </w:r>
    </w:p>
    <w:p w14:paraId="25F80132" w14:textId="77777777" w:rsidR="00CE0B91" w:rsidRPr="00972897" w:rsidRDefault="00CE0B91" w:rsidP="00CE0B91">
      <w:pPr>
        <w:spacing w:line="480" w:lineRule="auto"/>
        <w:rPr>
          <w:sz w:val="24"/>
        </w:rPr>
      </w:pPr>
      <w:r w:rsidRPr="00972897">
        <w:rPr>
          <w:sz w:val="24"/>
        </w:rPr>
        <w:t xml:space="preserve">Fig.S2. GO enrichment analysis of DEGs in different cell populations. </w:t>
      </w:r>
    </w:p>
    <w:p w14:paraId="3652960F" w14:textId="77777777" w:rsidR="00CE0B91" w:rsidRPr="00972897" w:rsidRDefault="00CE0B91" w:rsidP="00CE0B91">
      <w:pPr>
        <w:spacing w:line="480" w:lineRule="auto"/>
        <w:rPr>
          <w:sz w:val="24"/>
        </w:rPr>
      </w:pPr>
      <w:r w:rsidRPr="00972897">
        <w:rPr>
          <w:sz w:val="24"/>
        </w:rPr>
        <w:t xml:space="preserve">Fig.S3. KEGG analysis of DEGs in different cell populations. </w:t>
      </w:r>
    </w:p>
    <w:p w14:paraId="19538E73" w14:textId="77777777" w:rsidR="00CE0B91" w:rsidRPr="00972897" w:rsidRDefault="00CE0B91" w:rsidP="00CE0B91">
      <w:pPr>
        <w:spacing w:line="480" w:lineRule="auto"/>
        <w:rPr>
          <w:sz w:val="24"/>
        </w:rPr>
      </w:pPr>
      <w:r w:rsidRPr="00972897">
        <w:rPr>
          <w:sz w:val="24"/>
        </w:rPr>
        <w:t xml:space="preserve">Fig.S4. Visualize enriched marker genes in each cell cluster. </w:t>
      </w:r>
    </w:p>
    <w:p w14:paraId="358C92D1" w14:textId="77777777" w:rsidR="00CE0B91" w:rsidRPr="00972897" w:rsidRDefault="00CE0B91" w:rsidP="00CE0B91">
      <w:pPr>
        <w:spacing w:line="480" w:lineRule="auto"/>
        <w:rPr>
          <w:sz w:val="24"/>
        </w:rPr>
      </w:pPr>
      <w:r w:rsidRPr="00972897">
        <w:rPr>
          <w:sz w:val="24"/>
        </w:rPr>
        <w:t xml:space="preserve">Fig.S5. PN stem apices cell type differentiation trajectories and expression. </w:t>
      </w:r>
    </w:p>
    <w:p w14:paraId="6CE928E0" w14:textId="77777777" w:rsidR="00CE0B91" w:rsidRPr="00972897" w:rsidRDefault="00CE0B91" w:rsidP="00CE0B91">
      <w:pPr>
        <w:spacing w:line="480" w:lineRule="auto"/>
        <w:rPr>
          <w:sz w:val="24"/>
        </w:rPr>
      </w:pPr>
      <w:r w:rsidRPr="00972897">
        <w:rPr>
          <w:sz w:val="24"/>
        </w:rPr>
        <w:t>Fig.S6. PN stem apices transcription factor expression.</w:t>
      </w:r>
    </w:p>
    <w:p w14:paraId="47D2081E" w14:textId="77777777" w:rsidR="00CE0B91" w:rsidRPr="00972897" w:rsidRDefault="00CE0B91" w:rsidP="00CE0B91">
      <w:pPr>
        <w:spacing w:line="480" w:lineRule="auto"/>
        <w:rPr>
          <w:sz w:val="24"/>
        </w:rPr>
      </w:pPr>
      <w:r w:rsidRPr="00972897">
        <w:rPr>
          <w:sz w:val="24"/>
        </w:rPr>
        <w:t xml:space="preserve">Table S1. Summary and analyses of scRNA-seq and RNA-seq datasets. </w:t>
      </w:r>
    </w:p>
    <w:p w14:paraId="5F8E52B8" w14:textId="77777777" w:rsidR="00CE0B91" w:rsidRPr="00972897" w:rsidRDefault="00CE0B91" w:rsidP="00CE0B91">
      <w:pPr>
        <w:spacing w:line="480" w:lineRule="auto"/>
        <w:rPr>
          <w:sz w:val="24"/>
        </w:rPr>
      </w:pPr>
      <w:r w:rsidRPr="00972897">
        <w:rPr>
          <w:sz w:val="24"/>
        </w:rPr>
        <w:t>Table S2. Gene list used for cell-type identification in this study.</w:t>
      </w:r>
    </w:p>
    <w:p w14:paraId="7208454B" w14:textId="77777777" w:rsidR="00CE0B91" w:rsidRPr="00972897" w:rsidRDefault="00CE0B91" w:rsidP="00CE0B91">
      <w:pPr>
        <w:spacing w:line="480" w:lineRule="auto"/>
        <w:rPr>
          <w:sz w:val="24"/>
        </w:rPr>
      </w:pPr>
      <w:r w:rsidRPr="00972897">
        <w:rPr>
          <w:sz w:val="24"/>
        </w:rPr>
        <w:t>Table S3. List of cell type marker genes.</w:t>
      </w:r>
    </w:p>
    <w:p w14:paraId="42573007" w14:textId="77777777" w:rsidR="00CE0B91" w:rsidRPr="00972897" w:rsidRDefault="00CE0B91" w:rsidP="00CE0B91">
      <w:pPr>
        <w:spacing w:line="480" w:lineRule="auto"/>
        <w:rPr>
          <w:sz w:val="24"/>
        </w:rPr>
      </w:pPr>
      <w:r w:rsidRPr="00972897">
        <w:rPr>
          <w:sz w:val="24"/>
        </w:rPr>
        <w:t>Table S4. Statistical information of cell types in the cluster.</w:t>
      </w:r>
    </w:p>
    <w:p w14:paraId="25DA5808" w14:textId="77777777" w:rsidR="00CE0B91" w:rsidRPr="00972897" w:rsidRDefault="00CE0B91" w:rsidP="00CE0B91">
      <w:pPr>
        <w:spacing w:line="480" w:lineRule="auto"/>
        <w:rPr>
          <w:sz w:val="24"/>
        </w:rPr>
      </w:pPr>
      <w:r w:rsidRPr="00972897">
        <w:rPr>
          <w:sz w:val="24"/>
        </w:rPr>
        <w:t>Table S5. GO terms for each cell type.</w:t>
      </w:r>
    </w:p>
    <w:p w14:paraId="446FFC6E" w14:textId="77777777" w:rsidR="00CE0B91" w:rsidRPr="00972897" w:rsidRDefault="00CE0B91" w:rsidP="00CE0B91">
      <w:pPr>
        <w:spacing w:line="480" w:lineRule="auto"/>
        <w:rPr>
          <w:sz w:val="24"/>
        </w:rPr>
      </w:pPr>
      <w:r w:rsidRPr="00972897">
        <w:rPr>
          <w:sz w:val="24"/>
        </w:rPr>
        <w:t>Table S6. Genes associated with PN triterpenoid saponin biosynthesis pathway.</w:t>
      </w:r>
    </w:p>
    <w:p w14:paraId="1733D36B" w14:textId="77777777" w:rsidR="00CE0B91" w:rsidRDefault="00CE0B91" w:rsidP="00CE0B91">
      <w:pPr>
        <w:spacing w:line="480" w:lineRule="auto"/>
        <w:rPr>
          <w:sz w:val="24"/>
        </w:rPr>
      </w:pPr>
      <w:r w:rsidRPr="00972897">
        <w:rPr>
          <w:sz w:val="24"/>
        </w:rPr>
        <w:t>Table S7. Primer used in this study.</w:t>
      </w:r>
    </w:p>
    <w:p w14:paraId="585C0439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91"/>
    <w:rsid w:val="00331A6B"/>
    <w:rsid w:val="00755780"/>
    <w:rsid w:val="00857596"/>
    <w:rsid w:val="00CE0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5EDD4A"/>
  <w15:chartTrackingRefBased/>
  <w15:docId w15:val="{93591623-8F98-441E-AD13-7E54403C2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0B91"/>
    <w:pPr>
      <w:spacing w:after="0" w:line="260" w:lineRule="atLeast"/>
      <w:jc w:val="both"/>
    </w:pPr>
    <w:rPr>
      <w:rFonts w:ascii="Times New Roman" w:eastAsiaTheme="minorEastAsia" w:hAnsi="Times New Roman"/>
      <w:sz w:val="21"/>
      <w:szCs w:val="24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0B91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0B91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0B91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0B91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0B91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0B91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0B91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0B91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0B91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0B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0B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0B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0B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0B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0B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0B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0B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0B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0B91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E0B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0B91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E0B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0B91"/>
    <w:pPr>
      <w:spacing w:before="160" w:after="160" w:line="259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sz w:val="22"/>
      <w:szCs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E0B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0B91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E0B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0B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sz w:val="22"/>
      <w:szCs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0B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0B9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722</Characters>
  <Application>Microsoft Office Word</Application>
  <DocSecurity>0</DocSecurity>
  <Lines>6</Lines>
  <Paragraphs>1</Paragraphs>
  <ScaleCrop>false</ScaleCrop>
  <Company>Springer Nature</Company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2024-05-24T09:38:00Z</dcterms:created>
  <dcterms:modified xsi:type="dcterms:W3CDTF">2024-05-24T09:39:00Z</dcterms:modified>
</cp:coreProperties>
</file>