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5D4FB" w14:textId="77777777" w:rsidR="00DF3D48" w:rsidRPr="008F26DE" w:rsidRDefault="00DF3D48" w:rsidP="00DF3D48">
      <w:pPr>
        <w:rPr>
          <w:b/>
          <w:bCs/>
          <w:sz w:val="28"/>
          <w:szCs w:val="28"/>
        </w:rPr>
      </w:pPr>
      <w:r w:rsidRPr="008F26DE">
        <w:rPr>
          <w:b/>
          <w:bCs/>
          <w:sz w:val="28"/>
          <w:szCs w:val="28"/>
        </w:rPr>
        <w:t>Development of a Minimal Physiologically-Based Pharmacokinetic Modeling / Machine Learning Framework for Early Target Pharmacology Assessment</w:t>
      </w:r>
    </w:p>
    <w:p w14:paraId="77D851F5" w14:textId="77777777" w:rsidR="00DF3D48" w:rsidRPr="00DF3D48" w:rsidRDefault="00DF3D48" w:rsidP="00DF3D48">
      <w:pPr>
        <w:spacing w:line="276" w:lineRule="auto"/>
        <w:rPr>
          <w:rFonts w:ascii="Calibri" w:eastAsiaTheme="minorEastAsia" w:hAnsi="Calibri" w:cs="Calibri"/>
        </w:rPr>
      </w:pPr>
      <w:r w:rsidRPr="00DF3D48">
        <w:rPr>
          <w:rFonts w:ascii="Calibri" w:eastAsiaTheme="minorEastAsia" w:hAnsi="Calibri" w:cs="Calibri"/>
        </w:rPr>
        <w:t>Krutika Patidar</w:t>
      </w:r>
      <w:r w:rsidRPr="00DF3D48">
        <w:rPr>
          <w:rFonts w:ascii="Calibri" w:eastAsiaTheme="minorEastAsia" w:hAnsi="Calibri" w:cs="Calibri"/>
          <w:vertAlign w:val="superscript"/>
        </w:rPr>
        <w:t>1</w:t>
      </w:r>
      <w:r w:rsidRPr="00DF3D48">
        <w:rPr>
          <w:rFonts w:ascii="Calibri" w:eastAsiaTheme="minorEastAsia" w:hAnsi="Calibri" w:cs="Calibri"/>
        </w:rPr>
        <w:t>, Nikhil Pillai</w:t>
      </w:r>
      <w:r w:rsidRPr="00DF3D48">
        <w:rPr>
          <w:rFonts w:ascii="Calibri" w:eastAsiaTheme="minorEastAsia" w:hAnsi="Calibri" w:cs="Calibri"/>
          <w:vertAlign w:val="superscript"/>
        </w:rPr>
        <w:t>2</w:t>
      </w:r>
      <w:r w:rsidRPr="00DF3D48">
        <w:rPr>
          <w:rFonts w:ascii="Calibri" w:eastAsiaTheme="minorEastAsia" w:hAnsi="Calibri" w:cs="Calibri"/>
        </w:rPr>
        <w:t>, Saroj Dhakal</w:t>
      </w:r>
      <w:r w:rsidRPr="00DF3D48">
        <w:rPr>
          <w:rFonts w:ascii="Calibri" w:eastAsiaTheme="minorEastAsia" w:hAnsi="Calibri" w:cs="Calibri"/>
          <w:vertAlign w:val="superscript"/>
        </w:rPr>
        <w:t>2</w:t>
      </w:r>
      <w:r w:rsidRPr="00DF3D48">
        <w:rPr>
          <w:rFonts w:ascii="Calibri" w:eastAsiaTheme="minorEastAsia" w:hAnsi="Calibri" w:cs="Calibri"/>
        </w:rPr>
        <w:t>, Lindsay B. Avery</w:t>
      </w:r>
      <w:r w:rsidRPr="00DF3D48">
        <w:rPr>
          <w:rFonts w:ascii="Calibri" w:eastAsiaTheme="minorEastAsia" w:hAnsi="Calibri" w:cs="Calibri"/>
          <w:vertAlign w:val="superscript"/>
        </w:rPr>
        <w:t>3</w:t>
      </w:r>
      <w:r w:rsidRPr="00DF3D48">
        <w:rPr>
          <w:rFonts w:ascii="Calibri" w:eastAsiaTheme="minorEastAsia" w:hAnsi="Calibri" w:cs="Calibri"/>
        </w:rPr>
        <w:t>, Panteleimon D. Mavroudis</w:t>
      </w:r>
      <w:r w:rsidRPr="00DF3D48">
        <w:rPr>
          <w:rFonts w:ascii="Calibri" w:eastAsiaTheme="minorEastAsia" w:hAnsi="Calibri" w:cs="Calibri"/>
          <w:vertAlign w:val="superscript"/>
        </w:rPr>
        <w:t>2, *</w:t>
      </w:r>
    </w:p>
    <w:p w14:paraId="40CD2DB9" w14:textId="77777777" w:rsidR="00DF3D48" w:rsidRPr="00DF3D48" w:rsidRDefault="00DF3D48" w:rsidP="00DF3D48">
      <w:pPr>
        <w:spacing w:line="276" w:lineRule="auto"/>
        <w:rPr>
          <w:rFonts w:ascii="Calibri" w:eastAsiaTheme="minorEastAsia" w:hAnsi="Calibri" w:cs="Calibri"/>
        </w:rPr>
      </w:pPr>
    </w:p>
    <w:p w14:paraId="1A5FF4E4" w14:textId="77777777" w:rsidR="00DF3D48" w:rsidRPr="00DF3D48" w:rsidRDefault="00DF3D48" w:rsidP="00DF3D48">
      <w:pPr>
        <w:spacing w:line="276" w:lineRule="auto"/>
        <w:rPr>
          <w:rFonts w:ascii="Calibri" w:eastAsiaTheme="minorEastAsia" w:hAnsi="Calibri" w:cs="Calibri"/>
        </w:rPr>
      </w:pPr>
      <w:r w:rsidRPr="00DF3D48">
        <w:rPr>
          <w:rFonts w:ascii="Calibri" w:eastAsiaTheme="minorEastAsia" w:hAnsi="Calibri" w:cs="Calibri"/>
        </w:rPr>
        <w:t>Affiliations:</w:t>
      </w:r>
    </w:p>
    <w:p w14:paraId="2A14A157" w14:textId="77777777" w:rsidR="003A31A5" w:rsidRPr="008F5F50" w:rsidRDefault="003A31A5" w:rsidP="003A31A5">
      <w:pPr>
        <w:spacing w:line="276" w:lineRule="auto"/>
        <w:rPr>
          <w:rFonts w:ascii="Calibri" w:eastAsiaTheme="minorEastAsia" w:hAnsi="Calibri" w:cs="Calibri"/>
          <w:sz w:val="21"/>
          <w:szCs w:val="21"/>
        </w:rPr>
      </w:pPr>
      <w:r w:rsidRPr="008F5F50">
        <w:rPr>
          <w:rFonts w:ascii="Calibri" w:eastAsiaTheme="minorEastAsia" w:hAnsi="Calibri" w:cs="Calibri"/>
          <w:sz w:val="21"/>
          <w:szCs w:val="21"/>
          <w:vertAlign w:val="superscript"/>
        </w:rPr>
        <w:t>1</w:t>
      </w:r>
      <w:r w:rsidRPr="001B33AC">
        <w:rPr>
          <w:rFonts w:ascii="Calibri" w:eastAsiaTheme="minorEastAsia" w:hAnsi="Calibri" w:cs="Calibri"/>
          <w:sz w:val="21"/>
          <w:szCs w:val="21"/>
        </w:rPr>
        <w:t>Department of Chemical and Biological Engineering,</w:t>
      </w:r>
      <w:r>
        <w:rPr>
          <w:rFonts w:ascii="Calibri" w:eastAsiaTheme="minorEastAsia" w:hAnsi="Calibri" w:cs="Calibri"/>
          <w:sz w:val="21"/>
          <w:szCs w:val="21"/>
        </w:rPr>
        <w:t xml:space="preserve"> </w:t>
      </w:r>
      <w:r w:rsidRPr="001B33AC">
        <w:rPr>
          <w:rFonts w:ascii="Calibri" w:eastAsiaTheme="minorEastAsia" w:hAnsi="Calibri" w:cs="Calibri"/>
          <w:sz w:val="21"/>
          <w:szCs w:val="21"/>
        </w:rPr>
        <w:t>University at Buffalo, The State University of New York,</w:t>
      </w:r>
      <w:r>
        <w:rPr>
          <w:rFonts w:ascii="Calibri" w:eastAsiaTheme="minorEastAsia" w:hAnsi="Calibri" w:cs="Calibri"/>
          <w:sz w:val="21"/>
          <w:szCs w:val="21"/>
        </w:rPr>
        <w:t xml:space="preserve"> </w:t>
      </w:r>
      <w:r>
        <w:rPr>
          <w:rFonts w:ascii="Calibri" w:eastAsiaTheme="minorEastAsia" w:hAnsi="Calibri" w:cs="Calibri"/>
          <w:sz w:val="21"/>
          <w:szCs w:val="21"/>
        </w:rPr>
        <w:br/>
      </w:r>
      <w:r w:rsidRPr="001B33AC">
        <w:rPr>
          <w:rFonts w:ascii="Calibri" w:eastAsiaTheme="minorEastAsia" w:hAnsi="Calibri" w:cs="Calibri"/>
          <w:sz w:val="21"/>
          <w:szCs w:val="21"/>
        </w:rPr>
        <w:t>Buffalo, NY, USA</w:t>
      </w:r>
    </w:p>
    <w:p w14:paraId="4A43F8CF" w14:textId="77777777" w:rsidR="00B73A79" w:rsidRPr="008F5F50" w:rsidRDefault="00B73A79" w:rsidP="00B73A79">
      <w:pPr>
        <w:spacing w:line="276" w:lineRule="auto"/>
        <w:rPr>
          <w:rFonts w:ascii="Calibri" w:eastAsiaTheme="minorEastAsia" w:hAnsi="Calibri" w:cs="Calibri"/>
          <w:sz w:val="21"/>
          <w:szCs w:val="21"/>
        </w:rPr>
      </w:pPr>
      <w:r w:rsidRPr="008F5F50">
        <w:rPr>
          <w:rFonts w:ascii="Calibri" w:eastAsiaTheme="minorEastAsia" w:hAnsi="Calibri" w:cs="Calibri"/>
          <w:sz w:val="21"/>
          <w:szCs w:val="21"/>
          <w:vertAlign w:val="superscript"/>
        </w:rPr>
        <w:t>2</w:t>
      </w:r>
      <w:r>
        <w:rPr>
          <w:rFonts w:ascii="Calibri" w:eastAsiaTheme="minorEastAsia" w:hAnsi="Calibri" w:cs="Calibri"/>
          <w:sz w:val="21"/>
          <w:szCs w:val="21"/>
        </w:rPr>
        <w:t xml:space="preserve">Global </w:t>
      </w:r>
      <w:r w:rsidRPr="0BEDE6FB">
        <w:rPr>
          <w:rFonts w:ascii="Calibri" w:eastAsiaTheme="minorEastAsia" w:hAnsi="Calibri" w:cs="Calibri"/>
          <w:sz w:val="21"/>
          <w:szCs w:val="21"/>
        </w:rPr>
        <w:t xml:space="preserve">DMPK </w:t>
      </w:r>
      <w:r>
        <w:rPr>
          <w:rFonts w:ascii="Calibri" w:eastAsiaTheme="minorEastAsia" w:hAnsi="Calibri" w:cs="Calibri"/>
          <w:sz w:val="21"/>
          <w:szCs w:val="21"/>
        </w:rPr>
        <w:t>Modeling &amp; Simulation</w:t>
      </w:r>
      <w:r w:rsidRPr="008F5F50">
        <w:rPr>
          <w:rFonts w:ascii="Calibri" w:eastAsiaTheme="minorEastAsia" w:hAnsi="Calibri" w:cs="Calibri"/>
          <w:sz w:val="21"/>
          <w:szCs w:val="21"/>
        </w:rPr>
        <w:t>, Sanofi, Cambridge, MA, USA</w:t>
      </w:r>
    </w:p>
    <w:p w14:paraId="2CACF039" w14:textId="77777777" w:rsidR="00B73A79" w:rsidRDefault="00B73A79" w:rsidP="00B73A79">
      <w:pPr>
        <w:spacing w:line="276" w:lineRule="auto"/>
        <w:rPr>
          <w:rFonts w:ascii="Calibri" w:eastAsiaTheme="minorEastAsia" w:hAnsi="Calibri" w:cs="Calibri"/>
          <w:sz w:val="21"/>
          <w:szCs w:val="21"/>
        </w:rPr>
      </w:pPr>
      <w:r w:rsidRPr="008F5F50">
        <w:rPr>
          <w:rFonts w:ascii="Calibri" w:eastAsiaTheme="minorEastAsia" w:hAnsi="Calibri" w:cs="Calibri"/>
          <w:sz w:val="21"/>
          <w:szCs w:val="21"/>
          <w:vertAlign w:val="superscript"/>
        </w:rPr>
        <w:t>3</w:t>
      </w:r>
      <w:r w:rsidRPr="008F5F50">
        <w:rPr>
          <w:rFonts w:ascii="Calibri" w:eastAsiaTheme="minorEastAsia" w:hAnsi="Calibri" w:cs="Calibri"/>
          <w:sz w:val="21"/>
          <w:szCs w:val="21"/>
        </w:rPr>
        <w:t>Global DMPK Innovation, Sanofi, Cambridge, MA, USA</w:t>
      </w:r>
    </w:p>
    <w:p w14:paraId="01E453CA" w14:textId="77777777" w:rsidR="008F26DE" w:rsidRPr="008F26DE" w:rsidRDefault="008F26DE" w:rsidP="00DF3D48">
      <w:pPr>
        <w:spacing w:line="276" w:lineRule="auto"/>
        <w:rPr>
          <w:rFonts w:ascii="Calibri" w:eastAsiaTheme="minorEastAsia" w:hAnsi="Calibri" w:cs="Calibri"/>
          <w:sz w:val="21"/>
          <w:szCs w:val="21"/>
        </w:rPr>
      </w:pPr>
    </w:p>
    <w:p w14:paraId="03138D1E" w14:textId="77777777" w:rsidR="00DF3D48" w:rsidRPr="00DF3D48" w:rsidRDefault="00DF3D48" w:rsidP="00DF3D48">
      <w:pPr>
        <w:spacing w:line="276" w:lineRule="auto"/>
        <w:rPr>
          <w:rFonts w:ascii="Calibri" w:eastAsiaTheme="minorEastAsia" w:hAnsi="Calibri" w:cs="Calibri"/>
        </w:rPr>
      </w:pPr>
      <w:r w:rsidRPr="00DF3D48">
        <w:rPr>
          <w:rFonts w:ascii="Calibri" w:eastAsiaTheme="minorEastAsia" w:hAnsi="Calibri" w:cs="Calibri"/>
          <w:vertAlign w:val="superscript"/>
        </w:rPr>
        <w:t>*</w:t>
      </w:r>
      <w:r w:rsidRPr="00DF3D48">
        <w:rPr>
          <w:rFonts w:ascii="Calibri" w:eastAsiaTheme="minorEastAsia" w:hAnsi="Calibri" w:cs="Calibri"/>
        </w:rPr>
        <w:t xml:space="preserve">Corresponding author: </w:t>
      </w:r>
    </w:p>
    <w:p w14:paraId="201977AA" w14:textId="77777777" w:rsidR="00DF3D48" w:rsidRPr="00DF3D48" w:rsidRDefault="00DF3D48" w:rsidP="00DF3D48">
      <w:pPr>
        <w:spacing w:line="276" w:lineRule="auto"/>
        <w:rPr>
          <w:rFonts w:ascii="Calibri" w:eastAsiaTheme="minorEastAsia" w:hAnsi="Calibri" w:cs="Calibri"/>
        </w:rPr>
      </w:pPr>
      <w:r w:rsidRPr="00DF3D48">
        <w:rPr>
          <w:rFonts w:ascii="Calibri" w:eastAsiaTheme="minorEastAsia" w:hAnsi="Calibri" w:cs="Calibri"/>
        </w:rPr>
        <w:t>Panteleimon D. Mavroudis</w:t>
      </w:r>
    </w:p>
    <w:p w14:paraId="0C107E58" w14:textId="77777777" w:rsidR="00DF3D48" w:rsidRPr="00DF3D48" w:rsidRDefault="00DF3D48" w:rsidP="00DF3D48">
      <w:pPr>
        <w:spacing w:line="276" w:lineRule="auto"/>
        <w:rPr>
          <w:rFonts w:ascii="Calibri" w:eastAsiaTheme="minorEastAsia" w:hAnsi="Calibri" w:cs="Calibri"/>
        </w:rPr>
      </w:pPr>
      <w:r w:rsidRPr="00DF3D48">
        <w:rPr>
          <w:rFonts w:ascii="Calibri" w:eastAsiaTheme="minorEastAsia" w:hAnsi="Calibri" w:cs="Calibri"/>
        </w:rPr>
        <w:t>350 Water St, Cambridge, MA-02141, USA</w:t>
      </w:r>
    </w:p>
    <w:p w14:paraId="6FCBA851" w14:textId="77777777" w:rsidR="00DF3D48" w:rsidRPr="00DF3D48" w:rsidRDefault="00000000" w:rsidP="00DF3D48">
      <w:pPr>
        <w:spacing w:line="276" w:lineRule="auto"/>
        <w:rPr>
          <w:rFonts w:ascii="Calibri" w:eastAsiaTheme="minorEastAsia" w:hAnsi="Calibri" w:cs="Calibri"/>
          <w:color w:val="0000FF"/>
          <w:u w:val="single"/>
        </w:rPr>
      </w:pPr>
      <w:hyperlink r:id="rId10" w:history="1">
        <w:r w:rsidR="00DF3D48" w:rsidRPr="00DF3D48">
          <w:rPr>
            <w:rFonts w:ascii="Calibri" w:eastAsiaTheme="minorEastAsia" w:hAnsi="Calibri" w:cs="Calibri"/>
            <w:color w:val="0000FF"/>
            <w:u w:val="single"/>
          </w:rPr>
          <w:t>panteleimon.mavroudis@sanofi.com</w:t>
        </w:r>
      </w:hyperlink>
    </w:p>
    <w:p w14:paraId="4049E664" w14:textId="22523DC1" w:rsidR="0029615A" w:rsidRPr="008F26DE" w:rsidRDefault="00313EA6">
      <w:pPr>
        <w:rPr>
          <w:b/>
          <w:bCs/>
          <w:sz w:val="28"/>
          <w:szCs w:val="28"/>
        </w:rPr>
      </w:pPr>
      <w:r w:rsidRPr="008F26DE">
        <w:rPr>
          <w:b/>
          <w:bCs/>
          <w:sz w:val="28"/>
          <w:szCs w:val="28"/>
        </w:rPr>
        <w:t>Supplementary Information</w:t>
      </w:r>
    </w:p>
    <w:p w14:paraId="7FE305A3" w14:textId="6361F6E7" w:rsidR="00FA2248" w:rsidRPr="008F26DE" w:rsidRDefault="00FA2248">
      <w:pPr>
        <w:rPr>
          <w:b/>
          <w:bCs/>
          <w:sz w:val="24"/>
          <w:szCs w:val="24"/>
        </w:rPr>
      </w:pPr>
      <w:r w:rsidRPr="008F26DE">
        <w:rPr>
          <w:b/>
          <w:bCs/>
          <w:sz w:val="24"/>
          <w:szCs w:val="24"/>
        </w:rPr>
        <w:t>Minimal PBPK model</w:t>
      </w:r>
      <w:r w:rsidR="0029615A" w:rsidRPr="008F26DE">
        <w:rPr>
          <w:b/>
          <w:bCs/>
          <w:sz w:val="24"/>
          <w:szCs w:val="24"/>
        </w:rPr>
        <w:t xml:space="preserve"> description</w:t>
      </w:r>
    </w:p>
    <w:p w14:paraId="16A447AC" w14:textId="5F12FE8F" w:rsidR="003530C9" w:rsidRDefault="007554B8" w:rsidP="007554B8">
      <w:r w:rsidRPr="007554B8">
        <w:t xml:space="preserve">The structure of the </w:t>
      </w:r>
      <w:proofErr w:type="spellStart"/>
      <w:r w:rsidRPr="007554B8">
        <w:t>mPBPK</w:t>
      </w:r>
      <w:proofErr w:type="spellEnd"/>
      <w:r w:rsidRPr="007554B8">
        <w:t xml:space="preserve"> model, a schematic diagram of which is shown </w:t>
      </w:r>
      <w:r w:rsidRPr="009879EA">
        <w:t xml:space="preserve">in </w:t>
      </w:r>
      <w:r w:rsidR="00F16216" w:rsidRPr="009879EA">
        <w:fldChar w:fldCharType="begin"/>
      </w:r>
      <w:r w:rsidR="00F16216" w:rsidRPr="009879EA">
        <w:instrText xml:space="preserve"> REF _Ref159424551 \h </w:instrText>
      </w:r>
      <w:r w:rsidR="009879EA" w:rsidRPr="009879EA">
        <w:instrText xml:space="preserve"> \* MERGEFORMAT </w:instrText>
      </w:r>
      <w:r w:rsidR="00F16216" w:rsidRPr="009879EA">
        <w:fldChar w:fldCharType="separate"/>
      </w:r>
      <w:r w:rsidR="00EA22DC" w:rsidRPr="00F16216">
        <w:t>Fig</w:t>
      </w:r>
      <w:r w:rsidR="00EA22DC" w:rsidRPr="00EA22DC">
        <w:t>ure</w:t>
      </w:r>
      <w:r w:rsidR="00EA22DC" w:rsidRPr="00F16216">
        <w:t xml:space="preserve"> S</w:t>
      </w:r>
      <w:r w:rsidR="00EA22DC">
        <w:t>1</w:t>
      </w:r>
      <w:r w:rsidR="00F16216" w:rsidRPr="009879EA">
        <w:fldChar w:fldCharType="end"/>
      </w:r>
      <w:r w:rsidRPr="003530C9">
        <w:t xml:space="preserve">. </w:t>
      </w:r>
      <w:r w:rsidRPr="007554B8">
        <w:t>It comprises plasma, lymph, and two lumped tissue compartments, tight and leaky. Tight tissue represents muscle, fat, brain, and skin, whereas leaky tissue the rest of the body tissues. Arterial blood flow to tight/leaky tissue compartments is dependent on the vascular reflection coefficient for each tissue (</w:t>
      </w:r>
      <m:oMath>
        <m:sSub>
          <m:sSubPr>
            <m:ctrlPr>
              <w:rPr>
                <w:rFonts w:ascii="Cambria Math" w:hAnsi="Cambria Math"/>
                <w:i/>
              </w:rPr>
            </m:ctrlPr>
          </m:sSubPr>
          <m:e>
            <m:r>
              <w:rPr>
                <w:rFonts w:ascii="Cambria Math" w:hAnsi="Cambria Math"/>
              </w:rPr>
              <m:t>σ</m:t>
            </m:r>
          </m:e>
          <m:sub>
            <m:r>
              <w:rPr>
                <w:rFonts w:ascii="Cambria Math" w:hAnsi="Cambria Math"/>
              </w:rPr>
              <m:t>1</m:t>
            </m:r>
          </m:sub>
        </m:sSub>
        <m:r>
          <m:rPr>
            <m:sty m:val="p"/>
          </m:rPr>
          <w:rPr>
            <w:rFonts w:ascii="Cambria Math" w:hAnsi="Cambria Math"/>
          </w:rPr>
          <m:t xml:space="preserve">, </m:t>
        </m:r>
        <m:sSub>
          <m:sSubPr>
            <m:ctrlPr>
              <w:rPr>
                <w:rFonts w:ascii="Cambria Math" w:hAnsi="Cambria Math"/>
                <w:i/>
              </w:rPr>
            </m:ctrlPr>
          </m:sSubPr>
          <m:e>
            <m:r>
              <w:rPr>
                <w:rFonts w:ascii="Cambria Math" w:hAnsi="Cambria Math"/>
              </w:rPr>
              <m:t>σ</m:t>
            </m:r>
          </m:e>
          <m:sub>
            <m:r>
              <w:rPr>
                <w:rFonts w:ascii="Cambria Math" w:hAnsi="Cambria Math"/>
              </w:rPr>
              <m:t>2</m:t>
            </m:r>
          </m:sub>
        </m:sSub>
      </m:oMath>
      <w:r w:rsidRPr="007554B8">
        <w:t>). The lymph flow out of each tissue compartment is collected in the lymph compartment, which is dependent on the lymphatic reflection coefficient (</w:t>
      </w:r>
      <m:oMath>
        <m:sSub>
          <m:sSubPr>
            <m:ctrlPr>
              <w:rPr>
                <w:rFonts w:ascii="Cambria Math" w:hAnsi="Cambria Math"/>
                <w:i/>
              </w:rPr>
            </m:ctrlPr>
          </m:sSubPr>
          <m:e>
            <m:r>
              <w:rPr>
                <w:rFonts w:ascii="Cambria Math" w:hAnsi="Cambria Math"/>
              </w:rPr>
              <m:t>σ</m:t>
            </m:r>
          </m:e>
          <m:sub>
            <m:r>
              <w:rPr>
                <w:rFonts w:ascii="Cambria Math" w:hAnsi="Cambria Math"/>
              </w:rPr>
              <m:t>L</m:t>
            </m:r>
          </m:sub>
        </m:sSub>
      </m:oMath>
      <w:r w:rsidRPr="007554B8">
        <w:t>). The lymph flow rate to each tissue compartment (</w:t>
      </w:r>
      <m:oMath>
        <m:sSub>
          <m:sSubPr>
            <m:ctrlPr>
              <w:rPr>
                <w:rFonts w:ascii="Cambria Math" w:hAnsi="Cambria Math"/>
                <w:i/>
                <w:iCs/>
              </w:rPr>
            </m:ctrlPr>
          </m:sSubPr>
          <m:e>
            <m:r>
              <w:rPr>
                <w:rFonts w:ascii="Cambria Math" w:hAnsi="Cambria Math"/>
              </w:rPr>
              <m:t>L</m:t>
            </m:r>
          </m:e>
          <m:sub>
            <m:r>
              <w:rPr>
                <w:rFonts w:ascii="Cambria Math" w:hAnsi="Cambria Math"/>
              </w:rPr>
              <m:t>1</m:t>
            </m:r>
          </m:sub>
        </m:sSub>
        <m:r>
          <m:rPr>
            <m:sty m:val="p"/>
          </m:rPr>
          <w:rPr>
            <w:rFonts w:ascii="Cambria Math" w:hAnsi="Cambria Math"/>
          </w:rPr>
          <m:t xml:space="preserve">, </m:t>
        </m:r>
        <m:sSub>
          <m:sSubPr>
            <m:ctrlPr>
              <w:rPr>
                <w:rFonts w:ascii="Cambria Math" w:hAnsi="Cambria Math"/>
                <w:i/>
                <w:iCs/>
              </w:rPr>
            </m:ctrlPr>
          </m:sSubPr>
          <m:e>
            <m:r>
              <w:rPr>
                <w:rFonts w:ascii="Cambria Math" w:hAnsi="Cambria Math"/>
              </w:rPr>
              <m:t>L</m:t>
            </m:r>
          </m:e>
          <m:sub>
            <m:r>
              <w:rPr>
                <w:rFonts w:ascii="Cambria Math" w:hAnsi="Cambria Math"/>
              </w:rPr>
              <m:t>2</m:t>
            </m:r>
          </m:sub>
        </m:sSub>
      </m:oMath>
      <w:r w:rsidRPr="007554B8">
        <w:t>) is calculated as a sum of individual tissue lymph flow rates reported previously</w:t>
      </w:r>
      <w:r w:rsidR="003530C9">
        <w:t xml:space="preserve"> </w:t>
      </w:r>
      <w:sdt>
        <w:sdtPr>
          <w:id w:val="2135589846"/>
          <w:citation/>
        </w:sdtPr>
        <w:sdtContent>
          <w:r w:rsidR="00880331">
            <w:fldChar w:fldCharType="begin"/>
          </w:r>
          <w:r w:rsidR="00880331">
            <w:instrText xml:space="preserve"> CITATION Pati24 \l 1033 </w:instrText>
          </w:r>
          <w:r w:rsidR="00880331">
            <w:fldChar w:fldCharType="separate"/>
          </w:r>
          <w:r w:rsidR="009A6058" w:rsidRPr="009A6058">
            <w:rPr>
              <w:noProof/>
            </w:rPr>
            <w:t>[1]</w:t>
          </w:r>
          <w:r w:rsidR="00880331">
            <w:fldChar w:fldCharType="end"/>
          </w:r>
        </w:sdtContent>
      </w:sdt>
      <w:r w:rsidRPr="007554B8">
        <w:t xml:space="preserve">. Lymph flow from tight/leaky tissues is delivered back to plasma via the lymph compartment. </w:t>
      </w:r>
    </w:p>
    <w:p w14:paraId="399BFF9B" w14:textId="5A971475" w:rsidR="003530C9" w:rsidRDefault="007554B8" w:rsidP="007554B8">
      <w:r w:rsidRPr="007554B8">
        <w:t>Each tissue is divided into vascular, endosomal, and interstitial spaces. The unbound drug and drug-</w:t>
      </w:r>
      <w:r w:rsidR="00A23181">
        <w:t>target</w:t>
      </w:r>
      <w:r w:rsidRPr="007554B8">
        <w:t xml:space="preserve"> complex drains from the interstitial space into the lymph compartment and is delivered back to the plasma and the systemic circulation</w:t>
      </w:r>
      <w:r w:rsidRPr="003530C9">
        <w:t xml:space="preserve">. </w:t>
      </w:r>
      <w:r w:rsidRPr="007554B8">
        <w:t xml:space="preserve">Soluble targets are assumed to be synthesized both in plasma and in vascular space in the tissues, whereas membrane-bound targets are assumed to be synthesized in the tissue vascular space. The free </w:t>
      </w:r>
      <w:proofErr w:type="spellStart"/>
      <w:r w:rsidRPr="007554B8">
        <w:t>mAb</w:t>
      </w:r>
      <w:proofErr w:type="spellEnd"/>
      <w:r w:rsidRPr="007554B8">
        <w:t xml:space="preserve"> binds to the soluble </w:t>
      </w:r>
      <w:r w:rsidR="00A23181">
        <w:t>target</w:t>
      </w:r>
      <w:r w:rsidRPr="007554B8">
        <w:t xml:space="preserve"> in plasma to form a soluble drug-</w:t>
      </w:r>
      <w:r w:rsidR="00A23181">
        <w:t>target</w:t>
      </w:r>
      <w:r w:rsidRPr="007554B8">
        <w:t xml:space="preserve"> complex. The free </w:t>
      </w:r>
      <w:proofErr w:type="spellStart"/>
      <w:r w:rsidRPr="007554B8">
        <w:t>mAb</w:t>
      </w:r>
      <w:proofErr w:type="spellEnd"/>
      <w:r w:rsidRPr="007554B8">
        <w:t xml:space="preserve">, </w:t>
      </w:r>
      <w:r w:rsidR="00A23181">
        <w:t>target</w:t>
      </w:r>
      <w:r w:rsidRPr="007554B8">
        <w:t xml:space="preserve">, and the </w:t>
      </w:r>
      <w:proofErr w:type="spellStart"/>
      <w:r w:rsidRPr="007554B8">
        <w:t>mAb</w:t>
      </w:r>
      <w:proofErr w:type="spellEnd"/>
      <w:r w:rsidRPr="007554B8">
        <w:t>-</w:t>
      </w:r>
      <w:r w:rsidR="00A23181">
        <w:t>target</w:t>
      </w:r>
      <w:r w:rsidRPr="007554B8">
        <w:t xml:space="preserve"> complex are taken up via pinocytosis into the nested endosomal sub-space in plasma, where free </w:t>
      </w:r>
      <w:proofErr w:type="spellStart"/>
      <w:r w:rsidRPr="007554B8">
        <w:t>mAb</w:t>
      </w:r>
      <w:proofErr w:type="spellEnd"/>
      <w:r w:rsidRPr="007554B8">
        <w:t xml:space="preserve"> and </w:t>
      </w:r>
      <w:proofErr w:type="spellStart"/>
      <w:r w:rsidRPr="007554B8">
        <w:t>mAb</w:t>
      </w:r>
      <w:proofErr w:type="spellEnd"/>
      <w:r w:rsidRPr="007554B8">
        <w:t>-</w:t>
      </w:r>
      <w:r w:rsidR="00A23181">
        <w:t>target</w:t>
      </w:r>
      <w:r w:rsidRPr="007554B8">
        <w:t xml:space="preserve"> complex can bind to </w:t>
      </w:r>
      <w:proofErr w:type="spellStart"/>
      <w:r w:rsidRPr="007554B8">
        <w:t>FcRn</w:t>
      </w:r>
      <w:proofErr w:type="spellEnd"/>
      <w:r w:rsidRPr="007554B8">
        <w:t xml:space="preserve"> receptor at slightly acidic pH (pH=6) in the endosomes. The </w:t>
      </w:r>
      <w:proofErr w:type="spellStart"/>
      <w:r w:rsidRPr="007554B8">
        <w:t>FcRn</w:t>
      </w:r>
      <w:proofErr w:type="spellEnd"/>
      <w:r w:rsidRPr="007554B8">
        <w:t xml:space="preserve">-bound </w:t>
      </w:r>
      <w:proofErr w:type="spellStart"/>
      <w:r w:rsidRPr="007554B8">
        <w:t>mAb</w:t>
      </w:r>
      <w:proofErr w:type="spellEnd"/>
      <w:r w:rsidRPr="007554B8">
        <w:t xml:space="preserve"> and </w:t>
      </w:r>
      <w:proofErr w:type="spellStart"/>
      <w:r w:rsidRPr="007554B8">
        <w:t>FcRn</w:t>
      </w:r>
      <w:proofErr w:type="spellEnd"/>
      <w:r w:rsidRPr="007554B8">
        <w:t xml:space="preserve">-bound </w:t>
      </w:r>
      <w:proofErr w:type="spellStart"/>
      <w:r w:rsidRPr="007554B8">
        <w:t>mAb</w:t>
      </w:r>
      <w:proofErr w:type="spellEnd"/>
      <w:r w:rsidRPr="007554B8">
        <w:t>-</w:t>
      </w:r>
      <w:r w:rsidR="00A23181">
        <w:t>target</w:t>
      </w:r>
      <w:r w:rsidRPr="007554B8">
        <w:t xml:space="preserve"> complex are recycled back to plasma and salvaged from lysosomal degradation. The unbound </w:t>
      </w:r>
      <w:proofErr w:type="spellStart"/>
      <w:r w:rsidRPr="007554B8">
        <w:t>mAb</w:t>
      </w:r>
      <w:proofErr w:type="spellEnd"/>
      <w:r w:rsidRPr="007554B8">
        <w:t xml:space="preserve"> within the endosomes is degraded via a first-order rate constant by lysosomal degradation, whereas unbound </w:t>
      </w:r>
      <w:r w:rsidR="00A23181">
        <w:t>target</w:t>
      </w:r>
      <w:r w:rsidRPr="007554B8">
        <w:t xml:space="preserve"> and </w:t>
      </w:r>
      <w:proofErr w:type="spellStart"/>
      <w:r w:rsidRPr="007554B8">
        <w:t>mAb</w:t>
      </w:r>
      <w:proofErr w:type="spellEnd"/>
      <w:r w:rsidRPr="007554B8">
        <w:t>-</w:t>
      </w:r>
      <w:r w:rsidR="00A23181">
        <w:t>target</w:t>
      </w:r>
      <w:r w:rsidRPr="007554B8">
        <w:t xml:space="preserve"> complex is catabolized in the endosomes. The unbound </w:t>
      </w:r>
      <w:proofErr w:type="spellStart"/>
      <w:r w:rsidRPr="007554B8">
        <w:t>mAb</w:t>
      </w:r>
      <w:proofErr w:type="spellEnd"/>
      <w:r w:rsidRPr="007554B8">
        <w:t xml:space="preserve"> </w:t>
      </w:r>
      <w:r w:rsidRPr="007554B8">
        <w:lastRenderedPageBreak/>
        <w:t xml:space="preserve">and </w:t>
      </w:r>
      <w:proofErr w:type="spellStart"/>
      <w:r w:rsidRPr="007554B8">
        <w:t>mAb</w:t>
      </w:r>
      <w:proofErr w:type="spellEnd"/>
      <w:r w:rsidRPr="007554B8">
        <w:t>-</w:t>
      </w:r>
      <w:r w:rsidR="00A23181">
        <w:t>target</w:t>
      </w:r>
      <w:r w:rsidRPr="007554B8">
        <w:t xml:space="preserve"> complex circulate to the tissue compartments and enter the vascular sub-space in the tissues. The unbound drug can bind competitively with soluble and membrane-bound </w:t>
      </w:r>
      <w:r w:rsidR="00A23181">
        <w:t>target</w:t>
      </w:r>
      <w:r w:rsidRPr="007554B8">
        <w:t xml:space="preserve">s. The membrane-bound </w:t>
      </w:r>
      <w:proofErr w:type="spellStart"/>
      <w:r w:rsidRPr="007554B8">
        <w:t>mAb</w:t>
      </w:r>
      <w:proofErr w:type="spellEnd"/>
      <w:r w:rsidRPr="007554B8">
        <w:t>-</w:t>
      </w:r>
      <w:r w:rsidR="00A23181">
        <w:t>target</w:t>
      </w:r>
      <w:r w:rsidRPr="007554B8">
        <w:t xml:space="preserve"> complex is assumed to internalize at the same rate as the rate of </w:t>
      </w:r>
      <w:r w:rsidR="00A23181">
        <w:t>target</w:t>
      </w:r>
      <w:r w:rsidRPr="007554B8">
        <w:t xml:space="preserve"> degradation as drug </w:t>
      </w:r>
      <w:proofErr w:type="gramStart"/>
      <w:r w:rsidRPr="007554B8">
        <w:t>often times</w:t>
      </w:r>
      <w:proofErr w:type="gramEnd"/>
      <w:r w:rsidRPr="007554B8">
        <w:t xml:space="preserve"> does not affect complex internalization</w:t>
      </w:r>
      <w:r w:rsidR="003530C9">
        <w:t xml:space="preserve"> </w:t>
      </w:r>
      <w:sdt>
        <w:sdtPr>
          <w:id w:val="-1408529347"/>
          <w:citation/>
        </w:sdtPr>
        <w:sdtContent>
          <w:r w:rsidR="00880331">
            <w:fldChar w:fldCharType="begin"/>
          </w:r>
          <w:r w:rsidR="00880331">
            <w:instrText xml:space="preserve"> CITATION Pati24 \l 1033 </w:instrText>
          </w:r>
          <w:r w:rsidR="00880331">
            <w:fldChar w:fldCharType="separate"/>
          </w:r>
          <w:r w:rsidR="009A6058" w:rsidRPr="009A6058">
            <w:rPr>
              <w:noProof/>
            </w:rPr>
            <w:t>[1]</w:t>
          </w:r>
          <w:r w:rsidR="00880331">
            <w:fldChar w:fldCharType="end"/>
          </w:r>
        </w:sdtContent>
      </w:sdt>
      <w:r w:rsidR="003530C9">
        <w:t>.</w:t>
      </w:r>
      <w:r w:rsidRPr="007554B8">
        <w:t xml:space="preserve"> The soluble </w:t>
      </w:r>
      <w:proofErr w:type="spellStart"/>
      <w:r w:rsidRPr="007554B8">
        <w:t>mAb</w:t>
      </w:r>
      <w:proofErr w:type="spellEnd"/>
      <w:r w:rsidRPr="007554B8">
        <w:t>-</w:t>
      </w:r>
      <w:r w:rsidR="00A23181">
        <w:t>target</w:t>
      </w:r>
      <w:r w:rsidRPr="007554B8">
        <w:t xml:space="preserve"> complex is taken up by tissue endosomes via pinocytosis. In the tissue endosomes, the unbound </w:t>
      </w:r>
      <w:proofErr w:type="spellStart"/>
      <w:r w:rsidRPr="007554B8">
        <w:t>mAb</w:t>
      </w:r>
      <w:proofErr w:type="spellEnd"/>
      <w:r w:rsidRPr="007554B8">
        <w:t xml:space="preserve"> and </w:t>
      </w:r>
      <w:proofErr w:type="spellStart"/>
      <w:r w:rsidRPr="007554B8">
        <w:t>mAb</w:t>
      </w:r>
      <w:proofErr w:type="spellEnd"/>
      <w:r w:rsidRPr="007554B8">
        <w:t>-</w:t>
      </w:r>
      <w:r w:rsidR="00A23181">
        <w:t>target</w:t>
      </w:r>
      <w:r w:rsidRPr="007554B8">
        <w:t xml:space="preserve"> complex interact with </w:t>
      </w:r>
      <w:proofErr w:type="spellStart"/>
      <w:r w:rsidRPr="007554B8">
        <w:t>FcRn</w:t>
      </w:r>
      <w:proofErr w:type="spellEnd"/>
      <w:r w:rsidRPr="007554B8">
        <w:t xml:space="preserve">. The </w:t>
      </w:r>
      <w:proofErr w:type="spellStart"/>
      <w:r w:rsidRPr="007554B8">
        <w:t>FcRn</w:t>
      </w:r>
      <w:proofErr w:type="spellEnd"/>
      <w:r w:rsidRPr="007554B8">
        <w:t xml:space="preserve">-bound </w:t>
      </w:r>
      <w:proofErr w:type="spellStart"/>
      <w:r w:rsidRPr="007554B8">
        <w:t>mAb</w:t>
      </w:r>
      <w:proofErr w:type="spellEnd"/>
      <w:r w:rsidRPr="007554B8">
        <w:t xml:space="preserve"> and </w:t>
      </w:r>
      <w:proofErr w:type="spellStart"/>
      <w:r w:rsidRPr="007554B8">
        <w:t>FcRn</w:t>
      </w:r>
      <w:proofErr w:type="spellEnd"/>
      <w:r w:rsidRPr="007554B8">
        <w:t xml:space="preserve">-bound </w:t>
      </w:r>
      <w:proofErr w:type="spellStart"/>
      <w:r w:rsidRPr="007554B8">
        <w:t>mAb</w:t>
      </w:r>
      <w:proofErr w:type="spellEnd"/>
      <w:r w:rsidRPr="007554B8">
        <w:t>-</w:t>
      </w:r>
      <w:r w:rsidR="00A23181">
        <w:t>target</w:t>
      </w:r>
      <w:r w:rsidRPr="007554B8">
        <w:t xml:space="preserve"> complex are recycled back to both vascular space and interstitial space of the tissues</w:t>
      </w:r>
      <w:r w:rsidR="003530C9">
        <w:t xml:space="preserve"> </w:t>
      </w:r>
      <w:sdt>
        <w:sdtPr>
          <w:id w:val="-1420172286"/>
          <w:citation/>
        </w:sdtPr>
        <w:sdtContent>
          <w:r w:rsidR="00880331">
            <w:fldChar w:fldCharType="begin"/>
          </w:r>
          <w:r w:rsidR="00880331">
            <w:instrText xml:space="preserve"> CITATION Pati24 \l 1033 </w:instrText>
          </w:r>
          <w:r w:rsidR="00880331">
            <w:fldChar w:fldCharType="separate"/>
          </w:r>
          <w:r w:rsidR="009A6058" w:rsidRPr="009A6058">
            <w:rPr>
              <w:noProof/>
            </w:rPr>
            <w:t>[1]</w:t>
          </w:r>
          <w:r w:rsidR="00880331">
            <w:fldChar w:fldCharType="end"/>
          </w:r>
        </w:sdtContent>
      </w:sdt>
      <w:r w:rsidRPr="007554B8">
        <w:t xml:space="preserve">. </w:t>
      </w:r>
    </w:p>
    <w:p w14:paraId="4619C2D1" w14:textId="00C11B61" w:rsidR="00F16216" w:rsidRDefault="006956AF" w:rsidP="00F16216">
      <w:pPr>
        <w:keepNext/>
      </w:pPr>
      <w:r w:rsidRPr="003530C9">
        <w:t xml:space="preserve">Besides the effect of </w:t>
      </w:r>
      <w:proofErr w:type="spellStart"/>
      <w:r w:rsidRPr="003530C9">
        <w:t>FcRn</w:t>
      </w:r>
      <w:proofErr w:type="spellEnd"/>
      <w:r w:rsidRPr="003530C9">
        <w:t xml:space="preserve"> and target binding, the effect of size and charge is incorporated in the </w:t>
      </w:r>
      <w:proofErr w:type="spellStart"/>
      <w:r w:rsidRPr="003530C9">
        <w:t>mPBPK</w:t>
      </w:r>
      <w:proofErr w:type="spellEnd"/>
      <w:r w:rsidRPr="003530C9">
        <w:t xml:space="preserve"> model</w:t>
      </w:r>
      <w:r w:rsidR="003530C9">
        <w:t xml:space="preserve"> </w:t>
      </w:r>
      <w:sdt>
        <w:sdtPr>
          <w:id w:val="1689560699"/>
          <w:citation/>
        </w:sdtPr>
        <w:sdtContent>
          <w:r w:rsidR="00880331">
            <w:fldChar w:fldCharType="begin"/>
          </w:r>
          <w:r w:rsidR="00880331">
            <w:instrText xml:space="preserve"> CITATION Pati24 \l 1033 </w:instrText>
          </w:r>
          <w:r w:rsidR="00880331">
            <w:fldChar w:fldCharType="separate"/>
          </w:r>
          <w:r w:rsidR="009A6058" w:rsidRPr="009A6058">
            <w:rPr>
              <w:noProof/>
            </w:rPr>
            <w:t>[1]</w:t>
          </w:r>
          <w:r w:rsidR="00880331">
            <w:fldChar w:fldCharType="end"/>
          </w:r>
        </w:sdtContent>
      </w:sdt>
      <w:r w:rsidRPr="003530C9">
        <w:t xml:space="preserve">. </w:t>
      </w:r>
      <w:r w:rsidR="000D27EF" w:rsidRPr="003530C9">
        <w:t xml:space="preserve">A two-pore theory describes a size-based clearance in the </w:t>
      </w:r>
      <w:proofErr w:type="spellStart"/>
      <w:r w:rsidR="000D27EF" w:rsidRPr="003530C9">
        <w:t>mPBPK</w:t>
      </w:r>
      <w:proofErr w:type="spellEnd"/>
      <w:r w:rsidR="000D27EF" w:rsidRPr="003530C9">
        <w:t xml:space="preserve"> model. </w:t>
      </w:r>
      <w:r w:rsidR="00BB4D5D" w:rsidRPr="003530C9">
        <w:t>Model-based</w:t>
      </w:r>
      <w:r w:rsidR="00D80FD8" w:rsidRPr="003530C9">
        <w:t xml:space="preserve"> empirical relationship between charge </w:t>
      </w:r>
      <w:r w:rsidR="00BB4D5D" w:rsidRPr="003530C9">
        <w:t xml:space="preserve">and clearance, distribution, and non-specific interactions are used to </w:t>
      </w:r>
      <w:r w:rsidR="00D84AEA" w:rsidRPr="003530C9">
        <w:t>relate charge and model parameters</w:t>
      </w:r>
      <w:r w:rsidR="003530C9">
        <w:t xml:space="preserve"> </w:t>
      </w:r>
      <w:sdt>
        <w:sdtPr>
          <w:id w:val="528840860"/>
          <w:citation/>
        </w:sdtPr>
        <w:sdtContent>
          <w:r w:rsidR="00880331">
            <w:fldChar w:fldCharType="begin"/>
          </w:r>
          <w:r w:rsidR="00880331">
            <w:instrText xml:space="preserve"> CITATION Pati24 \l 1033 </w:instrText>
          </w:r>
          <w:r w:rsidR="00880331">
            <w:fldChar w:fldCharType="separate"/>
          </w:r>
          <w:r w:rsidR="009A6058" w:rsidRPr="009A6058">
            <w:rPr>
              <w:noProof/>
            </w:rPr>
            <w:t>[1]</w:t>
          </w:r>
          <w:r w:rsidR="00880331">
            <w:fldChar w:fldCharType="end"/>
          </w:r>
        </w:sdtContent>
      </w:sdt>
      <w:r w:rsidR="00D84AEA" w:rsidRPr="003530C9">
        <w:t xml:space="preserve">. </w:t>
      </w:r>
      <w:r w:rsidR="002512E9">
        <w:rPr>
          <w:noProof/>
        </w:rPr>
        <w:drawing>
          <wp:inline distT="0" distB="0" distL="0" distR="0" wp14:anchorId="23CE8A54" wp14:editId="08CC64F1">
            <wp:extent cx="5943600" cy="27336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733675"/>
                    </a:xfrm>
                    <a:prstGeom prst="rect">
                      <a:avLst/>
                    </a:prstGeom>
                    <a:noFill/>
                    <a:ln>
                      <a:noFill/>
                    </a:ln>
                  </pic:spPr>
                </pic:pic>
              </a:graphicData>
            </a:graphic>
          </wp:inline>
        </w:drawing>
      </w:r>
    </w:p>
    <w:p w14:paraId="0295778C" w14:textId="335B4903" w:rsidR="00FA2248" w:rsidRDefault="00F16216" w:rsidP="00F16216">
      <w:pPr>
        <w:pStyle w:val="Caption"/>
        <w:rPr>
          <w:i w:val="0"/>
          <w:iCs w:val="0"/>
        </w:rPr>
      </w:pPr>
      <w:bookmarkStart w:id="0" w:name="_Ref159424551"/>
      <w:r w:rsidRPr="00F16216">
        <w:rPr>
          <w:i w:val="0"/>
          <w:iCs w:val="0"/>
          <w:color w:val="auto"/>
        </w:rPr>
        <w:t>Fig</w:t>
      </w:r>
      <w:r w:rsidR="00EA22DC">
        <w:rPr>
          <w:i w:val="0"/>
          <w:iCs w:val="0"/>
          <w:color w:val="auto"/>
        </w:rPr>
        <w:t>ure</w:t>
      </w:r>
      <w:r w:rsidRPr="00F16216">
        <w:rPr>
          <w:i w:val="0"/>
          <w:iCs w:val="0"/>
          <w:color w:val="auto"/>
        </w:rPr>
        <w:t xml:space="preserve"> S</w:t>
      </w:r>
      <w:r w:rsidRPr="00F16216">
        <w:rPr>
          <w:i w:val="0"/>
          <w:iCs w:val="0"/>
          <w:color w:val="auto"/>
        </w:rPr>
        <w:fldChar w:fldCharType="begin"/>
      </w:r>
      <w:r w:rsidRPr="00F16216">
        <w:rPr>
          <w:i w:val="0"/>
          <w:iCs w:val="0"/>
          <w:color w:val="auto"/>
        </w:rPr>
        <w:instrText xml:space="preserve"> SEQ Fig. \* ARABIC </w:instrText>
      </w:r>
      <w:r w:rsidRPr="00F16216">
        <w:rPr>
          <w:i w:val="0"/>
          <w:iCs w:val="0"/>
          <w:color w:val="auto"/>
        </w:rPr>
        <w:fldChar w:fldCharType="separate"/>
      </w:r>
      <w:r w:rsidR="009879EA">
        <w:rPr>
          <w:i w:val="0"/>
          <w:iCs w:val="0"/>
          <w:noProof/>
          <w:color w:val="auto"/>
        </w:rPr>
        <w:t>1</w:t>
      </w:r>
      <w:r w:rsidRPr="00F16216">
        <w:rPr>
          <w:i w:val="0"/>
          <w:iCs w:val="0"/>
          <w:color w:val="auto"/>
        </w:rPr>
        <w:fldChar w:fldCharType="end"/>
      </w:r>
      <w:bookmarkEnd w:id="0"/>
      <w:r w:rsidRPr="00F16216">
        <w:rPr>
          <w:color w:val="auto"/>
        </w:rPr>
        <w:t xml:space="preserve">: </w:t>
      </w:r>
      <w:r w:rsidRPr="007678A5">
        <w:rPr>
          <w:rFonts w:ascii="Calibri" w:hAnsi="Calibri" w:cs="Calibri"/>
          <w:i w:val="0"/>
          <w:iCs w:val="0"/>
          <w:color w:val="auto"/>
          <w:sz w:val="20"/>
          <w:szCs w:val="20"/>
        </w:rPr>
        <w:t>A schematic diagram of the minimal PBPK model developed. Minimal PBPK model (1) consists of plasma, lymph, tight tissue, and leaky tissue compartments. Each tissue compartment is divided into vascular, endosomal, and interstitial space as shown in the right (</w:t>
      </w:r>
      <w:r>
        <w:rPr>
          <w:rFonts w:ascii="Calibri" w:hAnsi="Calibri" w:cs="Calibri"/>
          <w:i w:val="0"/>
          <w:iCs w:val="0"/>
          <w:color w:val="auto"/>
          <w:sz w:val="20"/>
          <w:szCs w:val="20"/>
        </w:rPr>
        <w:t>3</w:t>
      </w:r>
      <w:r w:rsidRPr="007678A5">
        <w:rPr>
          <w:rFonts w:ascii="Calibri" w:hAnsi="Calibri" w:cs="Calibri"/>
          <w:i w:val="0"/>
          <w:iCs w:val="0"/>
          <w:color w:val="auto"/>
          <w:sz w:val="20"/>
          <w:szCs w:val="20"/>
        </w:rPr>
        <w:t xml:space="preserve">). The plasma compartment is nested with endosomal space present in the systemic vascular endothelial cells. Monoclonal antibody (A) is intravenously (IV) administered in the plasma compartment. Soluble </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 (T) is synthesized in the plasma compartment and tissue vasculature.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 xml:space="preserve"> (A) interacts with </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 (T) to form an antibody-</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 complex (A-T).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 xml:space="preserve"> (A), soluble </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 (T), and complex (A-T) can enter the nested endosomes in plasma through periodic pinocytosis/exocytosis processes. Free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 xml:space="preserve"> (A) and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 complex (A-T) reaches the tissue vasculature through systemic circulation, where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 xml:space="preserve"> (Y-shape) binds to soluble and membrane </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s (red diamonds), undergoes pinocytosis into the endothelial cells, binds to </w:t>
      </w:r>
      <w:proofErr w:type="spellStart"/>
      <w:r w:rsidRPr="007678A5">
        <w:rPr>
          <w:rFonts w:ascii="Calibri" w:hAnsi="Calibri" w:cs="Calibri"/>
          <w:i w:val="0"/>
          <w:iCs w:val="0"/>
          <w:color w:val="auto"/>
          <w:sz w:val="20"/>
          <w:szCs w:val="20"/>
        </w:rPr>
        <w:t>FcRn</w:t>
      </w:r>
      <w:proofErr w:type="spellEnd"/>
      <w:r w:rsidRPr="007678A5">
        <w:rPr>
          <w:rFonts w:ascii="Calibri" w:hAnsi="Calibri" w:cs="Calibri"/>
          <w:i w:val="0"/>
          <w:iCs w:val="0"/>
          <w:color w:val="auto"/>
          <w:sz w:val="20"/>
          <w:szCs w:val="20"/>
        </w:rPr>
        <w:t xml:space="preserve"> (black rectangle) interacts with negatively charged membrane proteins (dashed line), and transports through the paracellular pores based on their size. In the endosomal space,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 xml:space="preserve"> binds to </w:t>
      </w:r>
      <w:proofErr w:type="spellStart"/>
      <w:r w:rsidRPr="007678A5">
        <w:rPr>
          <w:rFonts w:ascii="Calibri" w:hAnsi="Calibri" w:cs="Calibri"/>
          <w:i w:val="0"/>
          <w:iCs w:val="0"/>
          <w:color w:val="auto"/>
          <w:sz w:val="20"/>
          <w:szCs w:val="20"/>
        </w:rPr>
        <w:t>FcRn</w:t>
      </w:r>
      <w:proofErr w:type="spellEnd"/>
      <w:r w:rsidRPr="007678A5">
        <w:rPr>
          <w:rFonts w:ascii="Calibri" w:hAnsi="Calibri" w:cs="Calibri"/>
          <w:i w:val="0"/>
          <w:iCs w:val="0"/>
          <w:color w:val="auto"/>
          <w:sz w:val="20"/>
          <w:szCs w:val="20"/>
        </w:rPr>
        <w:t xml:space="preserve"> and soluble target receptors at slightly acidic pH (pH=6). Free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 xml:space="preserve"> in the endosomes degrades through lysosomal degradation. Unbound </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 and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 complex catabolize within endosomes. </w:t>
      </w:r>
      <w:proofErr w:type="spellStart"/>
      <w:r w:rsidRPr="007678A5">
        <w:rPr>
          <w:rFonts w:ascii="Calibri" w:hAnsi="Calibri" w:cs="Calibri"/>
          <w:i w:val="0"/>
          <w:iCs w:val="0"/>
          <w:color w:val="auto"/>
          <w:sz w:val="20"/>
          <w:szCs w:val="20"/>
        </w:rPr>
        <w:t>FcRn</w:t>
      </w:r>
      <w:proofErr w:type="spellEnd"/>
      <w:r w:rsidRPr="007678A5">
        <w:rPr>
          <w:rFonts w:ascii="Calibri" w:hAnsi="Calibri" w:cs="Calibri"/>
          <w:i w:val="0"/>
          <w:iCs w:val="0"/>
          <w:color w:val="auto"/>
          <w:sz w:val="20"/>
          <w:szCs w:val="20"/>
        </w:rPr>
        <w:t xml:space="preserve">-bound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 xml:space="preserve"> and </w:t>
      </w:r>
      <w:proofErr w:type="spellStart"/>
      <w:r w:rsidRPr="007678A5">
        <w:rPr>
          <w:rFonts w:ascii="Calibri" w:hAnsi="Calibri" w:cs="Calibri"/>
          <w:i w:val="0"/>
          <w:iCs w:val="0"/>
          <w:color w:val="auto"/>
          <w:sz w:val="20"/>
          <w:szCs w:val="20"/>
        </w:rPr>
        <w:t>FcRn</w:t>
      </w:r>
      <w:proofErr w:type="spellEnd"/>
      <w:r w:rsidRPr="007678A5">
        <w:rPr>
          <w:rFonts w:ascii="Calibri" w:hAnsi="Calibri" w:cs="Calibri"/>
          <w:i w:val="0"/>
          <w:iCs w:val="0"/>
          <w:color w:val="auto"/>
          <w:sz w:val="20"/>
          <w:szCs w:val="20"/>
        </w:rPr>
        <w:t xml:space="preserve">-bound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 complex are recycled back to vascular and interstitial space of the tissues. Free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 xml:space="preserve"> and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w:t>
      </w:r>
      <w:r w:rsidR="00A23181">
        <w:rPr>
          <w:rFonts w:ascii="Calibri" w:hAnsi="Calibri" w:cs="Calibri"/>
          <w:i w:val="0"/>
          <w:iCs w:val="0"/>
          <w:color w:val="auto"/>
          <w:sz w:val="20"/>
          <w:szCs w:val="20"/>
        </w:rPr>
        <w:t>target</w:t>
      </w:r>
      <w:r w:rsidRPr="007678A5">
        <w:rPr>
          <w:rFonts w:ascii="Calibri" w:hAnsi="Calibri" w:cs="Calibri"/>
          <w:i w:val="0"/>
          <w:iCs w:val="0"/>
          <w:color w:val="auto"/>
          <w:sz w:val="20"/>
          <w:szCs w:val="20"/>
        </w:rPr>
        <w:t xml:space="preserve"> complex are transported back to the systemic circulation through the lymph compartment. </w:t>
      </w:r>
      <w:proofErr w:type="spellStart"/>
      <w:r w:rsidRPr="007678A5">
        <w:rPr>
          <w:rFonts w:ascii="Calibri" w:hAnsi="Calibri" w:cs="Calibri"/>
          <w:i w:val="0"/>
          <w:iCs w:val="0"/>
          <w:color w:val="auto"/>
          <w:sz w:val="20"/>
          <w:szCs w:val="20"/>
        </w:rPr>
        <w:t>mPBPK</w:t>
      </w:r>
      <w:proofErr w:type="spellEnd"/>
      <w:r w:rsidRPr="007678A5">
        <w:rPr>
          <w:rFonts w:ascii="Calibri" w:hAnsi="Calibri" w:cs="Calibri"/>
          <w:i w:val="0"/>
          <w:iCs w:val="0"/>
          <w:color w:val="auto"/>
          <w:sz w:val="20"/>
          <w:szCs w:val="20"/>
        </w:rPr>
        <w:t xml:space="preserve"> model also accounts for the kinetics of smaller sized antibody (&lt;100 </w:t>
      </w:r>
      <w:proofErr w:type="spellStart"/>
      <w:r w:rsidRPr="007678A5">
        <w:rPr>
          <w:rFonts w:ascii="Calibri" w:hAnsi="Calibri" w:cs="Calibri"/>
          <w:i w:val="0"/>
          <w:iCs w:val="0"/>
          <w:color w:val="auto"/>
          <w:sz w:val="20"/>
          <w:szCs w:val="20"/>
        </w:rPr>
        <w:t>kDa</w:t>
      </w:r>
      <w:proofErr w:type="spellEnd"/>
      <w:r w:rsidRPr="007678A5">
        <w:rPr>
          <w:rFonts w:ascii="Calibri" w:hAnsi="Calibri" w:cs="Calibri"/>
          <w:i w:val="0"/>
          <w:iCs w:val="0"/>
          <w:color w:val="auto"/>
          <w:sz w:val="20"/>
          <w:szCs w:val="20"/>
        </w:rPr>
        <w:t xml:space="preserve">). </w:t>
      </w:r>
      <w:proofErr w:type="spellStart"/>
      <w:r w:rsidRPr="007678A5">
        <w:rPr>
          <w:rFonts w:ascii="Calibri" w:hAnsi="Calibri" w:cs="Calibri"/>
          <w:i w:val="0"/>
          <w:iCs w:val="0"/>
          <w:color w:val="auto"/>
          <w:sz w:val="20"/>
          <w:szCs w:val="20"/>
        </w:rPr>
        <w:t>mAb</w:t>
      </w:r>
      <w:proofErr w:type="spellEnd"/>
      <w:r w:rsidRPr="007678A5">
        <w:rPr>
          <w:rFonts w:ascii="Calibri" w:hAnsi="Calibri" w:cs="Calibri"/>
          <w:i w:val="0"/>
          <w:iCs w:val="0"/>
          <w:color w:val="auto"/>
          <w:sz w:val="20"/>
          <w:szCs w:val="20"/>
        </w:rPr>
        <w:t xml:space="preserve"> </w:t>
      </w:r>
      <w:proofErr w:type="gramStart"/>
      <w:r w:rsidRPr="007678A5">
        <w:rPr>
          <w:rFonts w:ascii="Calibri" w:hAnsi="Calibri" w:cs="Calibri"/>
          <w:i w:val="0"/>
          <w:iCs w:val="0"/>
          <w:color w:val="auto"/>
          <w:sz w:val="20"/>
          <w:szCs w:val="20"/>
        </w:rPr>
        <w:t>fragment</w:t>
      </w:r>
      <w:proofErr w:type="gramEnd"/>
      <w:r w:rsidRPr="007678A5">
        <w:rPr>
          <w:rFonts w:ascii="Calibri" w:hAnsi="Calibri" w:cs="Calibri"/>
          <w:i w:val="0"/>
          <w:iCs w:val="0"/>
          <w:color w:val="auto"/>
          <w:sz w:val="20"/>
          <w:szCs w:val="20"/>
        </w:rPr>
        <w:t xml:space="preserve"> (V-shape) without an Fc region that have molecular size lower than 100 </w:t>
      </w:r>
      <w:proofErr w:type="spellStart"/>
      <w:r w:rsidRPr="007678A5">
        <w:rPr>
          <w:rFonts w:ascii="Calibri" w:hAnsi="Calibri" w:cs="Calibri"/>
          <w:i w:val="0"/>
          <w:iCs w:val="0"/>
          <w:color w:val="auto"/>
          <w:sz w:val="20"/>
          <w:szCs w:val="20"/>
        </w:rPr>
        <w:t>kDa</w:t>
      </w:r>
      <w:proofErr w:type="spellEnd"/>
      <w:r w:rsidRPr="007678A5">
        <w:rPr>
          <w:rFonts w:ascii="Calibri" w:hAnsi="Calibri" w:cs="Calibri"/>
          <w:i w:val="0"/>
          <w:iCs w:val="0"/>
          <w:color w:val="auto"/>
          <w:sz w:val="20"/>
          <w:szCs w:val="20"/>
        </w:rPr>
        <w:t xml:space="preserve"> undergo size-based renal clearance in leaky tissue compartment in the model. </w:t>
      </w:r>
      <m:oMath>
        <m:sSub>
          <m:sSubPr>
            <m:ctrlPr>
              <w:rPr>
                <w:rFonts w:ascii="Cambria Math" w:hAnsi="Cambria Math" w:cs="Calibri"/>
                <w:i w:val="0"/>
                <w:iCs w:val="0"/>
                <w:color w:val="auto"/>
                <w:sz w:val="20"/>
                <w:szCs w:val="20"/>
              </w:rPr>
            </m:ctrlPr>
          </m:sSubPr>
          <m:e>
            <m:r>
              <m:rPr>
                <m:sty m:val="bi"/>
              </m:rPr>
              <w:rPr>
                <w:rFonts w:ascii="Cambria Math" w:hAnsi="Cambria Math" w:cs="Calibri"/>
                <w:color w:val="auto"/>
                <w:sz w:val="20"/>
                <w:szCs w:val="20"/>
              </w:rPr>
              <m:t>σ</m:t>
            </m:r>
          </m:e>
          <m:sub>
            <m:r>
              <m:rPr>
                <m:sty m:val="bi"/>
              </m:rPr>
              <w:rPr>
                <w:rFonts w:ascii="Cambria Math" w:hAnsi="Cambria Math" w:cs="Calibri"/>
                <w:color w:val="auto"/>
                <w:sz w:val="20"/>
                <w:szCs w:val="20"/>
              </w:rPr>
              <m:t>1</m:t>
            </m:r>
          </m:sub>
        </m:sSub>
        <m:r>
          <m:rPr>
            <m:sty m:val="bi"/>
          </m:rPr>
          <w:rPr>
            <w:rFonts w:ascii="Cambria Math" w:hAnsi="Cambria Math" w:cs="Calibri"/>
            <w:color w:val="auto"/>
            <w:sz w:val="20"/>
            <w:szCs w:val="20"/>
          </w:rPr>
          <m:t xml:space="preserve">, </m:t>
        </m:r>
        <m:sSub>
          <m:sSubPr>
            <m:ctrlPr>
              <w:rPr>
                <w:rFonts w:ascii="Cambria Math" w:hAnsi="Cambria Math" w:cs="Calibri"/>
                <w:i w:val="0"/>
                <w:iCs w:val="0"/>
                <w:color w:val="auto"/>
                <w:sz w:val="20"/>
                <w:szCs w:val="20"/>
              </w:rPr>
            </m:ctrlPr>
          </m:sSubPr>
          <m:e>
            <m:r>
              <m:rPr>
                <m:sty m:val="bi"/>
              </m:rPr>
              <w:rPr>
                <w:rFonts w:ascii="Cambria Math" w:hAnsi="Cambria Math" w:cs="Calibri"/>
                <w:color w:val="auto"/>
                <w:sz w:val="20"/>
                <w:szCs w:val="20"/>
              </w:rPr>
              <m:t>σ</m:t>
            </m:r>
          </m:e>
          <m:sub>
            <m:r>
              <m:rPr>
                <m:sty m:val="bi"/>
              </m:rPr>
              <w:rPr>
                <w:rFonts w:ascii="Cambria Math" w:hAnsi="Cambria Math" w:cs="Calibri"/>
                <w:color w:val="auto"/>
                <w:sz w:val="20"/>
                <w:szCs w:val="20"/>
              </w:rPr>
              <m:t>2</m:t>
            </m:r>
          </m:sub>
        </m:sSub>
        <m:r>
          <m:rPr>
            <m:sty m:val="bi"/>
          </m:rPr>
          <w:rPr>
            <w:rFonts w:ascii="Cambria Math" w:hAnsi="Cambria Math" w:cs="Calibri"/>
            <w:color w:val="auto"/>
            <w:sz w:val="20"/>
            <w:szCs w:val="20"/>
          </w:rPr>
          <m:t xml:space="preserve">, </m:t>
        </m:r>
        <m:sSub>
          <m:sSubPr>
            <m:ctrlPr>
              <w:rPr>
                <w:rFonts w:ascii="Cambria Math" w:hAnsi="Cambria Math" w:cs="Calibri"/>
                <w:i w:val="0"/>
                <w:iCs w:val="0"/>
                <w:color w:val="auto"/>
                <w:sz w:val="20"/>
                <w:szCs w:val="20"/>
              </w:rPr>
            </m:ctrlPr>
          </m:sSubPr>
          <m:e>
            <m:r>
              <m:rPr>
                <m:sty m:val="bi"/>
              </m:rPr>
              <w:rPr>
                <w:rFonts w:ascii="Cambria Math" w:hAnsi="Cambria Math" w:cs="Calibri"/>
                <w:color w:val="auto"/>
                <w:sz w:val="20"/>
                <w:szCs w:val="20"/>
              </w:rPr>
              <m:t>and σ</m:t>
            </m:r>
          </m:e>
          <m:sub>
            <m:r>
              <m:rPr>
                <m:sty m:val="bi"/>
              </m:rPr>
              <w:rPr>
                <w:rFonts w:ascii="Cambria Math" w:hAnsi="Cambria Math" w:cs="Calibri"/>
                <w:color w:val="auto"/>
                <w:sz w:val="20"/>
                <w:szCs w:val="20"/>
              </w:rPr>
              <m:t>L</m:t>
            </m:r>
          </m:sub>
        </m:sSub>
      </m:oMath>
      <w:r w:rsidRPr="007678A5">
        <w:rPr>
          <w:rFonts w:ascii="Calibri" w:hAnsi="Calibri" w:cs="Calibri"/>
          <w:i w:val="0"/>
          <w:iCs w:val="0"/>
          <w:color w:val="auto"/>
          <w:sz w:val="20"/>
          <w:szCs w:val="20"/>
        </w:rPr>
        <w:t xml:space="preserve"> are vascular reflection coefficients. L1 and L2 are lymph flow rates in the tight and leaky tissue, respectively. L is the lymph flow rate. A representation of nested endosomes in the plasma compartment (</w:t>
      </w:r>
      <w:r>
        <w:rPr>
          <w:rFonts w:ascii="Calibri" w:hAnsi="Calibri" w:cs="Calibri"/>
          <w:i w:val="0"/>
          <w:iCs w:val="0"/>
          <w:color w:val="auto"/>
          <w:sz w:val="20"/>
          <w:szCs w:val="20"/>
        </w:rPr>
        <w:t>2</w:t>
      </w:r>
      <w:r w:rsidRPr="007678A5">
        <w:rPr>
          <w:rFonts w:ascii="Calibri" w:hAnsi="Calibri" w:cs="Calibri"/>
          <w:i w:val="0"/>
          <w:iCs w:val="0"/>
          <w:color w:val="auto"/>
          <w:sz w:val="20"/>
          <w:szCs w:val="20"/>
        </w:rPr>
        <w:t xml:space="preserve">) is provided. Antibody (Y-shape) interacts with soluble targets (red diamond) in plasma compartment to form antibody-receptor complex. </w:t>
      </w:r>
      <w:proofErr w:type="gramStart"/>
      <w:r w:rsidRPr="007678A5">
        <w:rPr>
          <w:rFonts w:ascii="Calibri" w:hAnsi="Calibri" w:cs="Calibri"/>
          <w:i w:val="0"/>
          <w:iCs w:val="0"/>
          <w:color w:val="auto"/>
          <w:sz w:val="20"/>
          <w:szCs w:val="20"/>
        </w:rPr>
        <w:lastRenderedPageBreak/>
        <w:t>Antibody</w:t>
      </w:r>
      <w:proofErr w:type="gramEnd"/>
      <w:r w:rsidRPr="007678A5">
        <w:rPr>
          <w:rFonts w:ascii="Calibri" w:hAnsi="Calibri" w:cs="Calibri"/>
          <w:i w:val="0"/>
          <w:iCs w:val="0"/>
          <w:color w:val="auto"/>
          <w:sz w:val="20"/>
          <w:szCs w:val="20"/>
        </w:rPr>
        <w:t xml:space="preserve">, soluble receptors, and antibody-receptor complex are taken up into the nested endosomes through pinocytosis rate. In the nested endosomes, </w:t>
      </w:r>
      <w:proofErr w:type="gramStart"/>
      <w:r w:rsidRPr="007678A5">
        <w:rPr>
          <w:rFonts w:ascii="Calibri" w:hAnsi="Calibri" w:cs="Calibri"/>
          <w:i w:val="0"/>
          <w:iCs w:val="0"/>
          <w:color w:val="auto"/>
          <w:sz w:val="20"/>
          <w:szCs w:val="20"/>
        </w:rPr>
        <w:t>antibody</w:t>
      </w:r>
      <w:proofErr w:type="gramEnd"/>
      <w:r w:rsidRPr="007678A5">
        <w:rPr>
          <w:rFonts w:ascii="Calibri" w:hAnsi="Calibri" w:cs="Calibri"/>
          <w:i w:val="0"/>
          <w:iCs w:val="0"/>
          <w:color w:val="auto"/>
          <w:sz w:val="20"/>
          <w:szCs w:val="20"/>
        </w:rPr>
        <w:t xml:space="preserve"> freely interacts with soluble targets and </w:t>
      </w:r>
      <w:proofErr w:type="spellStart"/>
      <w:r w:rsidRPr="007678A5">
        <w:rPr>
          <w:rFonts w:ascii="Calibri" w:hAnsi="Calibri" w:cs="Calibri"/>
          <w:i w:val="0"/>
          <w:iCs w:val="0"/>
          <w:color w:val="auto"/>
          <w:sz w:val="20"/>
          <w:szCs w:val="20"/>
        </w:rPr>
        <w:t>FcRn</w:t>
      </w:r>
      <w:proofErr w:type="spellEnd"/>
      <w:r w:rsidRPr="007678A5">
        <w:rPr>
          <w:rFonts w:ascii="Calibri" w:hAnsi="Calibri" w:cs="Calibri"/>
          <w:i w:val="0"/>
          <w:iCs w:val="0"/>
          <w:color w:val="auto"/>
          <w:sz w:val="20"/>
          <w:szCs w:val="20"/>
        </w:rPr>
        <w:t xml:space="preserve"> receptor (black rectangle) at pH = 6. The antibodies and antibody-receptor complexes are continually recycled </w:t>
      </w:r>
      <w:r w:rsidRPr="00880331">
        <w:rPr>
          <w:rFonts w:ascii="Calibri" w:hAnsi="Calibri" w:cs="Calibri"/>
          <w:i w:val="0"/>
          <w:iCs w:val="0"/>
          <w:color w:val="auto"/>
          <w:sz w:val="20"/>
          <w:szCs w:val="20"/>
        </w:rPr>
        <w:t xml:space="preserve">back to plasma and </w:t>
      </w:r>
      <w:proofErr w:type="gramStart"/>
      <w:r w:rsidRPr="00880331">
        <w:rPr>
          <w:rFonts w:ascii="Calibri" w:hAnsi="Calibri" w:cs="Calibri"/>
          <w:i w:val="0"/>
          <w:iCs w:val="0"/>
          <w:color w:val="auto"/>
          <w:sz w:val="20"/>
          <w:szCs w:val="20"/>
        </w:rPr>
        <w:t>the systemic</w:t>
      </w:r>
      <w:proofErr w:type="gramEnd"/>
      <w:r w:rsidRPr="00880331">
        <w:rPr>
          <w:rFonts w:ascii="Calibri" w:hAnsi="Calibri" w:cs="Calibri"/>
          <w:i w:val="0"/>
          <w:iCs w:val="0"/>
          <w:color w:val="auto"/>
          <w:sz w:val="20"/>
          <w:szCs w:val="20"/>
        </w:rPr>
        <w:t xml:space="preserve"> circulation. The unbound antibody degrades at a rate </w:t>
      </w:r>
      <m:oMath>
        <m:sSub>
          <m:sSubPr>
            <m:ctrlPr>
              <w:rPr>
                <w:rFonts w:ascii="Cambria Math" w:hAnsi="Cambria Math" w:cs="Calibri"/>
                <w:i w:val="0"/>
                <w:iCs w:val="0"/>
                <w:color w:val="auto"/>
                <w:sz w:val="20"/>
                <w:szCs w:val="20"/>
              </w:rPr>
            </m:ctrlPr>
          </m:sSubPr>
          <m:e>
            <m:r>
              <m:rPr>
                <m:sty m:val="bi"/>
              </m:rPr>
              <w:rPr>
                <w:rFonts w:ascii="Cambria Math" w:hAnsi="Cambria Math" w:cs="Calibri"/>
                <w:color w:val="auto"/>
                <w:sz w:val="20"/>
                <w:szCs w:val="20"/>
              </w:rPr>
              <m:t>k</m:t>
            </m:r>
          </m:e>
          <m:sub>
            <m:r>
              <m:rPr>
                <m:sty m:val="bi"/>
              </m:rPr>
              <w:rPr>
                <w:rFonts w:ascii="Cambria Math" w:hAnsi="Cambria Math" w:cs="Calibri"/>
                <w:color w:val="auto"/>
                <w:sz w:val="20"/>
                <w:szCs w:val="20"/>
              </w:rPr>
              <m:t>deg</m:t>
            </m:r>
          </m:sub>
        </m:sSub>
      </m:oMath>
      <w:r w:rsidRPr="00880331">
        <w:rPr>
          <w:rFonts w:ascii="Calibri" w:hAnsi="Calibri" w:cs="Calibri"/>
          <w:i w:val="0"/>
          <w:iCs w:val="0"/>
          <w:color w:val="auto"/>
          <w:sz w:val="20"/>
          <w:szCs w:val="20"/>
        </w:rPr>
        <w:t xml:space="preserve">. The soluble receptors and antibody-receptor complex are cleared through catabolism at a clearance rate, </w:t>
      </w:r>
      <m:oMath>
        <m:r>
          <m:rPr>
            <m:sty m:val="bi"/>
          </m:rPr>
          <w:rPr>
            <w:rFonts w:ascii="Cambria Math" w:hAnsi="Cambria Math" w:cs="Calibri"/>
            <w:color w:val="auto"/>
            <w:sz w:val="20"/>
            <w:szCs w:val="20"/>
          </w:rPr>
          <m:t>C</m:t>
        </m:r>
        <m:sSub>
          <m:sSubPr>
            <m:ctrlPr>
              <w:rPr>
                <w:rFonts w:ascii="Cambria Math" w:hAnsi="Cambria Math" w:cs="Calibri"/>
                <w:i w:val="0"/>
                <w:iCs w:val="0"/>
                <w:color w:val="auto"/>
                <w:sz w:val="20"/>
                <w:szCs w:val="20"/>
              </w:rPr>
            </m:ctrlPr>
          </m:sSubPr>
          <m:e>
            <m:r>
              <m:rPr>
                <m:sty m:val="bi"/>
              </m:rPr>
              <w:rPr>
                <w:rFonts w:ascii="Cambria Math" w:hAnsi="Cambria Math" w:cs="Calibri"/>
                <w:color w:val="auto"/>
                <w:sz w:val="20"/>
                <w:szCs w:val="20"/>
              </w:rPr>
              <m:t>L</m:t>
            </m:r>
          </m:e>
          <m:sub>
            <m:r>
              <m:rPr>
                <m:sty m:val="bi"/>
              </m:rPr>
              <w:rPr>
                <w:rFonts w:ascii="Cambria Math" w:hAnsi="Cambria Math" w:cs="Calibri"/>
                <w:color w:val="auto"/>
                <w:sz w:val="20"/>
                <w:szCs w:val="20"/>
              </w:rPr>
              <m:t>cat</m:t>
            </m:r>
          </m:sub>
        </m:sSub>
      </m:oMath>
      <w:r w:rsidRPr="00880331">
        <w:rPr>
          <w:rFonts w:ascii="Calibri" w:hAnsi="Calibri" w:cs="Calibri"/>
          <w:i w:val="0"/>
          <w:iCs w:val="0"/>
          <w:color w:val="auto"/>
          <w:sz w:val="20"/>
          <w:szCs w:val="20"/>
        </w:rPr>
        <w:t xml:space="preserve">.  </w:t>
      </w:r>
      <w:r w:rsidR="00880331" w:rsidRPr="00880331">
        <w:rPr>
          <w:rFonts w:ascii="Calibri" w:hAnsi="Calibri" w:cs="Calibri"/>
          <w:i w:val="0"/>
          <w:iCs w:val="0"/>
          <w:color w:val="auto"/>
          <w:sz w:val="20"/>
          <w:szCs w:val="20"/>
        </w:rPr>
        <w:t xml:space="preserve">Figure reused from </w:t>
      </w:r>
      <w:sdt>
        <w:sdtPr>
          <w:rPr>
            <w:rFonts w:ascii="Calibri" w:hAnsi="Calibri" w:cs="Calibri"/>
            <w:i w:val="0"/>
            <w:iCs w:val="0"/>
            <w:color w:val="auto"/>
            <w:sz w:val="20"/>
            <w:szCs w:val="20"/>
          </w:rPr>
          <w:id w:val="-1397347530"/>
          <w:citation/>
        </w:sdtPr>
        <w:sdtContent>
          <w:r w:rsidR="00880331" w:rsidRPr="00880331">
            <w:rPr>
              <w:rFonts w:ascii="Calibri" w:hAnsi="Calibri" w:cs="Calibri"/>
              <w:i w:val="0"/>
              <w:iCs w:val="0"/>
              <w:color w:val="auto"/>
              <w:sz w:val="20"/>
              <w:szCs w:val="20"/>
            </w:rPr>
            <w:fldChar w:fldCharType="begin"/>
          </w:r>
          <w:r w:rsidR="00880331" w:rsidRPr="00880331">
            <w:rPr>
              <w:rFonts w:ascii="Calibri" w:hAnsi="Calibri" w:cs="Calibri"/>
              <w:i w:val="0"/>
              <w:iCs w:val="0"/>
              <w:color w:val="auto"/>
              <w:sz w:val="20"/>
              <w:szCs w:val="20"/>
            </w:rPr>
            <w:instrText xml:space="preserve"> CITATION Pati24 \l 1033 </w:instrText>
          </w:r>
          <w:r w:rsidR="00880331" w:rsidRPr="00880331">
            <w:rPr>
              <w:rFonts w:ascii="Calibri" w:hAnsi="Calibri" w:cs="Calibri"/>
              <w:i w:val="0"/>
              <w:iCs w:val="0"/>
              <w:color w:val="auto"/>
              <w:sz w:val="20"/>
              <w:szCs w:val="20"/>
            </w:rPr>
            <w:fldChar w:fldCharType="separate"/>
          </w:r>
          <w:r w:rsidR="009A6058" w:rsidRPr="009A6058">
            <w:rPr>
              <w:rFonts w:ascii="Calibri" w:hAnsi="Calibri" w:cs="Calibri"/>
              <w:noProof/>
              <w:color w:val="auto"/>
              <w:sz w:val="20"/>
              <w:szCs w:val="20"/>
            </w:rPr>
            <w:t>[1]</w:t>
          </w:r>
          <w:r w:rsidR="00880331" w:rsidRPr="00880331">
            <w:rPr>
              <w:rFonts w:ascii="Calibri" w:hAnsi="Calibri" w:cs="Calibri"/>
              <w:i w:val="0"/>
              <w:iCs w:val="0"/>
              <w:color w:val="auto"/>
              <w:sz w:val="20"/>
              <w:szCs w:val="20"/>
            </w:rPr>
            <w:fldChar w:fldCharType="end"/>
          </w:r>
        </w:sdtContent>
      </w:sdt>
      <w:r w:rsidRPr="00880331">
        <w:rPr>
          <w:rFonts w:ascii="Calibri" w:hAnsi="Calibri" w:cs="Calibri"/>
          <w:i w:val="0"/>
          <w:iCs w:val="0"/>
          <w:color w:val="auto"/>
          <w:sz w:val="20"/>
          <w:szCs w:val="20"/>
        </w:rPr>
        <w:t xml:space="preserve">. </w:t>
      </w:r>
      <w:r w:rsidRPr="00880331">
        <w:rPr>
          <w:i w:val="0"/>
          <w:iCs w:val="0"/>
        </w:rPr>
        <w:t xml:space="preserve"> </w:t>
      </w:r>
    </w:p>
    <w:p w14:paraId="77F32162" w14:textId="77777777" w:rsidR="005B5AE7" w:rsidRPr="005B5AE7" w:rsidRDefault="005B5AE7" w:rsidP="005B5AE7"/>
    <w:p w14:paraId="15EBC9A8" w14:textId="4554AB61" w:rsidR="005B5AE7" w:rsidRPr="005B5AE7" w:rsidRDefault="005B5AE7">
      <w:pPr>
        <w:rPr>
          <w:b/>
          <w:bCs/>
          <w:sz w:val="28"/>
          <w:szCs w:val="28"/>
        </w:rPr>
      </w:pPr>
      <w:r w:rsidRPr="005B5AE7">
        <w:rPr>
          <w:b/>
          <w:bCs/>
          <w:sz w:val="28"/>
          <w:szCs w:val="28"/>
        </w:rPr>
        <w:t>Supplementary Tables</w:t>
      </w:r>
    </w:p>
    <w:p w14:paraId="3F0FE883" w14:textId="6F37A6C4" w:rsidR="009879EA" w:rsidRDefault="009879EA" w:rsidP="009879EA">
      <w:r>
        <w:t>Table S</w:t>
      </w:r>
      <w:r>
        <w:fldChar w:fldCharType="begin"/>
      </w:r>
      <w:r>
        <w:instrText xml:space="preserve"> SEQ Table \* ARABIC </w:instrText>
      </w:r>
      <w:r>
        <w:fldChar w:fldCharType="separate"/>
      </w:r>
      <w:r>
        <w:rPr>
          <w:noProof/>
        </w:rPr>
        <w:t>1</w:t>
      </w:r>
      <w:r>
        <w:fldChar w:fldCharType="end"/>
      </w:r>
      <w:r>
        <w:t xml:space="preserve">: List of </w:t>
      </w:r>
      <w:proofErr w:type="spellStart"/>
      <w:r>
        <w:t>mPBPK</w:t>
      </w:r>
      <w:proofErr w:type="spellEnd"/>
      <w:r>
        <w:t xml:space="preserve"> model simulations to obtain PK endpoints for </w:t>
      </w:r>
      <w:r w:rsidR="00F44A75">
        <w:t>virtual</w:t>
      </w:r>
      <w:r>
        <w:t xml:space="preserve"> </w:t>
      </w:r>
      <w:r w:rsidR="00F44A75">
        <w:t xml:space="preserve">drug-target </w:t>
      </w:r>
      <w:r>
        <w:t>candidates (</w:t>
      </w:r>
      <w:r w:rsidR="004824A9">
        <w:t xml:space="preserve">number of candidates, </w:t>
      </w:r>
      <w:r>
        <w:t xml:space="preserve">n = 10000). </w:t>
      </w:r>
    </w:p>
    <w:tbl>
      <w:tblPr>
        <w:tblStyle w:val="TableGrid"/>
        <w:tblW w:w="10620" w:type="dxa"/>
        <w:tblInd w:w="-63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8"/>
        <w:gridCol w:w="1558"/>
        <w:gridCol w:w="1558"/>
        <w:gridCol w:w="1558"/>
        <w:gridCol w:w="1559"/>
        <w:gridCol w:w="2199"/>
      </w:tblGrid>
      <w:tr w:rsidR="00CC1E33" w:rsidRPr="00CC1E33" w14:paraId="26A89E95" w14:textId="77777777" w:rsidTr="00E31B20">
        <w:tc>
          <w:tcPr>
            <w:tcW w:w="2188" w:type="dxa"/>
            <w:tcBorders>
              <w:top w:val="single" w:sz="4" w:space="0" w:color="auto"/>
              <w:bottom w:val="single" w:sz="4" w:space="0" w:color="auto"/>
            </w:tcBorders>
          </w:tcPr>
          <w:p w14:paraId="01D5F51A" w14:textId="1D8A5B71" w:rsidR="00CC1E33" w:rsidRPr="00CC1E33" w:rsidRDefault="00E15FD7">
            <w:pPr>
              <w:rPr>
                <w:sz w:val="24"/>
                <w:szCs w:val="24"/>
              </w:rPr>
            </w:pPr>
            <w:r>
              <w:rPr>
                <w:sz w:val="24"/>
                <w:szCs w:val="24"/>
              </w:rPr>
              <w:t>Simulation ID</w:t>
            </w:r>
          </w:p>
        </w:tc>
        <w:tc>
          <w:tcPr>
            <w:tcW w:w="1558" w:type="dxa"/>
            <w:tcBorders>
              <w:top w:val="single" w:sz="4" w:space="0" w:color="auto"/>
              <w:bottom w:val="single" w:sz="4" w:space="0" w:color="auto"/>
            </w:tcBorders>
          </w:tcPr>
          <w:p w14:paraId="08289C9F" w14:textId="5B856631" w:rsidR="00CC1E33" w:rsidRPr="00CC1E33" w:rsidRDefault="00E15FD7">
            <w:pPr>
              <w:rPr>
                <w:sz w:val="24"/>
                <w:szCs w:val="24"/>
              </w:rPr>
            </w:pPr>
            <w:r>
              <w:rPr>
                <w:sz w:val="24"/>
                <w:szCs w:val="24"/>
              </w:rPr>
              <w:t>Charge</w:t>
            </w:r>
          </w:p>
        </w:tc>
        <w:tc>
          <w:tcPr>
            <w:tcW w:w="1558" w:type="dxa"/>
            <w:tcBorders>
              <w:top w:val="single" w:sz="4" w:space="0" w:color="auto"/>
              <w:bottom w:val="single" w:sz="4" w:space="0" w:color="auto"/>
            </w:tcBorders>
          </w:tcPr>
          <w:p w14:paraId="190D3FC1" w14:textId="1A7B12BC" w:rsidR="00CC1E33" w:rsidRPr="00CC1E33" w:rsidRDefault="00E15FD7">
            <w:pPr>
              <w:rPr>
                <w:sz w:val="24"/>
                <w:szCs w:val="24"/>
              </w:rPr>
            </w:pPr>
            <w:r>
              <w:rPr>
                <w:sz w:val="24"/>
                <w:szCs w:val="24"/>
              </w:rPr>
              <w:t>Dose</w:t>
            </w:r>
            <w:r w:rsidR="0062760D">
              <w:rPr>
                <w:sz w:val="24"/>
                <w:szCs w:val="24"/>
              </w:rPr>
              <w:t xml:space="preserve"> (mg/kg)</w:t>
            </w:r>
          </w:p>
        </w:tc>
        <w:tc>
          <w:tcPr>
            <w:tcW w:w="1558" w:type="dxa"/>
            <w:tcBorders>
              <w:top w:val="single" w:sz="4" w:space="0" w:color="auto"/>
              <w:bottom w:val="single" w:sz="4" w:space="0" w:color="auto"/>
            </w:tcBorders>
          </w:tcPr>
          <w:p w14:paraId="2C539E3B" w14:textId="58885FB3" w:rsidR="00CC1E33" w:rsidRPr="00CC1E33" w:rsidRDefault="00E15FD7">
            <w:pPr>
              <w:rPr>
                <w:sz w:val="24"/>
                <w:szCs w:val="24"/>
              </w:rPr>
            </w:pPr>
            <w:r>
              <w:rPr>
                <w:sz w:val="24"/>
                <w:szCs w:val="24"/>
              </w:rPr>
              <w:t>Regimen</w:t>
            </w:r>
          </w:p>
        </w:tc>
        <w:tc>
          <w:tcPr>
            <w:tcW w:w="1559" w:type="dxa"/>
            <w:tcBorders>
              <w:top w:val="single" w:sz="4" w:space="0" w:color="auto"/>
              <w:bottom w:val="single" w:sz="4" w:space="0" w:color="auto"/>
            </w:tcBorders>
          </w:tcPr>
          <w:p w14:paraId="1EEA00D5" w14:textId="19C6A792" w:rsidR="00CC1E33" w:rsidRPr="00CC1E33" w:rsidRDefault="00E31B20">
            <w:pPr>
              <w:rPr>
                <w:sz w:val="24"/>
                <w:szCs w:val="24"/>
              </w:rPr>
            </w:pPr>
            <w:r>
              <w:rPr>
                <w:sz w:val="24"/>
                <w:szCs w:val="24"/>
              </w:rPr>
              <w:t>Receptor Form</w:t>
            </w:r>
          </w:p>
        </w:tc>
        <w:tc>
          <w:tcPr>
            <w:tcW w:w="2199" w:type="dxa"/>
            <w:tcBorders>
              <w:top w:val="single" w:sz="4" w:space="0" w:color="auto"/>
              <w:bottom w:val="single" w:sz="4" w:space="0" w:color="auto"/>
            </w:tcBorders>
          </w:tcPr>
          <w:p w14:paraId="122EC0D6" w14:textId="454BF19C" w:rsidR="00CC1E33" w:rsidRPr="00CC1E33" w:rsidRDefault="00E31B20">
            <w:pPr>
              <w:rPr>
                <w:sz w:val="24"/>
                <w:szCs w:val="24"/>
              </w:rPr>
            </w:pPr>
            <w:r>
              <w:rPr>
                <w:sz w:val="24"/>
                <w:szCs w:val="24"/>
              </w:rPr>
              <w:t>Criterion</w:t>
            </w:r>
          </w:p>
        </w:tc>
      </w:tr>
      <w:tr w:rsidR="00110CDB" w:rsidRPr="00CC1E33" w14:paraId="5CBFB192" w14:textId="77777777" w:rsidTr="00E31B20">
        <w:tc>
          <w:tcPr>
            <w:tcW w:w="2188" w:type="dxa"/>
            <w:tcBorders>
              <w:top w:val="single" w:sz="4" w:space="0" w:color="auto"/>
            </w:tcBorders>
          </w:tcPr>
          <w:p w14:paraId="2DD88B3D" w14:textId="0D80BB14" w:rsidR="00110CDB" w:rsidRPr="00CC1E33" w:rsidRDefault="00110CDB" w:rsidP="00110CDB">
            <w:pPr>
              <w:rPr>
                <w:sz w:val="24"/>
                <w:szCs w:val="24"/>
              </w:rPr>
            </w:pPr>
            <w:r>
              <w:rPr>
                <w:sz w:val="24"/>
                <w:szCs w:val="24"/>
              </w:rPr>
              <w:t>1</w:t>
            </w:r>
          </w:p>
        </w:tc>
        <w:tc>
          <w:tcPr>
            <w:tcW w:w="1558" w:type="dxa"/>
            <w:tcBorders>
              <w:top w:val="single" w:sz="4" w:space="0" w:color="auto"/>
            </w:tcBorders>
          </w:tcPr>
          <w:p w14:paraId="676281D4" w14:textId="1E9593BB" w:rsidR="00110CDB" w:rsidRPr="00CC1E33" w:rsidRDefault="00110CDB" w:rsidP="00110CDB">
            <w:pPr>
              <w:rPr>
                <w:sz w:val="24"/>
                <w:szCs w:val="24"/>
              </w:rPr>
            </w:pPr>
            <w:r>
              <w:rPr>
                <w:sz w:val="24"/>
                <w:szCs w:val="24"/>
              </w:rPr>
              <w:t>0</w:t>
            </w:r>
          </w:p>
        </w:tc>
        <w:tc>
          <w:tcPr>
            <w:tcW w:w="1558" w:type="dxa"/>
            <w:tcBorders>
              <w:top w:val="single" w:sz="4" w:space="0" w:color="auto"/>
            </w:tcBorders>
          </w:tcPr>
          <w:p w14:paraId="491BA255" w14:textId="24513E8C" w:rsidR="00110CDB" w:rsidRPr="00CC1E33" w:rsidRDefault="00110CDB" w:rsidP="00110CDB">
            <w:pPr>
              <w:rPr>
                <w:sz w:val="24"/>
                <w:szCs w:val="24"/>
              </w:rPr>
            </w:pPr>
            <w:r>
              <w:rPr>
                <w:sz w:val="24"/>
                <w:szCs w:val="24"/>
              </w:rPr>
              <w:t>0.1</w:t>
            </w:r>
          </w:p>
        </w:tc>
        <w:tc>
          <w:tcPr>
            <w:tcW w:w="1558" w:type="dxa"/>
            <w:tcBorders>
              <w:top w:val="single" w:sz="4" w:space="0" w:color="auto"/>
            </w:tcBorders>
          </w:tcPr>
          <w:p w14:paraId="442F5FDC" w14:textId="48018E54" w:rsidR="00110CDB" w:rsidRPr="00CC1E33" w:rsidRDefault="00110CDB" w:rsidP="00110CDB">
            <w:pPr>
              <w:rPr>
                <w:sz w:val="24"/>
                <w:szCs w:val="24"/>
              </w:rPr>
            </w:pPr>
            <w:r>
              <w:rPr>
                <w:sz w:val="24"/>
                <w:szCs w:val="24"/>
              </w:rPr>
              <w:t>Bolus (IV)</w:t>
            </w:r>
          </w:p>
        </w:tc>
        <w:tc>
          <w:tcPr>
            <w:tcW w:w="1559" w:type="dxa"/>
            <w:tcBorders>
              <w:top w:val="single" w:sz="4" w:space="0" w:color="auto"/>
            </w:tcBorders>
          </w:tcPr>
          <w:p w14:paraId="687D519D" w14:textId="541EB2B8" w:rsidR="00110CDB" w:rsidRPr="00CC1E33" w:rsidRDefault="00110CDB" w:rsidP="00110CDB">
            <w:pPr>
              <w:rPr>
                <w:sz w:val="24"/>
                <w:szCs w:val="24"/>
              </w:rPr>
            </w:pPr>
            <w:r>
              <w:rPr>
                <w:sz w:val="24"/>
                <w:szCs w:val="24"/>
              </w:rPr>
              <w:t>Soluble</w:t>
            </w:r>
          </w:p>
        </w:tc>
        <w:tc>
          <w:tcPr>
            <w:tcW w:w="2199" w:type="dxa"/>
            <w:tcBorders>
              <w:top w:val="single" w:sz="4" w:space="0" w:color="auto"/>
            </w:tcBorders>
          </w:tcPr>
          <w:p w14:paraId="2AB0D3F2" w14:textId="6A54EB95" w:rsidR="00110CDB" w:rsidRPr="00110CDB" w:rsidRDefault="00110CDB" w:rsidP="00110CDB">
            <w:pPr>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5D3BB3AA" w14:textId="77777777" w:rsidTr="00E31B20">
        <w:tc>
          <w:tcPr>
            <w:tcW w:w="2188" w:type="dxa"/>
          </w:tcPr>
          <w:p w14:paraId="410C12E5" w14:textId="78AA4CF1" w:rsidR="00110CDB" w:rsidRPr="00CC1E33" w:rsidRDefault="00110CDB" w:rsidP="00110CDB">
            <w:pPr>
              <w:rPr>
                <w:sz w:val="24"/>
                <w:szCs w:val="24"/>
              </w:rPr>
            </w:pPr>
            <w:r>
              <w:rPr>
                <w:sz w:val="24"/>
                <w:szCs w:val="24"/>
              </w:rPr>
              <w:t>2</w:t>
            </w:r>
          </w:p>
        </w:tc>
        <w:tc>
          <w:tcPr>
            <w:tcW w:w="1558" w:type="dxa"/>
          </w:tcPr>
          <w:p w14:paraId="073DA167" w14:textId="7101463F" w:rsidR="00110CDB" w:rsidRPr="00CC1E33" w:rsidRDefault="00110CDB" w:rsidP="00110CDB">
            <w:pPr>
              <w:rPr>
                <w:sz w:val="24"/>
                <w:szCs w:val="24"/>
              </w:rPr>
            </w:pPr>
            <w:r>
              <w:rPr>
                <w:sz w:val="24"/>
                <w:szCs w:val="24"/>
              </w:rPr>
              <w:t>+5</w:t>
            </w:r>
          </w:p>
        </w:tc>
        <w:tc>
          <w:tcPr>
            <w:tcW w:w="1558" w:type="dxa"/>
          </w:tcPr>
          <w:p w14:paraId="6265A776" w14:textId="3C0BEF96" w:rsidR="00110CDB" w:rsidRPr="00CC1E33" w:rsidRDefault="00110CDB" w:rsidP="00110CDB">
            <w:pPr>
              <w:rPr>
                <w:sz w:val="24"/>
                <w:szCs w:val="24"/>
              </w:rPr>
            </w:pPr>
            <w:r>
              <w:rPr>
                <w:sz w:val="24"/>
                <w:szCs w:val="24"/>
              </w:rPr>
              <w:t>0.1</w:t>
            </w:r>
          </w:p>
        </w:tc>
        <w:tc>
          <w:tcPr>
            <w:tcW w:w="1558" w:type="dxa"/>
          </w:tcPr>
          <w:p w14:paraId="70D638CC" w14:textId="5D05BED9" w:rsidR="00110CDB" w:rsidRPr="00CC1E33" w:rsidRDefault="00110CDB" w:rsidP="00110CDB">
            <w:pPr>
              <w:rPr>
                <w:sz w:val="24"/>
                <w:szCs w:val="24"/>
              </w:rPr>
            </w:pPr>
            <w:r>
              <w:rPr>
                <w:sz w:val="24"/>
                <w:szCs w:val="24"/>
              </w:rPr>
              <w:t>Bolus (IV)</w:t>
            </w:r>
          </w:p>
        </w:tc>
        <w:tc>
          <w:tcPr>
            <w:tcW w:w="1559" w:type="dxa"/>
          </w:tcPr>
          <w:p w14:paraId="654DEFA1" w14:textId="33E3B736" w:rsidR="00110CDB" w:rsidRPr="00CC1E33" w:rsidRDefault="00110CDB" w:rsidP="00110CDB">
            <w:pPr>
              <w:rPr>
                <w:sz w:val="24"/>
                <w:szCs w:val="24"/>
              </w:rPr>
            </w:pPr>
            <w:r>
              <w:rPr>
                <w:sz w:val="24"/>
                <w:szCs w:val="24"/>
              </w:rPr>
              <w:t>Soluble</w:t>
            </w:r>
          </w:p>
        </w:tc>
        <w:tc>
          <w:tcPr>
            <w:tcW w:w="2199" w:type="dxa"/>
          </w:tcPr>
          <w:p w14:paraId="79EEE7B3" w14:textId="37B55683"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1024F97F" w14:textId="77777777" w:rsidTr="00E31B20">
        <w:tc>
          <w:tcPr>
            <w:tcW w:w="2188" w:type="dxa"/>
          </w:tcPr>
          <w:p w14:paraId="5668617D" w14:textId="12DF81D9" w:rsidR="00110CDB" w:rsidRPr="00CC1E33" w:rsidRDefault="00110CDB" w:rsidP="00110CDB">
            <w:pPr>
              <w:rPr>
                <w:sz w:val="24"/>
                <w:szCs w:val="24"/>
              </w:rPr>
            </w:pPr>
            <w:r>
              <w:rPr>
                <w:sz w:val="24"/>
                <w:szCs w:val="24"/>
              </w:rPr>
              <w:t>3</w:t>
            </w:r>
          </w:p>
        </w:tc>
        <w:tc>
          <w:tcPr>
            <w:tcW w:w="1558" w:type="dxa"/>
          </w:tcPr>
          <w:p w14:paraId="7D70E55A" w14:textId="4607ACEB" w:rsidR="00110CDB" w:rsidRPr="00CC1E33" w:rsidRDefault="00110CDB" w:rsidP="00110CDB">
            <w:pPr>
              <w:rPr>
                <w:sz w:val="24"/>
                <w:szCs w:val="24"/>
              </w:rPr>
            </w:pPr>
            <w:r>
              <w:rPr>
                <w:sz w:val="24"/>
                <w:szCs w:val="24"/>
              </w:rPr>
              <w:t>-5</w:t>
            </w:r>
          </w:p>
        </w:tc>
        <w:tc>
          <w:tcPr>
            <w:tcW w:w="1558" w:type="dxa"/>
          </w:tcPr>
          <w:p w14:paraId="6F1BB1F1" w14:textId="11026EF2" w:rsidR="00110CDB" w:rsidRPr="00CC1E33" w:rsidRDefault="00110CDB" w:rsidP="00110CDB">
            <w:pPr>
              <w:rPr>
                <w:sz w:val="24"/>
                <w:szCs w:val="24"/>
              </w:rPr>
            </w:pPr>
            <w:r>
              <w:rPr>
                <w:sz w:val="24"/>
                <w:szCs w:val="24"/>
              </w:rPr>
              <w:t>0.1</w:t>
            </w:r>
          </w:p>
        </w:tc>
        <w:tc>
          <w:tcPr>
            <w:tcW w:w="1558" w:type="dxa"/>
          </w:tcPr>
          <w:p w14:paraId="14865B52" w14:textId="76102BEC" w:rsidR="00110CDB" w:rsidRPr="00CC1E33" w:rsidRDefault="00110CDB" w:rsidP="00110CDB">
            <w:pPr>
              <w:rPr>
                <w:sz w:val="24"/>
                <w:szCs w:val="24"/>
              </w:rPr>
            </w:pPr>
            <w:r>
              <w:rPr>
                <w:sz w:val="24"/>
                <w:szCs w:val="24"/>
              </w:rPr>
              <w:t>Bolus (IV)</w:t>
            </w:r>
          </w:p>
        </w:tc>
        <w:tc>
          <w:tcPr>
            <w:tcW w:w="1559" w:type="dxa"/>
          </w:tcPr>
          <w:p w14:paraId="016A1A81" w14:textId="2B6CDA24" w:rsidR="00110CDB" w:rsidRPr="00CC1E33" w:rsidRDefault="00110CDB" w:rsidP="00110CDB">
            <w:pPr>
              <w:rPr>
                <w:sz w:val="24"/>
                <w:szCs w:val="24"/>
              </w:rPr>
            </w:pPr>
            <w:r>
              <w:rPr>
                <w:sz w:val="24"/>
                <w:szCs w:val="24"/>
              </w:rPr>
              <w:t>Soluble</w:t>
            </w:r>
          </w:p>
        </w:tc>
        <w:tc>
          <w:tcPr>
            <w:tcW w:w="2199" w:type="dxa"/>
          </w:tcPr>
          <w:p w14:paraId="5E8785CD" w14:textId="102D0116"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6DE4FA93" w14:textId="77777777" w:rsidTr="00E31B20">
        <w:tc>
          <w:tcPr>
            <w:tcW w:w="2188" w:type="dxa"/>
          </w:tcPr>
          <w:p w14:paraId="75842AEA" w14:textId="53491039" w:rsidR="00110CDB" w:rsidRPr="00CC1E33" w:rsidRDefault="00110CDB" w:rsidP="00110CDB">
            <w:pPr>
              <w:rPr>
                <w:sz w:val="24"/>
                <w:szCs w:val="24"/>
              </w:rPr>
            </w:pPr>
            <w:r>
              <w:rPr>
                <w:sz w:val="24"/>
                <w:szCs w:val="24"/>
              </w:rPr>
              <w:t>4</w:t>
            </w:r>
          </w:p>
        </w:tc>
        <w:tc>
          <w:tcPr>
            <w:tcW w:w="1558" w:type="dxa"/>
          </w:tcPr>
          <w:p w14:paraId="6A6F5289" w14:textId="4FDC399D" w:rsidR="00110CDB" w:rsidRPr="00CC1E33" w:rsidRDefault="00110CDB" w:rsidP="00110CDB">
            <w:pPr>
              <w:rPr>
                <w:sz w:val="24"/>
                <w:szCs w:val="24"/>
              </w:rPr>
            </w:pPr>
            <w:r>
              <w:rPr>
                <w:sz w:val="24"/>
                <w:szCs w:val="24"/>
              </w:rPr>
              <w:t>0</w:t>
            </w:r>
          </w:p>
        </w:tc>
        <w:tc>
          <w:tcPr>
            <w:tcW w:w="1558" w:type="dxa"/>
          </w:tcPr>
          <w:p w14:paraId="4BBE319A" w14:textId="303571F1" w:rsidR="00110CDB" w:rsidRPr="00CC1E33" w:rsidRDefault="00110CDB" w:rsidP="00110CDB">
            <w:pPr>
              <w:rPr>
                <w:sz w:val="24"/>
                <w:szCs w:val="24"/>
              </w:rPr>
            </w:pPr>
            <w:r>
              <w:rPr>
                <w:sz w:val="24"/>
                <w:szCs w:val="24"/>
              </w:rPr>
              <w:t>0.1</w:t>
            </w:r>
          </w:p>
        </w:tc>
        <w:tc>
          <w:tcPr>
            <w:tcW w:w="1558" w:type="dxa"/>
          </w:tcPr>
          <w:p w14:paraId="5A81C6FF" w14:textId="0D610272" w:rsidR="00110CDB" w:rsidRPr="00CC1E33" w:rsidRDefault="00110CDB" w:rsidP="00110CDB">
            <w:pPr>
              <w:rPr>
                <w:sz w:val="24"/>
                <w:szCs w:val="24"/>
              </w:rPr>
            </w:pPr>
            <w:r>
              <w:rPr>
                <w:sz w:val="24"/>
                <w:szCs w:val="24"/>
              </w:rPr>
              <w:t>Bolus (IV)</w:t>
            </w:r>
          </w:p>
        </w:tc>
        <w:tc>
          <w:tcPr>
            <w:tcW w:w="1559" w:type="dxa"/>
          </w:tcPr>
          <w:p w14:paraId="3FBC0D9D" w14:textId="0CA157F1" w:rsidR="00110CDB" w:rsidRPr="00CC1E33" w:rsidRDefault="00110CDB" w:rsidP="00110CDB">
            <w:pPr>
              <w:rPr>
                <w:sz w:val="24"/>
                <w:szCs w:val="24"/>
              </w:rPr>
            </w:pPr>
            <w:r>
              <w:rPr>
                <w:sz w:val="24"/>
                <w:szCs w:val="24"/>
              </w:rPr>
              <w:t>Membrane</w:t>
            </w:r>
          </w:p>
        </w:tc>
        <w:tc>
          <w:tcPr>
            <w:tcW w:w="2199" w:type="dxa"/>
          </w:tcPr>
          <w:p w14:paraId="2C6305DF" w14:textId="7A208D2E"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2B424DFC" w14:textId="77777777" w:rsidTr="00E31B20">
        <w:tc>
          <w:tcPr>
            <w:tcW w:w="2188" w:type="dxa"/>
          </w:tcPr>
          <w:p w14:paraId="046DCCF2" w14:textId="6770680D" w:rsidR="00110CDB" w:rsidRPr="00CC1E33" w:rsidRDefault="00110CDB" w:rsidP="00110CDB">
            <w:pPr>
              <w:rPr>
                <w:sz w:val="24"/>
                <w:szCs w:val="24"/>
              </w:rPr>
            </w:pPr>
            <w:r>
              <w:rPr>
                <w:sz w:val="24"/>
                <w:szCs w:val="24"/>
              </w:rPr>
              <w:t>5</w:t>
            </w:r>
          </w:p>
        </w:tc>
        <w:tc>
          <w:tcPr>
            <w:tcW w:w="1558" w:type="dxa"/>
          </w:tcPr>
          <w:p w14:paraId="035C16FE" w14:textId="077740E6" w:rsidR="00110CDB" w:rsidRPr="00CC1E33" w:rsidRDefault="00110CDB" w:rsidP="00110CDB">
            <w:pPr>
              <w:rPr>
                <w:sz w:val="24"/>
                <w:szCs w:val="24"/>
              </w:rPr>
            </w:pPr>
            <w:r>
              <w:rPr>
                <w:sz w:val="24"/>
                <w:szCs w:val="24"/>
              </w:rPr>
              <w:t>+5</w:t>
            </w:r>
          </w:p>
        </w:tc>
        <w:tc>
          <w:tcPr>
            <w:tcW w:w="1558" w:type="dxa"/>
          </w:tcPr>
          <w:p w14:paraId="7EEAAECA" w14:textId="050169C3" w:rsidR="00110CDB" w:rsidRPr="00CC1E33" w:rsidRDefault="00110CDB" w:rsidP="00110CDB">
            <w:pPr>
              <w:rPr>
                <w:sz w:val="24"/>
                <w:szCs w:val="24"/>
              </w:rPr>
            </w:pPr>
            <w:r>
              <w:rPr>
                <w:sz w:val="24"/>
                <w:szCs w:val="24"/>
              </w:rPr>
              <w:t>0.1</w:t>
            </w:r>
          </w:p>
        </w:tc>
        <w:tc>
          <w:tcPr>
            <w:tcW w:w="1558" w:type="dxa"/>
          </w:tcPr>
          <w:p w14:paraId="0C407525" w14:textId="224305C7" w:rsidR="00110CDB" w:rsidRPr="00CC1E33" w:rsidRDefault="00110CDB" w:rsidP="00110CDB">
            <w:pPr>
              <w:rPr>
                <w:sz w:val="24"/>
                <w:szCs w:val="24"/>
              </w:rPr>
            </w:pPr>
            <w:r>
              <w:rPr>
                <w:sz w:val="24"/>
                <w:szCs w:val="24"/>
              </w:rPr>
              <w:t>Bolus (IV)</w:t>
            </w:r>
          </w:p>
        </w:tc>
        <w:tc>
          <w:tcPr>
            <w:tcW w:w="1559" w:type="dxa"/>
          </w:tcPr>
          <w:p w14:paraId="1FDAC65D" w14:textId="4DEAA749" w:rsidR="00110CDB" w:rsidRPr="00CC1E33" w:rsidRDefault="00110CDB" w:rsidP="00110CDB">
            <w:pPr>
              <w:rPr>
                <w:sz w:val="24"/>
                <w:szCs w:val="24"/>
              </w:rPr>
            </w:pPr>
            <w:r>
              <w:rPr>
                <w:sz w:val="24"/>
                <w:szCs w:val="24"/>
              </w:rPr>
              <w:t>Membrane</w:t>
            </w:r>
          </w:p>
        </w:tc>
        <w:tc>
          <w:tcPr>
            <w:tcW w:w="2199" w:type="dxa"/>
          </w:tcPr>
          <w:p w14:paraId="26F8A0EC" w14:textId="01378ACC"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1A57AD33" w14:textId="77777777" w:rsidTr="00E31B20">
        <w:tc>
          <w:tcPr>
            <w:tcW w:w="2188" w:type="dxa"/>
          </w:tcPr>
          <w:p w14:paraId="29B684A1" w14:textId="6FEDB1CC" w:rsidR="00110CDB" w:rsidRPr="00CC1E33" w:rsidRDefault="00110CDB" w:rsidP="00110CDB">
            <w:pPr>
              <w:rPr>
                <w:sz w:val="24"/>
                <w:szCs w:val="24"/>
              </w:rPr>
            </w:pPr>
            <w:r>
              <w:rPr>
                <w:sz w:val="24"/>
                <w:szCs w:val="24"/>
              </w:rPr>
              <w:t>6</w:t>
            </w:r>
          </w:p>
        </w:tc>
        <w:tc>
          <w:tcPr>
            <w:tcW w:w="1558" w:type="dxa"/>
          </w:tcPr>
          <w:p w14:paraId="5A0AE449" w14:textId="02EB8864" w:rsidR="00110CDB" w:rsidRPr="00CC1E33" w:rsidRDefault="00110CDB" w:rsidP="00110CDB">
            <w:pPr>
              <w:rPr>
                <w:sz w:val="24"/>
                <w:szCs w:val="24"/>
              </w:rPr>
            </w:pPr>
            <w:r>
              <w:rPr>
                <w:sz w:val="24"/>
                <w:szCs w:val="24"/>
              </w:rPr>
              <w:t>-5</w:t>
            </w:r>
          </w:p>
        </w:tc>
        <w:tc>
          <w:tcPr>
            <w:tcW w:w="1558" w:type="dxa"/>
          </w:tcPr>
          <w:p w14:paraId="6EE4AF84" w14:textId="20DC20A6" w:rsidR="00110CDB" w:rsidRPr="00CC1E33" w:rsidRDefault="00110CDB" w:rsidP="00110CDB">
            <w:pPr>
              <w:rPr>
                <w:sz w:val="24"/>
                <w:szCs w:val="24"/>
              </w:rPr>
            </w:pPr>
            <w:r>
              <w:rPr>
                <w:sz w:val="24"/>
                <w:szCs w:val="24"/>
              </w:rPr>
              <w:t>0.1</w:t>
            </w:r>
          </w:p>
        </w:tc>
        <w:tc>
          <w:tcPr>
            <w:tcW w:w="1558" w:type="dxa"/>
          </w:tcPr>
          <w:p w14:paraId="562E437A" w14:textId="37DD3C40" w:rsidR="00110CDB" w:rsidRPr="00CC1E33" w:rsidRDefault="00110CDB" w:rsidP="00110CDB">
            <w:pPr>
              <w:rPr>
                <w:sz w:val="24"/>
                <w:szCs w:val="24"/>
              </w:rPr>
            </w:pPr>
            <w:r>
              <w:rPr>
                <w:sz w:val="24"/>
                <w:szCs w:val="24"/>
              </w:rPr>
              <w:t>Bolus (IV)</w:t>
            </w:r>
          </w:p>
        </w:tc>
        <w:tc>
          <w:tcPr>
            <w:tcW w:w="1559" w:type="dxa"/>
          </w:tcPr>
          <w:p w14:paraId="47DF8825" w14:textId="12F98D55" w:rsidR="00110CDB" w:rsidRPr="00CC1E33" w:rsidRDefault="00110CDB" w:rsidP="00110CDB">
            <w:pPr>
              <w:rPr>
                <w:sz w:val="24"/>
                <w:szCs w:val="24"/>
              </w:rPr>
            </w:pPr>
            <w:r>
              <w:rPr>
                <w:sz w:val="24"/>
                <w:szCs w:val="24"/>
              </w:rPr>
              <w:t>Membrane</w:t>
            </w:r>
          </w:p>
        </w:tc>
        <w:tc>
          <w:tcPr>
            <w:tcW w:w="2199" w:type="dxa"/>
          </w:tcPr>
          <w:p w14:paraId="6576D1B3" w14:textId="514EDA66"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4015DE7E" w14:textId="77777777" w:rsidTr="00E31B20">
        <w:tc>
          <w:tcPr>
            <w:tcW w:w="2188" w:type="dxa"/>
          </w:tcPr>
          <w:p w14:paraId="70C73D50" w14:textId="0F516DBA" w:rsidR="00110CDB" w:rsidRDefault="00110CDB" w:rsidP="00110CDB">
            <w:pPr>
              <w:rPr>
                <w:sz w:val="24"/>
                <w:szCs w:val="24"/>
              </w:rPr>
            </w:pPr>
            <w:r>
              <w:rPr>
                <w:sz w:val="24"/>
                <w:szCs w:val="24"/>
              </w:rPr>
              <w:t>7</w:t>
            </w:r>
          </w:p>
        </w:tc>
        <w:tc>
          <w:tcPr>
            <w:tcW w:w="1558" w:type="dxa"/>
          </w:tcPr>
          <w:p w14:paraId="268813D6" w14:textId="3FD09C92" w:rsidR="00110CDB" w:rsidRDefault="00110CDB" w:rsidP="00110CDB">
            <w:pPr>
              <w:rPr>
                <w:sz w:val="24"/>
                <w:szCs w:val="24"/>
              </w:rPr>
            </w:pPr>
            <w:r>
              <w:rPr>
                <w:sz w:val="24"/>
                <w:szCs w:val="24"/>
              </w:rPr>
              <w:t>0</w:t>
            </w:r>
          </w:p>
        </w:tc>
        <w:tc>
          <w:tcPr>
            <w:tcW w:w="1558" w:type="dxa"/>
          </w:tcPr>
          <w:p w14:paraId="4D6DB043" w14:textId="18B89704" w:rsidR="00110CDB" w:rsidRDefault="00110CDB" w:rsidP="00110CDB">
            <w:pPr>
              <w:rPr>
                <w:sz w:val="24"/>
                <w:szCs w:val="24"/>
              </w:rPr>
            </w:pPr>
            <w:r>
              <w:rPr>
                <w:sz w:val="24"/>
                <w:szCs w:val="24"/>
              </w:rPr>
              <w:t>1</w:t>
            </w:r>
          </w:p>
        </w:tc>
        <w:tc>
          <w:tcPr>
            <w:tcW w:w="1558" w:type="dxa"/>
          </w:tcPr>
          <w:p w14:paraId="040FEB09" w14:textId="1E816CE1" w:rsidR="00110CDB" w:rsidRDefault="00110CDB" w:rsidP="00110CDB">
            <w:pPr>
              <w:rPr>
                <w:sz w:val="24"/>
                <w:szCs w:val="24"/>
              </w:rPr>
            </w:pPr>
            <w:r>
              <w:rPr>
                <w:sz w:val="24"/>
                <w:szCs w:val="24"/>
              </w:rPr>
              <w:t>Bolus (IV)</w:t>
            </w:r>
          </w:p>
        </w:tc>
        <w:tc>
          <w:tcPr>
            <w:tcW w:w="1559" w:type="dxa"/>
          </w:tcPr>
          <w:p w14:paraId="71B872F0" w14:textId="663AC6AF" w:rsidR="00110CDB" w:rsidRDefault="00110CDB" w:rsidP="00110CDB">
            <w:pPr>
              <w:rPr>
                <w:sz w:val="24"/>
                <w:szCs w:val="24"/>
              </w:rPr>
            </w:pPr>
            <w:r>
              <w:rPr>
                <w:sz w:val="24"/>
                <w:szCs w:val="24"/>
              </w:rPr>
              <w:t>Soluble</w:t>
            </w:r>
          </w:p>
        </w:tc>
        <w:tc>
          <w:tcPr>
            <w:tcW w:w="2199" w:type="dxa"/>
          </w:tcPr>
          <w:p w14:paraId="4C1E43A5" w14:textId="552668AC"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3FC4096C" w14:textId="77777777" w:rsidTr="007053FA">
        <w:tc>
          <w:tcPr>
            <w:tcW w:w="2188" w:type="dxa"/>
            <w:tcBorders>
              <w:bottom w:val="nil"/>
            </w:tcBorders>
          </w:tcPr>
          <w:p w14:paraId="236BD5C8" w14:textId="74173046" w:rsidR="00110CDB" w:rsidRDefault="00110CDB" w:rsidP="00110CDB">
            <w:pPr>
              <w:rPr>
                <w:sz w:val="24"/>
                <w:szCs w:val="24"/>
              </w:rPr>
            </w:pPr>
            <w:r>
              <w:rPr>
                <w:sz w:val="24"/>
                <w:szCs w:val="24"/>
              </w:rPr>
              <w:t>8</w:t>
            </w:r>
          </w:p>
        </w:tc>
        <w:tc>
          <w:tcPr>
            <w:tcW w:w="1558" w:type="dxa"/>
            <w:tcBorders>
              <w:bottom w:val="nil"/>
            </w:tcBorders>
          </w:tcPr>
          <w:p w14:paraId="7AF511C6" w14:textId="777E0CE8" w:rsidR="00110CDB" w:rsidRDefault="00110CDB" w:rsidP="00110CDB">
            <w:pPr>
              <w:rPr>
                <w:sz w:val="24"/>
                <w:szCs w:val="24"/>
              </w:rPr>
            </w:pPr>
            <w:r>
              <w:rPr>
                <w:sz w:val="24"/>
                <w:szCs w:val="24"/>
              </w:rPr>
              <w:t>+5</w:t>
            </w:r>
          </w:p>
        </w:tc>
        <w:tc>
          <w:tcPr>
            <w:tcW w:w="1558" w:type="dxa"/>
            <w:tcBorders>
              <w:bottom w:val="nil"/>
            </w:tcBorders>
          </w:tcPr>
          <w:p w14:paraId="26B7DB02" w14:textId="30418EDC" w:rsidR="00110CDB" w:rsidRDefault="00110CDB" w:rsidP="00110CDB">
            <w:pPr>
              <w:rPr>
                <w:sz w:val="24"/>
                <w:szCs w:val="24"/>
              </w:rPr>
            </w:pPr>
            <w:r>
              <w:rPr>
                <w:sz w:val="24"/>
                <w:szCs w:val="24"/>
              </w:rPr>
              <w:t>1</w:t>
            </w:r>
          </w:p>
        </w:tc>
        <w:tc>
          <w:tcPr>
            <w:tcW w:w="1558" w:type="dxa"/>
            <w:tcBorders>
              <w:bottom w:val="nil"/>
            </w:tcBorders>
          </w:tcPr>
          <w:p w14:paraId="76599BCA" w14:textId="68E35584" w:rsidR="00110CDB" w:rsidRDefault="00110CDB" w:rsidP="00110CDB">
            <w:pPr>
              <w:rPr>
                <w:sz w:val="24"/>
                <w:szCs w:val="24"/>
              </w:rPr>
            </w:pPr>
            <w:r>
              <w:rPr>
                <w:sz w:val="24"/>
                <w:szCs w:val="24"/>
              </w:rPr>
              <w:t>Bolus (IV)</w:t>
            </w:r>
          </w:p>
        </w:tc>
        <w:tc>
          <w:tcPr>
            <w:tcW w:w="1559" w:type="dxa"/>
            <w:tcBorders>
              <w:bottom w:val="nil"/>
            </w:tcBorders>
          </w:tcPr>
          <w:p w14:paraId="66BA79D5" w14:textId="74549DB0" w:rsidR="00110CDB" w:rsidRDefault="00110CDB" w:rsidP="00110CDB">
            <w:pPr>
              <w:rPr>
                <w:sz w:val="24"/>
                <w:szCs w:val="24"/>
              </w:rPr>
            </w:pPr>
            <w:r>
              <w:rPr>
                <w:sz w:val="24"/>
                <w:szCs w:val="24"/>
              </w:rPr>
              <w:t>Soluble</w:t>
            </w:r>
          </w:p>
        </w:tc>
        <w:tc>
          <w:tcPr>
            <w:tcW w:w="2199" w:type="dxa"/>
            <w:tcBorders>
              <w:bottom w:val="nil"/>
            </w:tcBorders>
          </w:tcPr>
          <w:p w14:paraId="1AE0DE7C" w14:textId="04A5693D"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7A2D0C64" w14:textId="77777777" w:rsidTr="007053FA">
        <w:tc>
          <w:tcPr>
            <w:tcW w:w="2188" w:type="dxa"/>
            <w:tcBorders>
              <w:top w:val="nil"/>
              <w:bottom w:val="nil"/>
            </w:tcBorders>
          </w:tcPr>
          <w:p w14:paraId="079C77BE" w14:textId="00CC950A" w:rsidR="00110CDB" w:rsidRDefault="00110CDB" w:rsidP="00110CDB">
            <w:pPr>
              <w:rPr>
                <w:sz w:val="24"/>
                <w:szCs w:val="24"/>
              </w:rPr>
            </w:pPr>
            <w:r>
              <w:rPr>
                <w:sz w:val="24"/>
                <w:szCs w:val="24"/>
              </w:rPr>
              <w:t>9</w:t>
            </w:r>
          </w:p>
        </w:tc>
        <w:tc>
          <w:tcPr>
            <w:tcW w:w="1558" w:type="dxa"/>
            <w:tcBorders>
              <w:top w:val="nil"/>
              <w:bottom w:val="nil"/>
            </w:tcBorders>
          </w:tcPr>
          <w:p w14:paraId="18AA61E2" w14:textId="135ABA4F" w:rsidR="00110CDB" w:rsidRDefault="00110CDB" w:rsidP="00110CDB">
            <w:pPr>
              <w:rPr>
                <w:sz w:val="24"/>
                <w:szCs w:val="24"/>
              </w:rPr>
            </w:pPr>
            <w:r>
              <w:rPr>
                <w:sz w:val="24"/>
                <w:szCs w:val="24"/>
              </w:rPr>
              <w:t>-5</w:t>
            </w:r>
          </w:p>
        </w:tc>
        <w:tc>
          <w:tcPr>
            <w:tcW w:w="1558" w:type="dxa"/>
            <w:tcBorders>
              <w:top w:val="nil"/>
              <w:bottom w:val="nil"/>
            </w:tcBorders>
          </w:tcPr>
          <w:p w14:paraId="5B79D4DF" w14:textId="0054D5D9" w:rsidR="00110CDB" w:rsidRDefault="00110CDB" w:rsidP="00110CDB">
            <w:pPr>
              <w:rPr>
                <w:sz w:val="24"/>
                <w:szCs w:val="24"/>
              </w:rPr>
            </w:pPr>
            <w:r>
              <w:rPr>
                <w:sz w:val="24"/>
                <w:szCs w:val="24"/>
              </w:rPr>
              <w:t>1</w:t>
            </w:r>
          </w:p>
        </w:tc>
        <w:tc>
          <w:tcPr>
            <w:tcW w:w="1558" w:type="dxa"/>
            <w:tcBorders>
              <w:top w:val="nil"/>
              <w:bottom w:val="nil"/>
            </w:tcBorders>
          </w:tcPr>
          <w:p w14:paraId="6BE84A92" w14:textId="099AAC73" w:rsidR="00110CDB" w:rsidRDefault="00110CDB" w:rsidP="00110CDB">
            <w:pPr>
              <w:rPr>
                <w:sz w:val="24"/>
                <w:szCs w:val="24"/>
              </w:rPr>
            </w:pPr>
            <w:r>
              <w:rPr>
                <w:sz w:val="24"/>
                <w:szCs w:val="24"/>
              </w:rPr>
              <w:t>Bolus (IV)</w:t>
            </w:r>
          </w:p>
        </w:tc>
        <w:tc>
          <w:tcPr>
            <w:tcW w:w="1559" w:type="dxa"/>
            <w:tcBorders>
              <w:top w:val="nil"/>
              <w:bottom w:val="nil"/>
            </w:tcBorders>
          </w:tcPr>
          <w:p w14:paraId="4981C1E4" w14:textId="0DD65D18" w:rsidR="00110CDB" w:rsidRDefault="00110CDB" w:rsidP="00110CDB">
            <w:pPr>
              <w:rPr>
                <w:sz w:val="24"/>
                <w:szCs w:val="24"/>
              </w:rPr>
            </w:pPr>
            <w:r>
              <w:rPr>
                <w:sz w:val="24"/>
                <w:szCs w:val="24"/>
              </w:rPr>
              <w:t>Soluble</w:t>
            </w:r>
          </w:p>
        </w:tc>
        <w:tc>
          <w:tcPr>
            <w:tcW w:w="2199" w:type="dxa"/>
            <w:tcBorders>
              <w:top w:val="nil"/>
              <w:bottom w:val="nil"/>
            </w:tcBorders>
          </w:tcPr>
          <w:p w14:paraId="11F8359A" w14:textId="4AEA1051"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5E447E76" w14:textId="77777777" w:rsidTr="00227937">
        <w:tc>
          <w:tcPr>
            <w:tcW w:w="2188" w:type="dxa"/>
            <w:tcBorders>
              <w:top w:val="nil"/>
            </w:tcBorders>
          </w:tcPr>
          <w:p w14:paraId="19E04219" w14:textId="732B5684" w:rsidR="00110CDB" w:rsidRDefault="00110CDB" w:rsidP="00110CDB">
            <w:pPr>
              <w:rPr>
                <w:sz w:val="24"/>
                <w:szCs w:val="24"/>
              </w:rPr>
            </w:pPr>
            <w:r>
              <w:rPr>
                <w:sz w:val="24"/>
                <w:szCs w:val="24"/>
              </w:rPr>
              <w:t>10</w:t>
            </w:r>
          </w:p>
        </w:tc>
        <w:tc>
          <w:tcPr>
            <w:tcW w:w="1558" w:type="dxa"/>
            <w:tcBorders>
              <w:top w:val="nil"/>
            </w:tcBorders>
          </w:tcPr>
          <w:p w14:paraId="4B5483C9" w14:textId="2263E58D" w:rsidR="00110CDB" w:rsidRDefault="00110CDB" w:rsidP="00110CDB">
            <w:pPr>
              <w:rPr>
                <w:sz w:val="24"/>
                <w:szCs w:val="24"/>
              </w:rPr>
            </w:pPr>
            <w:r>
              <w:rPr>
                <w:sz w:val="24"/>
                <w:szCs w:val="24"/>
              </w:rPr>
              <w:t>0</w:t>
            </w:r>
          </w:p>
        </w:tc>
        <w:tc>
          <w:tcPr>
            <w:tcW w:w="1558" w:type="dxa"/>
            <w:tcBorders>
              <w:top w:val="nil"/>
            </w:tcBorders>
          </w:tcPr>
          <w:p w14:paraId="04509389" w14:textId="7ECC47B7" w:rsidR="00110CDB" w:rsidRDefault="00110CDB" w:rsidP="00110CDB">
            <w:pPr>
              <w:rPr>
                <w:sz w:val="24"/>
                <w:szCs w:val="24"/>
              </w:rPr>
            </w:pPr>
            <w:r>
              <w:rPr>
                <w:sz w:val="24"/>
                <w:szCs w:val="24"/>
              </w:rPr>
              <w:t>1</w:t>
            </w:r>
          </w:p>
        </w:tc>
        <w:tc>
          <w:tcPr>
            <w:tcW w:w="1558" w:type="dxa"/>
            <w:tcBorders>
              <w:top w:val="nil"/>
            </w:tcBorders>
          </w:tcPr>
          <w:p w14:paraId="22389642" w14:textId="174F96DE" w:rsidR="00110CDB" w:rsidRDefault="00110CDB" w:rsidP="00110CDB">
            <w:pPr>
              <w:rPr>
                <w:sz w:val="24"/>
                <w:szCs w:val="24"/>
              </w:rPr>
            </w:pPr>
            <w:r>
              <w:rPr>
                <w:sz w:val="24"/>
                <w:szCs w:val="24"/>
              </w:rPr>
              <w:t>Bolus (IV)</w:t>
            </w:r>
          </w:p>
        </w:tc>
        <w:tc>
          <w:tcPr>
            <w:tcW w:w="1559" w:type="dxa"/>
            <w:tcBorders>
              <w:top w:val="nil"/>
            </w:tcBorders>
          </w:tcPr>
          <w:p w14:paraId="6FE93140" w14:textId="635B7479" w:rsidR="00110CDB" w:rsidRDefault="00110CDB" w:rsidP="00110CDB">
            <w:pPr>
              <w:rPr>
                <w:sz w:val="24"/>
                <w:szCs w:val="24"/>
              </w:rPr>
            </w:pPr>
            <w:r>
              <w:rPr>
                <w:sz w:val="24"/>
                <w:szCs w:val="24"/>
              </w:rPr>
              <w:t>Membrane</w:t>
            </w:r>
          </w:p>
        </w:tc>
        <w:tc>
          <w:tcPr>
            <w:tcW w:w="2199" w:type="dxa"/>
            <w:tcBorders>
              <w:top w:val="nil"/>
            </w:tcBorders>
          </w:tcPr>
          <w:p w14:paraId="601344D5" w14:textId="3B2F5A45"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2E62FA28" w14:textId="77777777" w:rsidTr="00E31B20">
        <w:tc>
          <w:tcPr>
            <w:tcW w:w="2188" w:type="dxa"/>
          </w:tcPr>
          <w:p w14:paraId="513FAF9E" w14:textId="75A703AE" w:rsidR="00110CDB" w:rsidRDefault="00110CDB" w:rsidP="00110CDB">
            <w:pPr>
              <w:rPr>
                <w:sz w:val="24"/>
                <w:szCs w:val="24"/>
              </w:rPr>
            </w:pPr>
            <w:r>
              <w:rPr>
                <w:sz w:val="24"/>
                <w:szCs w:val="24"/>
              </w:rPr>
              <w:t>11</w:t>
            </w:r>
          </w:p>
        </w:tc>
        <w:tc>
          <w:tcPr>
            <w:tcW w:w="1558" w:type="dxa"/>
          </w:tcPr>
          <w:p w14:paraId="1341167E" w14:textId="4F10A5C4" w:rsidR="00110CDB" w:rsidRDefault="00110CDB" w:rsidP="00110CDB">
            <w:pPr>
              <w:rPr>
                <w:sz w:val="24"/>
                <w:szCs w:val="24"/>
              </w:rPr>
            </w:pPr>
            <w:r>
              <w:rPr>
                <w:sz w:val="24"/>
                <w:szCs w:val="24"/>
              </w:rPr>
              <w:t>+5</w:t>
            </w:r>
          </w:p>
        </w:tc>
        <w:tc>
          <w:tcPr>
            <w:tcW w:w="1558" w:type="dxa"/>
          </w:tcPr>
          <w:p w14:paraId="4308AE4C" w14:textId="506DC92A" w:rsidR="00110CDB" w:rsidRDefault="00110CDB" w:rsidP="00110CDB">
            <w:pPr>
              <w:rPr>
                <w:sz w:val="24"/>
                <w:szCs w:val="24"/>
              </w:rPr>
            </w:pPr>
            <w:r>
              <w:rPr>
                <w:sz w:val="24"/>
                <w:szCs w:val="24"/>
              </w:rPr>
              <w:t>1</w:t>
            </w:r>
          </w:p>
        </w:tc>
        <w:tc>
          <w:tcPr>
            <w:tcW w:w="1558" w:type="dxa"/>
          </w:tcPr>
          <w:p w14:paraId="3F13813C" w14:textId="34BE10B0" w:rsidR="00110CDB" w:rsidRDefault="00110CDB" w:rsidP="00110CDB">
            <w:pPr>
              <w:rPr>
                <w:sz w:val="24"/>
                <w:szCs w:val="24"/>
              </w:rPr>
            </w:pPr>
            <w:r>
              <w:rPr>
                <w:sz w:val="24"/>
                <w:szCs w:val="24"/>
              </w:rPr>
              <w:t>Bolus (IV)</w:t>
            </w:r>
          </w:p>
        </w:tc>
        <w:tc>
          <w:tcPr>
            <w:tcW w:w="1559" w:type="dxa"/>
          </w:tcPr>
          <w:p w14:paraId="6A51BCA7" w14:textId="7A930DF8" w:rsidR="00110CDB" w:rsidRDefault="00110CDB" w:rsidP="00110CDB">
            <w:pPr>
              <w:rPr>
                <w:sz w:val="24"/>
                <w:szCs w:val="24"/>
              </w:rPr>
            </w:pPr>
            <w:r>
              <w:rPr>
                <w:sz w:val="24"/>
                <w:szCs w:val="24"/>
              </w:rPr>
              <w:t>Membrane</w:t>
            </w:r>
          </w:p>
        </w:tc>
        <w:tc>
          <w:tcPr>
            <w:tcW w:w="2199" w:type="dxa"/>
          </w:tcPr>
          <w:p w14:paraId="5CBF350C" w14:textId="746A91D5"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5371B3D9" w14:textId="77777777" w:rsidTr="00E31B20">
        <w:tc>
          <w:tcPr>
            <w:tcW w:w="2188" w:type="dxa"/>
          </w:tcPr>
          <w:p w14:paraId="2063C723" w14:textId="64327750" w:rsidR="00110CDB" w:rsidRDefault="00110CDB" w:rsidP="00110CDB">
            <w:pPr>
              <w:rPr>
                <w:sz w:val="24"/>
                <w:szCs w:val="24"/>
              </w:rPr>
            </w:pPr>
            <w:r>
              <w:rPr>
                <w:sz w:val="24"/>
                <w:szCs w:val="24"/>
              </w:rPr>
              <w:t>12</w:t>
            </w:r>
          </w:p>
        </w:tc>
        <w:tc>
          <w:tcPr>
            <w:tcW w:w="1558" w:type="dxa"/>
          </w:tcPr>
          <w:p w14:paraId="2EDB4E6D" w14:textId="366C2FA9" w:rsidR="00110CDB" w:rsidRDefault="00110CDB" w:rsidP="00110CDB">
            <w:pPr>
              <w:rPr>
                <w:sz w:val="24"/>
                <w:szCs w:val="24"/>
              </w:rPr>
            </w:pPr>
            <w:r>
              <w:rPr>
                <w:sz w:val="24"/>
                <w:szCs w:val="24"/>
              </w:rPr>
              <w:t>-5</w:t>
            </w:r>
          </w:p>
        </w:tc>
        <w:tc>
          <w:tcPr>
            <w:tcW w:w="1558" w:type="dxa"/>
          </w:tcPr>
          <w:p w14:paraId="2E5C74BB" w14:textId="762E6F51" w:rsidR="00110CDB" w:rsidRDefault="00110CDB" w:rsidP="00110CDB">
            <w:pPr>
              <w:rPr>
                <w:sz w:val="24"/>
                <w:szCs w:val="24"/>
              </w:rPr>
            </w:pPr>
            <w:r>
              <w:rPr>
                <w:sz w:val="24"/>
                <w:szCs w:val="24"/>
              </w:rPr>
              <w:t>1</w:t>
            </w:r>
          </w:p>
        </w:tc>
        <w:tc>
          <w:tcPr>
            <w:tcW w:w="1558" w:type="dxa"/>
          </w:tcPr>
          <w:p w14:paraId="2BF6E833" w14:textId="4A2CB32A" w:rsidR="00110CDB" w:rsidRDefault="00110CDB" w:rsidP="00110CDB">
            <w:pPr>
              <w:rPr>
                <w:sz w:val="24"/>
                <w:szCs w:val="24"/>
              </w:rPr>
            </w:pPr>
            <w:r>
              <w:rPr>
                <w:sz w:val="24"/>
                <w:szCs w:val="24"/>
              </w:rPr>
              <w:t>Bolus (IV)</w:t>
            </w:r>
          </w:p>
        </w:tc>
        <w:tc>
          <w:tcPr>
            <w:tcW w:w="1559" w:type="dxa"/>
          </w:tcPr>
          <w:p w14:paraId="3A36C432" w14:textId="2FE21E50" w:rsidR="00110CDB" w:rsidRDefault="00110CDB" w:rsidP="00110CDB">
            <w:pPr>
              <w:rPr>
                <w:sz w:val="24"/>
                <w:szCs w:val="24"/>
              </w:rPr>
            </w:pPr>
            <w:r>
              <w:rPr>
                <w:sz w:val="24"/>
                <w:szCs w:val="24"/>
              </w:rPr>
              <w:t>Membrane</w:t>
            </w:r>
          </w:p>
        </w:tc>
        <w:tc>
          <w:tcPr>
            <w:tcW w:w="2199" w:type="dxa"/>
          </w:tcPr>
          <w:p w14:paraId="62117992" w14:textId="69D2D514"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64434B03" w14:textId="77777777" w:rsidTr="00E31B20">
        <w:tc>
          <w:tcPr>
            <w:tcW w:w="2188" w:type="dxa"/>
          </w:tcPr>
          <w:p w14:paraId="4B48D6C9" w14:textId="5E7B0276" w:rsidR="00110CDB" w:rsidRDefault="00110CDB" w:rsidP="00110CDB">
            <w:pPr>
              <w:rPr>
                <w:sz w:val="24"/>
                <w:szCs w:val="24"/>
              </w:rPr>
            </w:pPr>
            <w:r>
              <w:rPr>
                <w:sz w:val="24"/>
                <w:szCs w:val="24"/>
              </w:rPr>
              <w:t>13</w:t>
            </w:r>
          </w:p>
        </w:tc>
        <w:tc>
          <w:tcPr>
            <w:tcW w:w="1558" w:type="dxa"/>
          </w:tcPr>
          <w:p w14:paraId="4464CC37" w14:textId="6982C2EE" w:rsidR="00110CDB" w:rsidRDefault="00110CDB" w:rsidP="00110CDB">
            <w:pPr>
              <w:rPr>
                <w:sz w:val="24"/>
                <w:szCs w:val="24"/>
              </w:rPr>
            </w:pPr>
            <w:r>
              <w:rPr>
                <w:sz w:val="24"/>
                <w:szCs w:val="24"/>
              </w:rPr>
              <w:t>0</w:t>
            </w:r>
          </w:p>
        </w:tc>
        <w:tc>
          <w:tcPr>
            <w:tcW w:w="1558" w:type="dxa"/>
          </w:tcPr>
          <w:p w14:paraId="69FB22BC" w14:textId="70CB9CEF" w:rsidR="00110CDB" w:rsidRDefault="00110CDB" w:rsidP="00110CDB">
            <w:pPr>
              <w:rPr>
                <w:sz w:val="24"/>
                <w:szCs w:val="24"/>
              </w:rPr>
            </w:pPr>
            <w:r>
              <w:rPr>
                <w:sz w:val="24"/>
                <w:szCs w:val="24"/>
              </w:rPr>
              <w:t>10</w:t>
            </w:r>
          </w:p>
        </w:tc>
        <w:tc>
          <w:tcPr>
            <w:tcW w:w="1558" w:type="dxa"/>
          </w:tcPr>
          <w:p w14:paraId="62706E72" w14:textId="4F375601" w:rsidR="00110CDB" w:rsidRDefault="00110CDB" w:rsidP="00110CDB">
            <w:pPr>
              <w:rPr>
                <w:sz w:val="24"/>
                <w:szCs w:val="24"/>
              </w:rPr>
            </w:pPr>
            <w:r>
              <w:rPr>
                <w:sz w:val="24"/>
                <w:szCs w:val="24"/>
              </w:rPr>
              <w:t>Bolus (IV)</w:t>
            </w:r>
          </w:p>
        </w:tc>
        <w:tc>
          <w:tcPr>
            <w:tcW w:w="1559" w:type="dxa"/>
          </w:tcPr>
          <w:p w14:paraId="0E49F7B0" w14:textId="18EB4A7E" w:rsidR="00110CDB" w:rsidRDefault="00110CDB" w:rsidP="00110CDB">
            <w:pPr>
              <w:rPr>
                <w:sz w:val="24"/>
                <w:szCs w:val="24"/>
              </w:rPr>
            </w:pPr>
            <w:r>
              <w:rPr>
                <w:sz w:val="24"/>
                <w:szCs w:val="24"/>
              </w:rPr>
              <w:t>Soluble</w:t>
            </w:r>
          </w:p>
        </w:tc>
        <w:tc>
          <w:tcPr>
            <w:tcW w:w="2199" w:type="dxa"/>
          </w:tcPr>
          <w:p w14:paraId="46AFE079" w14:textId="77CC5630"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3B8FBB69" w14:textId="77777777" w:rsidTr="00E31B20">
        <w:tc>
          <w:tcPr>
            <w:tcW w:w="2188" w:type="dxa"/>
          </w:tcPr>
          <w:p w14:paraId="30E939B2" w14:textId="06BE199E" w:rsidR="00110CDB" w:rsidRDefault="00110CDB" w:rsidP="00110CDB">
            <w:pPr>
              <w:rPr>
                <w:sz w:val="24"/>
                <w:szCs w:val="24"/>
              </w:rPr>
            </w:pPr>
            <w:r>
              <w:rPr>
                <w:sz w:val="24"/>
                <w:szCs w:val="24"/>
              </w:rPr>
              <w:t>14</w:t>
            </w:r>
          </w:p>
        </w:tc>
        <w:tc>
          <w:tcPr>
            <w:tcW w:w="1558" w:type="dxa"/>
          </w:tcPr>
          <w:p w14:paraId="7E572087" w14:textId="6D1D73DE" w:rsidR="00110CDB" w:rsidRDefault="00110CDB" w:rsidP="00110CDB">
            <w:pPr>
              <w:rPr>
                <w:sz w:val="24"/>
                <w:szCs w:val="24"/>
              </w:rPr>
            </w:pPr>
            <w:r>
              <w:rPr>
                <w:sz w:val="24"/>
                <w:szCs w:val="24"/>
              </w:rPr>
              <w:t>+5</w:t>
            </w:r>
          </w:p>
        </w:tc>
        <w:tc>
          <w:tcPr>
            <w:tcW w:w="1558" w:type="dxa"/>
          </w:tcPr>
          <w:p w14:paraId="6F87C417" w14:textId="4E506E0A" w:rsidR="00110CDB" w:rsidRDefault="00110CDB" w:rsidP="00110CDB">
            <w:pPr>
              <w:rPr>
                <w:sz w:val="24"/>
                <w:szCs w:val="24"/>
              </w:rPr>
            </w:pPr>
            <w:r>
              <w:rPr>
                <w:sz w:val="24"/>
                <w:szCs w:val="24"/>
              </w:rPr>
              <w:t>10</w:t>
            </w:r>
          </w:p>
        </w:tc>
        <w:tc>
          <w:tcPr>
            <w:tcW w:w="1558" w:type="dxa"/>
          </w:tcPr>
          <w:p w14:paraId="467A99AC" w14:textId="0DAD97E1" w:rsidR="00110CDB" w:rsidRDefault="00110CDB" w:rsidP="00110CDB">
            <w:pPr>
              <w:rPr>
                <w:sz w:val="24"/>
                <w:szCs w:val="24"/>
              </w:rPr>
            </w:pPr>
            <w:r>
              <w:rPr>
                <w:sz w:val="24"/>
                <w:szCs w:val="24"/>
              </w:rPr>
              <w:t>Bolus (IV)</w:t>
            </w:r>
          </w:p>
        </w:tc>
        <w:tc>
          <w:tcPr>
            <w:tcW w:w="1559" w:type="dxa"/>
          </w:tcPr>
          <w:p w14:paraId="686623F0" w14:textId="57A85486" w:rsidR="00110CDB" w:rsidRDefault="00110CDB" w:rsidP="00110CDB">
            <w:pPr>
              <w:rPr>
                <w:sz w:val="24"/>
                <w:szCs w:val="24"/>
              </w:rPr>
            </w:pPr>
            <w:r>
              <w:rPr>
                <w:sz w:val="24"/>
                <w:szCs w:val="24"/>
              </w:rPr>
              <w:t>Soluble</w:t>
            </w:r>
          </w:p>
        </w:tc>
        <w:tc>
          <w:tcPr>
            <w:tcW w:w="2199" w:type="dxa"/>
          </w:tcPr>
          <w:p w14:paraId="317DA0D4" w14:textId="023C3FF5"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6D26944E" w14:textId="77777777" w:rsidTr="00E31B20">
        <w:tc>
          <w:tcPr>
            <w:tcW w:w="2188" w:type="dxa"/>
          </w:tcPr>
          <w:p w14:paraId="1C4F57E9" w14:textId="38EF80B8" w:rsidR="00110CDB" w:rsidRDefault="00110CDB" w:rsidP="00110CDB">
            <w:pPr>
              <w:rPr>
                <w:sz w:val="24"/>
                <w:szCs w:val="24"/>
              </w:rPr>
            </w:pPr>
            <w:r>
              <w:rPr>
                <w:sz w:val="24"/>
                <w:szCs w:val="24"/>
              </w:rPr>
              <w:t>15</w:t>
            </w:r>
          </w:p>
        </w:tc>
        <w:tc>
          <w:tcPr>
            <w:tcW w:w="1558" w:type="dxa"/>
          </w:tcPr>
          <w:p w14:paraId="2AEC4975" w14:textId="6C966966" w:rsidR="00110CDB" w:rsidRDefault="00110CDB" w:rsidP="00110CDB">
            <w:pPr>
              <w:rPr>
                <w:sz w:val="24"/>
                <w:szCs w:val="24"/>
              </w:rPr>
            </w:pPr>
            <w:r>
              <w:rPr>
                <w:sz w:val="24"/>
                <w:szCs w:val="24"/>
              </w:rPr>
              <w:t>-5</w:t>
            </w:r>
          </w:p>
        </w:tc>
        <w:tc>
          <w:tcPr>
            <w:tcW w:w="1558" w:type="dxa"/>
          </w:tcPr>
          <w:p w14:paraId="45CACFBE" w14:textId="7E9A6127" w:rsidR="00110CDB" w:rsidRDefault="00110CDB" w:rsidP="00110CDB">
            <w:pPr>
              <w:rPr>
                <w:sz w:val="24"/>
                <w:szCs w:val="24"/>
              </w:rPr>
            </w:pPr>
            <w:r>
              <w:rPr>
                <w:sz w:val="24"/>
                <w:szCs w:val="24"/>
              </w:rPr>
              <w:t>10</w:t>
            </w:r>
          </w:p>
        </w:tc>
        <w:tc>
          <w:tcPr>
            <w:tcW w:w="1558" w:type="dxa"/>
          </w:tcPr>
          <w:p w14:paraId="10907562" w14:textId="4C634534" w:rsidR="00110CDB" w:rsidRDefault="00110CDB" w:rsidP="00110CDB">
            <w:pPr>
              <w:rPr>
                <w:sz w:val="24"/>
                <w:szCs w:val="24"/>
              </w:rPr>
            </w:pPr>
            <w:r>
              <w:rPr>
                <w:sz w:val="24"/>
                <w:szCs w:val="24"/>
              </w:rPr>
              <w:t>Bolus (IV)</w:t>
            </w:r>
          </w:p>
        </w:tc>
        <w:tc>
          <w:tcPr>
            <w:tcW w:w="1559" w:type="dxa"/>
          </w:tcPr>
          <w:p w14:paraId="10F3DD69" w14:textId="1762B0DD" w:rsidR="00110CDB" w:rsidRDefault="00110CDB" w:rsidP="00110CDB">
            <w:pPr>
              <w:rPr>
                <w:sz w:val="24"/>
                <w:szCs w:val="24"/>
              </w:rPr>
            </w:pPr>
            <w:r>
              <w:rPr>
                <w:sz w:val="24"/>
                <w:szCs w:val="24"/>
              </w:rPr>
              <w:t>Soluble</w:t>
            </w:r>
          </w:p>
        </w:tc>
        <w:tc>
          <w:tcPr>
            <w:tcW w:w="2199" w:type="dxa"/>
          </w:tcPr>
          <w:p w14:paraId="7681D072" w14:textId="0E713B6E"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3105C444" w14:textId="77777777" w:rsidTr="00E31B20">
        <w:tc>
          <w:tcPr>
            <w:tcW w:w="2188" w:type="dxa"/>
          </w:tcPr>
          <w:p w14:paraId="6C199667" w14:textId="0A80123B" w:rsidR="00110CDB" w:rsidRDefault="00110CDB" w:rsidP="00110CDB">
            <w:pPr>
              <w:rPr>
                <w:sz w:val="24"/>
                <w:szCs w:val="24"/>
              </w:rPr>
            </w:pPr>
            <w:r>
              <w:rPr>
                <w:sz w:val="24"/>
                <w:szCs w:val="24"/>
              </w:rPr>
              <w:t>16</w:t>
            </w:r>
          </w:p>
        </w:tc>
        <w:tc>
          <w:tcPr>
            <w:tcW w:w="1558" w:type="dxa"/>
          </w:tcPr>
          <w:p w14:paraId="2CABE48E" w14:textId="1FD58313" w:rsidR="00110CDB" w:rsidRDefault="00110CDB" w:rsidP="00110CDB">
            <w:pPr>
              <w:rPr>
                <w:sz w:val="24"/>
                <w:szCs w:val="24"/>
              </w:rPr>
            </w:pPr>
            <w:r>
              <w:rPr>
                <w:sz w:val="24"/>
                <w:szCs w:val="24"/>
              </w:rPr>
              <w:t>0</w:t>
            </w:r>
          </w:p>
        </w:tc>
        <w:tc>
          <w:tcPr>
            <w:tcW w:w="1558" w:type="dxa"/>
          </w:tcPr>
          <w:p w14:paraId="596BEE3B" w14:textId="038E081D" w:rsidR="00110CDB" w:rsidRDefault="00110CDB" w:rsidP="00110CDB">
            <w:pPr>
              <w:rPr>
                <w:sz w:val="24"/>
                <w:szCs w:val="24"/>
              </w:rPr>
            </w:pPr>
            <w:r>
              <w:rPr>
                <w:sz w:val="24"/>
                <w:szCs w:val="24"/>
              </w:rPr>
              <w:t>10</w:t>
            </w:r>
          </w:p>
        </w:tc>
        <w:tc>
          <w:tcPr>
            <w:tcW w:w="1558" w:type="dxa"/>
          </w:tcPr>
          <w:p w14:paraId="1C9F34B0" w14:textId="1F568A36" w:rsidR="00110CDB" w:rsidRDefault="00110CDB" w:rsidP="00110CDB">
            <w:pPr>
              <w:rPr>
                <w:sz w:val="24"/>
                <w:szCs w:val="24"/>
              </w:rPr>
            </w:pPr>
            <w:r>
              <w:rPr>
                <w:sz w:val="24"/>
                <w:szCs w:val="24"/>
              </w:rPr>
              <w:t>Bolus (IV)</w:t>
            </w:r>
          </w:p>
        </w:tc>
        <w:tc>
          <w:tcPr>
            <w:tcW w:w="1559" w:type="dxa"/>
          </w:tcPr>
          <w:p w14:paraId="22B502F4" w14:textId="5600ED77" w:rsidR="00110CDB" w:rsidRDefault="00110CDB" w:rsidP="00110CDB">
            <w:pPr>
              <w:rPr>
                <w:sz w:val="24"/>
                <w:szCs w:val="24"/>
              </w:rPr>
            </w:pPr>
            <w:r>
              <w:rPr>
                <w:sz w:val="24"/>
                <w:szCs w:val="24"/>
              </w:rPr>
              <w:t>Membrane</w:t>
            </w:r>
          </w:p>
        </w:tc>
        <w:tc>
          <w:tcPr>
            <w:tcW w:w="2199" w:type="dxa"/>
          </w:tcPr>
          <w:p w14:paraId="153F1B44" w14:textId="3FEB4C0E"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74D6D876" w14:textId="77777777" w:rsidTr="00E31B20">
        <w:tc>
          <w:tcPr>
            <w:tcW w:w="2188" w:type="dxa"/>
          </w:tcPr>
          <w:p w14:paraId="70A914A5" w14:textId="4C9505FC" w:rsidR="00110CDB" w:rsidRDefault="00110CDB" w:rsidP="00110CDB">
            <w:pPr>
              <w:rPr>
                <w:sz w:val="24"/>
                <w:szCs w:val="24"/>
              </w:rPr>
            </w:pPr>
            <w:r>
              <w:rPr>
                <w:sz w:val="24"/>
                <w:szCs w:val="24"/>
              </w:rPr>
              <w:t>17</w:t>
            </w:r>
          </w:p>
        </w:tc>
        <w:tc>
          <w:tcPr>
            <w:tcW w:w="1558" w:type="dxa"/>
          </w:tcPr>
          <w:p w14:paraId="2189EE43" w14:textId="58B22E3B" w:rsidR="00110CDB" w:rsidRDefault="00110CDB" w:rsidP="00110CDB">
            <w:pPr>
              <w:rPr>
                <w:sz w:val="24"/>
                <w:szCs w:val="24"/>
              </w:rPr>
            </w:pPr>
            <w:r>
              <w:rPr>
                <w:sz w:val="24"/>
                <w:szCs w:val="24"/>
              </w:rPr>
              <w:t>+5</w:t>
            </w:r>
          </w:p>
        </w:tc>
        <w:tc>
          <w:tcPr>
            <w:tcW w:w="1558" w:type="dxa"/>
          </w:tcPr>
          <w:p w14:paraId="43863E9B" w14:textId="7AD9E639" w:rsidR="00110CDB" w:rsidRDefault="00110CDB" w:rsidP="00110CDB">
            <w:pPr>
              <w:rPr>
                <w:sz w:val="24"/>
                <w:szCs w:val="24"/>
              </w:rPr>
            </w:pPr>
            <w:r>
              <w:rPr>
                <w:sz w:val="24"/>
                <w:szCs w:val="24"/>
              </w:rPr>
              <w:t>10</w:t>
            </w:r>
          </w:p>
        </w:tc>
        <w:tc>
          <w:tcPr>
            <w:tcW w:w="1558" w:type="dxa"/>
          </w:tcPr>
          <w:p w14:paraId="101C97FA" w14:textId="2F31368A" w:rsidR="00110CDB" w:rsidRDefault="00110CDB" w:rsidP="00110CDB">
            <w:pPr>
              <w:rPr>
                <w:sz w:val="24"/>
                <w:szCs w:val="24"/>
              </w:rPr>
            </w:pPr>
            <w:r>
              <w:rPr>
                <w:sz w:val="24"/>
                <w:szCs w:val="24"/>
              </w:rPr>
              <w:t>Bolus (IV)</w:t>
            </w:r>
          </w:p>
        </w:tc>
        <w:tc>
          <w:tcPr>
            <w:tcW w:w="1559" w:type="dxa"/>
          </w:tcPr>
          <w:p w14:paraId="33FF193A" w14:textId="0E0610C5" w:rsidR="00110CDB" w:rsidRDefault="00110CDB" w:rsidP="00110CDB">
            <w:pPr>
              <w:rPr>
                <w:sz w:val="24"/>
                <w:szCs w:val="24"/>
              </w:rPr>
            </w:pPr>
            <w:r>
              <w:rPr>
                <w:sz w:val="24"/>
                <w:szCs w:val="24"/>
              </w:rPr>
              <w:t>Membrane</w:t>
            </w:r>
          </w:p>
        </w:tc>
        <w:tc>
          <w:tcPr>
            <w:tcW w:w="2199" w:type="dxa"/>
          </w:tcPr>
          <w:p w14:paraId="5C77A3E1" w14:textId="431A039F"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110CDB" w:rsidRPr="00CC1E33" w14:paraId="0EA5FA22" w14:textId="77777777" w:rsidTr="00526698">
        <w:tc>
          <w:tcPr>
            <w:tcW w:w="2188" w:type="dxa"/>
            <w:tcBorders>
              <w:bottom w:val="single" w:sz="4" w:space="0" w:color="auto"/>
            </w:tcBorders>
          </w:tcPr>
          <w:p w14:paraId="5DF227B2" w14:textId="5F4DEB58" w:rsidR="00110CDB" w:rsidRDefault="00110CDB" w:rsidP="00110CDB">
            <w:pPr>
              <w:rPr>
                <w:sz w:val="24"/>
                <w:szCs w:val="24"/>
              </w:rPr>
            </w:pPr>
            <w:r>
              <w:rPr>
                <w:sz w:val="24"/>
                <w:szCs w:val="24"/>
              </w:rPr>
              <w:t>18</w:t>
            </w:r>
          </w:p>
        </w:tc>
        <w:tc>
          <w:tcPr>
            <w:tcW w:w="1558" w:type="dxa"/>
            <w:tcBorders>
              <w:bottom w:val="single" w:sz="4" w:space="0" w:color="auto"/>
            </w:tcBorders>
          </w:tcPr>
          <w:p w14:paraId="2DE9C8E2" w14:textId="3CD4D815" w:rsidR="00110CDB" w:rsidRDefault="00110CDB" w:rsidP="00110CDB">
            <w:pPr>
              <w:rPr>
                <w:sz w:val="24"/>
                <w:szCs w:val="24"/>
              </w:rPr>
            </w:pPr>
            <w:r>
              <w:rPr>
                <w:sz w:val="24"/>
                <w:szCs w:val="24"/>
              </w:rPr>
              <w:t>-5</w:t>
            </w:r>
          </w:p>
        </w:tc>
        <w:tc>
          <w:tcPr>
            <w:tcW w:w="1558" w:type="dxa"/>
            <w:tcBorders>
              <w:bottom w:val="single" w:sz="4" w:space="0" w:color="auto"/>
            </w:tcBorders>
          </w:tcPr>
          <w:p w14:paraId="7CCC4B2F" w14:textId="14620090" w:rsidR="00110CDB" w:rsidRDefault="00110CDB" w:rsidP="00110CDB">
            <w:pPr>
              <w:rPr>
                <w:sz w:val="24"/>
                <w:szCs w:val="24"/>
              </w:rPr>
            </w:pPr>
            <w:r>
              <w:rPr>
                <w:sz w:val="24"/>
                <w:szCs w:val="24"/>
              </w:rPr>
              <w:t>10</w:t>
            </w:r>
          </w:p>
        </w:tc>
        <w:tc>
          <w:tcPr>
            <w:tcW w:w="1558" w:type="dxa"/>
            <w:tcBorders>
              <w:bottom w:val="single" w:sz="4" w:space="0" w:color="auto"/>
            </w:tcBorders>
          </w:tcPr>
          <w:p w14:paraId="446D360C" w14:textId="5C220200" w:rsidR="00110CDB" w:rsidRDefault="00110CDB" w:rsidP="00110CDB">
            <w:pPr>
              <w:rPr>
                <w:sz w:val="24"/>
                <w:szCs w:val="24"/>
              </w:rPr>
            </w:pPr>
            <w:r>
              <w:rPr>
                <w:sz w:val="24"/>
                <w:szCs w:val="24"/>
              </w:rPr>
              <w:t>Bolus (IV)</w:t>
            </w:r>
          </w:p>
        </w:tc>
        <w:tc>
          <w:tcPr>
            <w:tcW w:w="1559" w:type="dxa"/>
            <w:tcBorders>
              <w:bottom w:val="single" w:sz="4" w:space="0" w:color="auto"/>
            </w:tcBorders>
          </w:tcPr>
          <w:p w14:paraId="2CBF3A76" w14:textId="1FB3A1DA" w:rsidR="00110CDB" w:rsidRDefault="00110CDB" w:rsidP="00110CDB">
            <w:pPr>
              <w:rPr>
                <w:sz w:val="24"/>
                <w:szCs w:val="24"/>
              </w:rPr>
            </w:pPr>
            <w:r>
              <w:rPr>
                <w:sz w:val="24"/>
                <w:szCs w:val="24"/>
              </w:rPr>
              <w:t>Membrane</w:t>
            </w:r>
          </w:p>
        </w:tc>
        <w:tc>
          <w:tcPr>
            <w:tcW w:w="2199" w:type="dxa"/>
            <w:tcBorders>
              <w:bottom w:val="single" w:sz="4" w:space="0" w:color="auto"/>
            </w:tcBorders>
          </w:tcPr>
          <w:p w14:paraId="3F327B03" w14:textId="0B0CEB02" w:rsidR="00110CDB" w:rsidRPr="00110CDB" w:rsidRDefault="00110CDB" w:rsidP="00110CDB">
            <w:pPr>
              <w:jc w:val="both"/>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max</m:t>
                    </m:r>
                  </m:sub>
                </m:sSub>
              </m:oMath>
            </m:oMathPara>
          </w:p>
        </w:tc>
      </w:tr>
      <w:tr w:rsidR="00227937" w:rsidRPr="00CC1E33" w14:paraId="7D38D4D1" w14:textId="77777777" w:rsidTr="00526698">
        <w:tc>
          <w:tcPr>
            <w:tcW w:w="2188" w:type="dxa"/>
            <w:tcBorders>
              <w:top w:val="single" w:sz="4" w:space="0" w:color="auto"/>
              <w:bottom w:val="nil"/>
            </w:tcBorders>
          </w:tcPr>
          <w:p w14:paraId="52CB535F" w14:textId="4E03D980" w:rsidR="00227937" w:rsidRDefault="00227937" w:rsidP="00227937">
            <w:pPr>
              <w:rPr>
                <w:sz w:val="24"/>
                <w:szCs w:val="24"/>
              </w:rPr>
            </w:pPr>
            <w:r>
              <w:rPr>
                <w:sz w:val="24"/>
                <w:szCs w:val="24"/>
              </w:rPr>
              <w:t>19</w:t>
            </w:r>
          </w:p>
        </w:tc>
        <w:tc>
          <w:tcPr>
            <w:tcW w:w="1558" w:type="dxa"/>
            <w:tcBorders>
              <w:top w:val="single" w:sz="4" w:space="0" w:color="auto"/>
              <w:bottom w:val="nil"/>
            </w:tcBorders>
          </w:tcPr>
          <w:p w14:paraId="5D4A352F" w14:textId="609FB965" w:rsidR="00227937" w:rsidRDefault="00227937" w:rsidP="00227937">
            <w:pPr>
              <w:rPr>
                <w:sz w:val="24"/>
                <w:szCs w:val="24"/>
              </w:rPr>
            </w:pPr>
            <w:r>
              <w:rPr>
                <w:sz w:val="24"/>
                <w:szCs w:val="24"/>
              </w:rPr>
              <w:t>0</w:t>
            </w:r>
          </w:p>
        </w:tc>
        <w:tc>
          <w:tcPr>
            <w:tcW w:w="1558" w:type="dxa"/>
            <w:tcBorders>
              <w:top w:val="single" w:sz="4" w:space="0" w:color="auto"/>
              <w:bottom w:val="nil"/>
            </w:tcBorders>
          </w:tcPr>
          <w:p w14:paraId="02E72578" w14:textId="6A984A1B" w:rsidR="00227937" w:rsidRDefault="00227937" w:rsidP="00227937">
            <w:pPr>
              <w:rPr>
                <w:sz w:val="24"/>
                <w:szCs w:val="24"/>
              </w:rPr>
            </w:pPr>
            <w:r>
              <w:rPr>
                <w:sz w:val="24"/>
                <w:szCs w:val="24"/>
              </w:rPr>
              <w:t>0.1</w:t>
            </w:r>
          </w:p>
        </w:tc>
        <w:tc>
          <w:tcPr>
            <w:tcW w:w="1558" w:type="dxa"/>
            <w:tcBorders>
              <w:top w:val="single" w:sz="4" w:space="0" w:color="auto"/>
              <w:bottom w:val="nil"/>
            </w:tcBorders>
          </w:tcPr>
          <w:p w14:paraId="78951474" w14:textId="2DB73175" w:rsidR="00227937" w:rsidRDefault="00CB2CDC" w:rsidP="00227937">
            <w:pPr>
              <w:rPr>
                <w:sz w:val="24"/>
                <w:szCs w:val="24"/>
              </w:rPr>
            </w:pPr>
            <w:r>
              <w:rPr>
                <w:sz w:val="24"/>
                <w:szCs w:val="24"/>
              </w:rPr>
              <w:t>Q2W</w:t>
            </w:r>
            <w:r w:rsidR="00227937">
              <w:rPr>
                <w:sz w:val="24"/>
                <w:szCs w:val="24"/>
              </w:rPr>
              <w:t xml:space="preserve"> (IV)</w:t>
            </w:r>
          </w:p>
        </w:tc>
        <w:tc>
          <w:tcPr>
            <w:tcW w:w="1559" w:type="dxa"/>
            <w:tcBorders>
              <w:top w:val="single" w:sz="4" w:space="0" w:color="auto"/>
              <w:bottom w:val="nil"/>
            </w:tcBorders>
          </w:tcPr>
          <w:p w14:paraId="0A3E9843" w14:textId="4A9484CB" w:rsidR="00227937" w:rsidRDefault="00227937" w:rsidP="00227937">
            <w:pPr>
              <w:rPr>
                <w:sz w:val="24"/>
                <w:szCs w:val="24"/>
              </w:rPr>
            </w:pPr>
            <w:r>
              <w:rPr>
                <w:sz w:val="24"/>
                <w:szCs w:val="24"/>
              </w:rPr>
              <w:t>Soluble</w:t>
            </w:r>
          </w:p>
        </w:tc>
        <w:tc>
          <w:tcPr>
            <w:tcW w:w="2199" w:type="dxa"/>
            <w:tcBorders>
              <w:top w:val="single" w:sz="4" w:space="0" w:color="auto"/>
              <w:bottom w:val="nil"/>
            </w:tcBorders>
          </w:tcPr>
          <w:p w14:paraId="1E63FEF6" w14:textId="2F1D43AA" w:rsidR="00227937" w:rsidRPr="00A15C4E" w:rsidRDefault="00110CDB" w:rsidP="00227937">
            <w:pPr>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last</m:t>
                    </m:r>
                  </m:sub>
                </m:sSub>
              </m:oMath>
            </m:oMathPara>
          </w:p>
        </w:tc>
      </w:tr>
      <w:tr w:rsidR="00A15C4E" w:rsidRPr="00CC1E33" w14:paraId="63ED2377" w14:textId="77777777" w:rsidTr="00E31B20">
        <w:tc>
          <w:tcPr>
            <w:tcW w:w="2188" w:type="dxa"/>
          </w:tcPr>
          <w:p w14:paraId="5543CEA4" w14:textId="076237BF" w:rsidR="00A15C4E" w:rsidRDefault="00A15C4E" w:rsidP="00A15C4E">
            <w:pPr>
              <w:rPr>
                <w:sz w:val="24"/>
                <w:szCs w:val="24"/>
              </w:rPr>
            </w:pPr>
            <w:r>
              <w:rPr>
                <w:sz w:val="24"/>
                <w:szCs w:val="24"/>
              </w:rPr>
              <w:t>2</w:t>
            </w:r>
            <w:r w:rsidR="00E967E5">
              <w:rPr>
                <w:sz w:val="24"/>
                <w:szCs w:val="24"/>
              </w:rPr>
              <w:t>0</w:t>
            </w:r>
          </w:p>
        </w:tc>
        <w:tc>
          <w:tcPr>
            <w:tcW w:w="1558" w:type="dxa"/>
          </w:tcPr>
          <w:p w14:paraId="255B5986" w14:textId="3462DA8F" w:rsidR="00A15C4E" w:rsidRDefault="00A15C4E" w:rsidP="00A15C4E">
            <w:pPr>
              <w:rPr>
                <w:sz w:val="24"/>
                <w:szCs w:val="24"/>
              </w:rPr>
            </w:pPr>
            <w:r>
              <w:rPr>
                <w:sz w:val="24"/>
                <w:szCs w:val="24"/>
              </w:rPr>
              <w:t>0</w:t>
            </w:r>
          </w:p>
        </w:tc>
        <w:tc>
          <w:tcPr>
            <w:tcW w:w="1558" w:type="dxa"/>
          </w:tcPr>
          <w:p w14:paraId="3C862B64" w14:textId="4F676A0D" w:rsidR="00A15C4E" w:rsidRDefault="00A15C4E" w:rsidP="00A15C4E">
            <w:pPr>
              <w:rPr>
                <w:sz w:val="24"/>
                <w:szCs w:val="24"/>
              </w:rPr>
            </w:pPr>
            <w:r>
              <w:rPr>
                <w:sz w:val="24"/>
                <w:szCs w:val="24"/>
              </w:rPr>
              <w:t>1</w:t>
            </w:r>
          </w:p>
        </w:tc>
        <w:tc>
          <w:tcPr>
            <w:tcW w:w="1558" w:type="dxa"/>
          </w:tcPr>
          <w:p w14:paraId="023B80A3" w14:textId="4BCD2B64" w:rsidR="00A15C4E" w:rsidRDefault="00A15C4E" w:rsidP="00A15C4E">
            <w:pPr>
              <w:rPr>
                <w:sz w:val="24"/>
                <w:szCs w:val="24"/>
              </w:rPr>
            </w:pPr>
            <w:r>
              <w:rPr>
                <w:sz w:val="24"/>
                <w:szCs w:val="24"/>
              </w:rPr>
              <w:t>Q2W (IV)</w:t>
            </w:r>
          </w:p>
        </w:tc>
        <w:tc>
          <w:tcPr>
            <w:tcW w:w="1559" w:type="dxa"/>
          </w:tcPr>
          <w:p w14:paraId="3FC29082" w14:textId="6CF0716F" w:rsidR="00A15C4E" w:rsidRDefault="00A15C4E" w:rsidP="00A15C4E">
            <w:pPr>
              <w:rPr>
                <w:sz w:val="24"/>
                <w:szCs w:val="24"/>
              </w:rPr>
            </w:pPr>
            <w:r>
              <w:rPr>
                <w:sz w:val="24"/>
                <w:szCs w:val="24"/>
              </w:rPr>
              <w:t>Soluble</w:t>
            </w:r>
          </w:p>
        </w:tc>
        <w:tc>
          <w:tcPr>
            <w:tcW w:w="2199" w:type="dxa"/>
          </w:tcPr>
          <w:p w14:paraId="262E93E9" w14:textId="42C0E1DE" w:rsidR="00A15C4E" w:rsidRPr="00A15C4E" w:rsidRDefault="00A15C4E" w:rsidP="00A15C4E">
            <w:pPr>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last</m:t>
                    </m:r>
                  </m:sub>
                </m:sSub>
              </m:oMath>
            </m:oMathPara>
          </w:p>
        </w:tc>
      </w:tr>
      <w:tr w:rsidR="00A15C4E" w:rsidRPr="00CC1E33" w14:paraId="716DE778" w14:textId="77777777" w:rsidTr="00E31B20">
        <w:tc>
          <w:tcPr>
            <w:tcW w:w="2188" w:type="dxa"/>
          </w:tcPr>
          <w:p w14:paraId="7742BBCD" w14:textId="0AC29657" w:rsidR="00A15C4E" w:rsidRDefault="00E967E5" w:rsidP="00A15C4E">
            <w:pPr>
              <w:rPr>
                <w:sz w:val="24"/>
                <w:szCs w:val="24"/>
              </w:rPr>
            </w:pPr>
            <w:r>
              <w:rPr>
                <w:sz w:val="24"/>
                <w:szCs w:val="24"/>
              </w:rPr>
              <w:t>21</w:t>
            </w:r>
          </w:p>
        </w:tc>
        <w:tc>
          <w:tcPr>
            <w:tcW w:w="1558" w:type="dxa"/>
          </w:tcPr>
          <w:p w14:paraId="562BB10A" w14:textId="56EF0172" w:rsidR="00A15C4E" w:rsidRDefault="00A15C4E" w:rsidP="00A15C4E">
            <w:pPr>
              <w:rPr>
                <w:sz w:val="24"/>
                <w:szCs w:val="24"/>
              </w:rPr>
            </w:pPr>
            <w:r>
              <w:rPr>
                <w:sz w:val="24"/>
                <w:szCs w:val="24"/>
              </w:rPr>
              <w:t>0</w:t>
            </w:r>
          </w:p>
        </w:tc>
        <w:tc>
          <w:tcPr>
            <w:tcW w:w="1558" w:type="dxa"/>
          </w:tcPr>
          <w:p w14:paraId="6533B95A" w14:textId="45F55B7D" w:rsidR="00A15C4E" w:rsidRDefault="00A15C4E" w:rsidP="00A15C4E">
            <w:pPr>
              <w:rPr>
                <w:sz w:val="24"/>
                <w:szCs w:val="24"/>
              </w:rPr>
            </w:pPr>
            <w:r>
              <w:rPr>
                <w:sz w:val="24"/>
                <w:szCs w:val="24"/>
              </w:rPr>
              <w:t>10</w:t>
            </w:r>
          </w:p>
        </w:tc>
        <w:tc>
          <w:tcPr>
            <w:tcW w:w="1558" w:type="dxa"/>
          </w:tcPr>
          <w:p w14:paraId="0C5AA10B" w14:textId="42872614" w:rsidR="00A15C4E" w:rsidRDefault="00A15C4E" w:rsidP="00A15C4E">
            <w:pPr>
              <w:rPr>
                <w:sz w:val="24"/>
                <w:szCs w:val="24"/>
              </w:rPr>
            </w:pPr>
            <w:r>
              <w:rPr>
                <w:sz w:val="24"/>
                <w:szCs w:val="24"/>
              </w:rPr>
              <w:t>Q2W (IV)</w:t>
            </w:r>
          </w:p>
        </w:tc>
        <w:tc>
          <w:tcPr>
            <w:tcW w:w="1559" w:type="dxa"/>
          </w:tcPr>
          <w:p w14:paraId="0BE0D354" w14:textId="0B27F9A9" w:rsidR="00A15C4E" w:rsidRDefault="00A15C4E" w:rsidP="00A15C4E">
            <w:pPr>
              <w:rPr>
                <w:sz w:val="24"/>
                <w:szCs w:val="24"/>
              </w:rPr>
            </w:pPr>
            <w:r>
              <w:rPr>
                <w:sz w:val="24"/>
                <w:szCs w:val="24"/>
              </w:rPr>
              <w:t>Soluble</w:t>
            </w:r>
          </w:p>
        </w:tc>
        <w:tc>
          <w:tcPr>
            <w:tcW w:w="2199" w:type="dxa"/>
          </w:tcPr>
          <w:p w14:paraId="4B17F70F" w14:textId="7F417A57" w:rsidR="00A15C4E" w:rsidRPr="00A15C4E" w:rsidRDefault="00A15C4E" w:rsidP="00A15C4E">
            <w:pPr>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last</m:t>
                    </m:r>
                  </m:sub>
                </m:sSub>
              </m:oMath>
            </m:oMathPara>
          </w:p>
        </w:tc>
      </w:tr>
      <w:tr w:rsidR="00A15C4E" w:rsidRPr="00CC1E33" w14:paraId="7643916F" w14:textId="77777777" w:rsidTr="00E31B20">
        <w:tc>
          <w:tcPr>
            <w:tcW w:w="2188" w:type="dxa"/>
          </w:tcPr>
          <w:p w14:paraId="2BEEDF9B" w14:textId="579175FA" w:rsidR="00A15C4E" w:rsidRDefault="00E967E5" w:rsidP="00A15C4E">
            <w:pPr>
              <w:rPr>
                <w:sz w:val="24"/>
                <w:szCs w:val="24"/>
              </w:rPr>
            </w:pPr>
            <w:r>
              <w:rPr>
                <w:sz w:val="24"/>
                <w:szCs w:val="24"/>
              </w:rPr>
              <w:t>22</w:t>
            </w:r>
          </w:p>
        </w:tc>
        <w:tc>
          <w:tcPr>
            <w:tcW w:w="1558" w:type="dxa"/>
          </w:tcPr>
          <w:p w14:paraId="06050385" w14:textId="1DA7B6C4" w:rsidR="00A15C4E" w:rsidRDefault="00A15C4E" w:rsidP="00A15C4E">
            <w:pPr>
              <w:rPr>
                <w:sz w:val="24"/>
                <w:szCs w:val="24"/>
              </w:rPr>
            </w:pPr>
            <w:r>
              <w:rPr>
                <w:sz w:val="24"/>
                <w:szCs w:val="24"/>
              </w:rPr>
              <w:t>0</w:t>
            </w:r>
          </w:p>
        </w:tc>
        <w:tc>
          <w:tcPr>
            <w:tcW w:w="1558" w:type="dxa"/>
          </w:tcPr>
          <w:p w14:paraId="0964C05D" w14:textId="4FA3BB58" w:rsidR="00A15C4E" w:rsidRDefault="00A15C4E" w:rsidP="00A15C4E">
            <w:pPr>
              <w:rPr>
                <w:sz w:val="24"/>
                <w:szCs w:val="24"/>
              </w:rPr>
            </w:pPr>
            <w:r>
              <w:rPr>
                <w:sz w:val="24"/>
                <w:szCs w:val="24"/>
              </w:rPr>
              <w:t>1</w:t>
            </w:r>
          </w:p>
        </w:tc>
        <w:tc>
          <w:tcPr>
            <w:tcW w:w="1558" w:type="dxa"/>
          </w:tcPr>
          <w:p w14:paraId="7934685A" w14:textId="22D64195" w:rsidR="00A15C4E" w:rsidRDefault="00A15C4E" w:rsidP="00A15C4E">
            <w:pPr>
              <w:rPr>
                <w:sz w:val="24"/>
                <w:szCs w:val="24"/>
              </w:rPr>
            </w:pPr>
            <w:r>
              <w:rPr>
                <w:sz w:val="24"/>
                <w:szCs w:val="24"/>
              </w:rPr>
              <w:t>Q2W (IV)</w:t>
            </w:r>
          </w:p>
        </w:tc>
        <w:tc>
          <w:tcPr>
            <w:tcW w:w="1559" w:type="dxa"/>
          </w:tcPr>
          <w:p w14:paraId="6A944A37" w14:textId="547FC96F" w:rsidR="00A15C4E" w:rsidRDefault="00A15C4E" w:rsidP="00A15C4E">
            <w:pPr>
              <w:rPr>
                <w:sz w:val="24"/>
                <w:szCs w:val="24"/>
              </w:rPr>
            </w:pPr>
            <w:r>
              <w:rPr>
                <w:sz w:val="24"/>
                <w:szCs w:val="24"/>
              </w:rPr>
              <w:t>Membrane</w:t>
            </w:r>
          </w:p>
        </w:tc>
        <w:tc>
          <w:tcPr>
            <w:tcW w:w="2199" w:type="dxa"/>
          </w:tcPr>
          <w:p w14:paraId="55F01431" w14:textId="1929DDAC" w:rsidR="00A15C4E" w:rsidRPr="00A15C4E" w:rsidRDefault="00A15C4E" w:rsidP="00A15C4E">
            <w:pPr>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last</m:t>
                    </m:r>
                  </m:sub>
                </m:sSub>
              </m:oMath>
            </m:oMathPara>
          </w:p>
        </w:tc>
      </w:tr>
      <w:tr w:rsidR="00A15C4E" w:rsidRPr="00CC1E33" w14:paraId="5B3FE306" w14:textId="77777777" w:rsidTr="00E31B20">
        <w:tc>
          <w:tcPr>
            <w:tcW w:w="2188" w:type="dxa"/>
          </w:tcPr>
          <w:p w14:paraId="04E44D51" w14:textId="03FB6EE9" w:rsidR="00A15C4E" w:rsidRDefault="00E967E5" w:rsidP="00A15C4E">
            <w:pPr>
              <w:rPr>
                <w:sz w:val="24"/>
                <w:szCs w:val="24"/>
              </w:rPr>
            </w:pPr>
            <w:r>
              <w:rPr>
                <w:sz w:val="24"/>
                <w:szCs w:val="24"/>
              </w:rPr>
              <w:t>23</w:t>
            </w:r>
          </w:p>
        </w:tc>
        <w:tc>
          <w:tcPr>
            <w:tcW w:w="1558" w:type="dxa"/>
          </w:tcPr>
          <w:p w14:paraId="4576C796" w14:textId="07E17DBE" w:rsidR="00A15C4E" w:rsidRDefault="00A15C4E" w:rsidP="00A15C4E">
            <w:pPr>
              <w:rPr>
                <w:sz w:val="24"/>
                <w:szCs w:val="24"/>
              </w:rPr>
            </w:pPr>
            <w:r>
              <w:rPr>
                <w:sz w:val="24"/>
                <w:szCs w:val="24"/>
              </w:rPr>
              <w:t>+5</w:t>
            </w:r>
          </w:p>
        </w:tc>
        <w:tc>
          <w:tcPr>
            <w:tcW w:w="1558" w:type="dxa"/>
          </w:tcPr>
          <w:p w14:paraId="78D390F1" w14:textId="168D0B1F" w:rsidR="00A15C4E" w:rsidRDefault="00A15C4E" w:rsidP="00A15C4E">
            <w:pPr>
              <w:rPr>
                <w:sz w:val="24"/>
                <w:szCs w:val="24"/>
              </w:rPr>
            </w:pPr>
            <w:r>
              <w:rPr>
                <w:sz w:val="24"/>
                <w:szCs w:val="24"/>
              </w:rPr>
              <w:t>1</w:t>
            </w:r>
          </w:p>
        </w:tc>
        <w:tc>
          <w:tcPr>
            <w:tcW w:w="1558" w:type="dxa"/>
          </w:tcPr>
          <w:p w14:paraId="676C6A61" w14:textId="2A0465E5" w:rsidR="00A15C4E" w:rsidRDefault="00A15C4E" w:rsidP="00A15C4E">
            <w:pPr>
              <w:rPr>
                <w:sz w:val="24"/>
                <w:szCs w:val="24"/>
              </w:rPr>
            </w:pPr>
            <w:r>
              <w:rPr>
                <w:sz w:val="24"/>
                <w:szCs w:val="24"/>
              </w:rPr>
              <w:t>Q2W (IV)</w:t>
            </w:r>
          </w:p>
        </w:tc>
        <w:tc>
          <w:tcPr>
            <w:tcW w:w="1559" w:type="dxa"/>
          </w:tcPr>
          <w:p w14:paraId="4539FCC1" w14:textId="4394B037" w:rsidR="00A15C4E" w:rsidRDefault="00A15C4E" w:rsidP="00A15C4E">
            <w:pPr>
              <w:rPr>
                <w:sz w:val="24"/>
                <w:szCs w:val="24"/>
              </w:rPr>
            </w:pPr>
            <w:r>
              <w:rPr>
                <w:sz w:val="24"/>
                <w:szCs w:val="24"/>
              </w:rPr>
              <w:t>Soluble</w:t>
            </w:r>
          </w:p>
        </w:tc>
        <w:tc>
          <w:tcPr>
            <w:tcW w:w="2199" w:type="dxa"/>
          </w:tcPr>
          <w:p w14:paraId="5CA25912" w14:textId="3CDB3583" w:rsidR="00A15C4E" w:rsidRPr="00A15C4E" w:rsidRDefault="00A15C4E" w:rsidP="00A15C4E">
            <w:pPr>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last</m:t>
                    </m:r>
                  </m:sub>
                </m:sSub>
              </m:oMath>
            </m:oMathPara>
          </w:p>
        </w:tc>
      </w:tr>
      <w:tr w:rsidR="00A15C4E" w:rsidRPr="00CC1E33" w14:paraId="76D38F51" w14:textId="77777777" w:rsidTr="00E31B20">
        <w:tc>
          <w:tcPr>
            <w:tcW w:w="2188" w:type="dxa"/>
          </w:tcPr>
          <w:p w14:paraId="3445ABDC" w14:textId="6081CEC7" w:rsidR="00A15C4E" w:rsidRDefault="00E967E5" w:rsidP="00A15C4E">
            <w:pPr>
              <w:rPr>
                <w:sz w:val="24"/>
                <w:szCs w:val="24"/>
              </w:rPr>
            </w:pPr>
            <w:r>
              <w:rPr>
                <w:sz w:val="24"/>
                <w:szCs w:val="24"/>
              </w:rPr>
              <w:t>24</w:t>
            </w:r>
          </w:p>
        </w:tc>
        <w:tc>
          <w:tcPr>
            <w:tcW w:w="1558" w:type="dxa"/>
          </w:tcPr>
          <w:p w14:paraId="6FDEED16" w14:textId="7B2B44A5" w:rsidR="00A15C4E" w:rsidRDefault="00A15C4E" w:rsidP="00A15C4E">
            <w:pPr>
              <w:rPr>
                <w:sz w:val="24"/>
                <w:szCs w:val="24"/>
              </w:rPr>
            </w:pPr>
            <w:r>
              <w:rPr>
                <w:sz w:val="24"/>
                <w:szCs w:val="24"/>
              </w:rPr>
              <w:t>-5</w:t>
            </w:r>
          </w:p>
        </w:tc>
        <w:tc>
          <w:tcPr>
            <w:tcW w:w="1558" w:type="dxa"/>
          </w:tcPr>
          <w:p w14:paraId="563A60D9" w14:textId="70C39EDA" w:rsidR="00A15C4E" w:rsidRDefault="00A15C4E" w:rsidP="00A15C4E">
            <w:pPr>
              <w:rPr>
                <w:sz w:val="24"/>
                <w:szCs w:val="24"/>
              </w:rPr>
            </w:pPr>
            <w:r>
              <w:rPr>
                <w:sz w:val="24"/>
                <w:szCs w:val="24"/>
              </w:rPr>
              <w:t>1</w:t>
            </w:r>
          </w:p>
        </w:tc>
        <w:tc>
          <w:tcPr>
            <w:tcW w:w="1558" w:type="dxa"/>
          </w:tcPr>
          <w:p w14:paraId="18A2486A" w14:textId="0DD402D3" w:rsidR="00A15C4E" w:rsidRDefault="00A15C4E" w:rsidP="00A15C4E">
            <w:pPr>
              <w:rPr>
                <w:sz w:val="24"/>
                <w:szCs w:val="24"/>
              </w:rPr>
            </w:pPr>
            <w:r>
              <w:rPr>
                <w:sz w:val="24"/>
                <w:szCs w:val="24"/>
              </w:rPr>
              <w:t>Q2W (IV)</w:t>
            </w:r>
          </w:p>
        </w:tc>
        <w:tc>
          <w:tcPr>
            <w:tcW w:w="1559" w:type="dxa"/>
          </w:tcPr>
          <w:p w14:paraId="24C0CD59" w14:textId="1EA5E729" w:rsidR="00A15C4E" w:rsidRDefault="00A15C4E" w:rsidP="00A15C4E">
            <w:pPr>
              <w:rPr>
                <w:sz w:val="24"/>
                <w:szCs w:val="24"/>
              </w:rPr>
            </w:pPr>
            <w:r>
              <w:rPr>
                <w:sz w:val="24"/>
                <w:szCs w:val="24"/>
              </w:rPr>
              <w:t>Soluble</w:t>
            </w:r>
          </w:p>
        </w:tc>
        <w:tc>
          <w:tcPr>
            <w:tcW w:w="2199" w:type="dxa"/>
          </w:tcPr>
          <w:p w14:paraId="139283B6" w14:textId="701668E4" w:rsidR="00A15C4E" w:rsidRPr="00A15C4E" w:rsidRDefault="00A15C4E" w:rsidP="00A15C4E">
            <w:pPr>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last</m:t>
                    </m:r>
                  </m:sub>
                </m:sSub>
              </m:oMath>
            </m:oMathPara>
          </w:p>
        </w:tc>
      </w:tr>
      <w:tr w:rsidR="00A15C4E" w:rsidRPr="00CC1E33" w14:paraId="362F70D8" w14:textId="77777777" w:rsidTr="007053FA">
        <w:tc>
          <w:tcPr>
            <w:tcW w:w="2188" w:type="dxa"/>
            <w:tcBorders>
              <w:top w:val="single" w:sz="4" w:space="0" w:color="auto"/>
              <w:bottom w:val="nil"/>
            </w:tcBorders>
          </w:tcPr>
          <w:p w14:paraId="1AE1E734" w14:textId="15460068" w:rsidR="00A15C4E" w:rsidRDefault="00E967E5" w:rsidP="00A15C4E">
            <w:pPr>
              <w:rPr>
                <w:sz w:val="24"/>
                <w:szCs w:val="24"/>
              </w:rPr>
            </w:pPr>
            <w:r>
              <w:rPr>
                <w:sz w:val="24"/>
                <w:szCs w:val="24"/>
              </w:rPr>
              <w:t>25</w:t>
            </w:r>
          </w:p>
        </w:tc>
        <w:tc>
          <w:tcPr>
            <w:tcW w:w="1558" w:type="dxa"/>
            <w:tcBorders>
              <w:top w:val="single" w:sz="4" w:space="0" w:color="auto"/>
              <w:bottom w:val="nil"/>
            </w:tcBorders>
          </w:tcPr>
          <w:p w14:paraId="676F8324" w14:textId="2402490F" w:rsidR="00A15C4E" w:rsidRDefault="00A15C4E" w:rsidP="00A15C4E">
            <w:pPr>
              <w:rPr>
                <w:sz w:val="24"/>
                <w:szCs w:val="24"/>
              </w:rPr>
            </w:pPr>
            <w:r>
              <w:rPr>
                <w:sz w:val="24"/>
                <w:szCs w:val="24"/>
              </w:rPr>
              <w:t>0</w:t>
            </w:r>
          </w:p>
        </w:tc>
        <w:tc>
          <w:tcPr>
            <w:tcW w:w="1558" w:type="dxa"/>
            <w:tcBorders>
              <w:top w:val="single" w:sz="4" w:space="0" w:color="auto"/>
              <w:bottom w:val="nil"/>
            </w:tcBorders>
          </w:tcPr>
          <w:p w14:paraId="3C06E055" w14:textId="1530932C" w:rsidR="00A15C4E" w:rsidRDefault="00A15C4E" w:rsidP="00A15C4E">
            <w:pPr>
              <w:rPr>
                <w:sz w:val="24"/>
                <w:szCs w:val="24"/>
              </w:rPr>
            </w:pPr>
            <w:r>
              <w:rPr>
                <w:sz w:val="24"/>
                <w:szCs w:val="24"/>
              </w:rPr>
              <w:t>1</w:t>
            </w:r>
          </w:p>
        </w:tc>
        <w:tc>
          <w:tcPr>
            <w:tcW w:w="1558" w:type="dxa"/>
            <w:tcBorders>
              <w:top w:val="single" w:sz="4" w:space="0" w:color="auto"/>
              <w:bottom w:val="nil"/>
            </w:tcBorders>
          </w:tcPr>
          <w:p w14:paraId="6ED8F810" w14:textId="7E3D2462" w:rsidR="00A15C4E" w:rsidRDefault="00A15C4E" w:rsidP="00A15C4E">
            <w:pPr>
              <w:rPr>
                <w:sz w:val="24"/>
                <w:szCs w:val="24"/>
              </w:rPr>
            </w:pPr>
            <w:r>
              <w:rPr>
                <w:sz w:val="24"/>
                <w:szCs w:val="24"/>
              </w:rPr>
              <w:t>Q1W (IV)</w:t>
            </w:r>
          </w:p>
        </w:tc>
        <w:tc>
          <w:tcPr>
            <w:tcW w:w="1559" w:type="dxa"/>
            <w:tcBorders>
              <w:top w:val="single" w:sz="4" w:space="0" w:color="auto"/>
              <w:bottom w:val="nil"/>
            </w:tcBorders>
          </w:tcPr>
          <w:p w14:paraId="14B18031" w14:textId="5E6DE217" w:rsidR="00A15C4E" w:rsidRDefault="00A15C4E" w:rsidP="00A15C4E">
            <w:pPr>
              <w:rPr>
                <w:sz w:val="24"/>
                <w:szCs w:val="24"/>
              </w:rPr>
            </w:pPr>
            <w:r>
              <w:rPr>
                <w:sz w:val="24"/>
                <w:szCs w:val="24"/>
              </w:rPr>
              <w:t>Soluble</w:t>
            </w:r>
          </w:p>
        </w:tc>
        <w:tc>
          <w:tcPr>
            <w:tcW w:w="2199" w:type="dxa"/>
            <w:tcBorders>
              <w:top w:val="single" w:sz="4" w:space="0" w:color="auto"/>
              <w:bottom w:val="nil"/>
            </w:tcBorders>
          </w:tcPr>
          <w:p w14:paraId="788F8D5F" w14:textId="1E03E1E6" w:rsidR="00A15C4E" w:rsidRPr="00A15C4E" w:rsidRDefault="00A15C4E" w:rsidP="00A15C4E">
            <w:pPr>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last</m:t>
                    </m:r>
                  </m:sub>
                </m:sSub>
              </m:oMath>
            </m:oMathPara>
          </w:p>
        </w:tc>
      </w:tr>
      <w:tr w:rsidR="00A15C4E" w:rsidRPr="00CC1E33" w14:paraId="74042E87" w14:textId="77777777" w:rsidTr="00E31B20">
        <w:tc>
          <w:tcPr>
            <w:tcW w:w="2188" w:type="dxa"/>
          </w:tcPr>
          <w:p w14:paraId="0535D2AD" w14:textId="41111E5A" w:rsidR="00A15C4E" w:rsidRDefault="00E967E5" w:rsidP="00A15C4E">
            <w:pPr>
              <w:rPr>
                <w:sz w:val="24"/>
                <w:szCs w:val="24"/>
              </w:rPr>
            </w:pPr>
            <w:r>
              <w:rPr>
                <w:sz w:val="24"/>
                <w:szCs w:val="24"/>
              </w:rPr>
              <w:t>26</w:t>
            </w:r>
          </w:p>
        </w:tc>
        <w:tc>
          <w:tcPr>
            <w:tcW w:w="1558" w:type="dxa"/>
          </w:tcPr>
          <w:p w14:paraId="7CDFFD0D" w14:textId="763D9232" w:rsidR="00A15C4E" w:rsidRDefault="00A15C4E" w:rsidP="00A15C4E">
            <w:pPr>
              <w:rPr>
                <w:sz w:val="24"/>
                <w:szCs w:val="24"/>
              </w:rPr>
            </w:pPr>
            <w:r>
              <w:rPr>
                <w:sz w:val="24"/>
                <w:szCs w:val="24"/>
              </w:rPr>
              <w:t>0</w:t>
            </w:r>
          </w:p>
        </w:tc>
        <w:tc>
          <w:tcPr>
            <w:tcW w:w="1558" w:type="dxa"/>
          </w:tcPr>
          <w:p w14:paraId="37FBE37E" w14:textId="74BED659" w:rsidR="00A15C4E" w:rsidRDefault="00A15C4E" w:rsidP="00A15C4E">
            <w:pPr>
              <w:rPr>
                <w:sz w:val="24"/>
                <w:szCs w:val="24"/>
              </w:rPr>
            </w:pPr>
            <w:r>
              <w:rPr>
                <w:sz w:val="24"/>
                <w:szCs w:val="24"/>
              </w:rPr>
              <w:t>1</w:t>
            </w:r>
          </w:p>
        </w:tc>
        <w:tc>
          <w:tcPr>
            <w:tcW w:w="1558" w:type="dxa"/>
          </w:tcPr>
          <w:p w14:paraId="555337B5" w14:textId="558C052D" w:rsidR="00A15C4E" w:rsidRDefault="00A15C4E" w:rsidP="00A15C4E">
            <w:pPr>
              <w:rPr>
                <w:sz w:val="24"/>
                <w:szCs w:val="24"/>
              </w:rPr>
            </w:pPr>
            <w:r>
              <w:rPr>
                <w:sz w:val="24"/>
                <w:szCs w:val="24"/>
              </w:rPr>
              <w:t>Q4W (IV)</w:t>
            </w:r>
          </w:p>
        </w:tc>
        <w:tc>
          <w:tcPr>
            <w:tcW w:w="1559" w:type="dxa"/>
          </w:tcPr>
          <w:p w14:paraId="748CF9E9" w14:textId="5EA8288A" w:rsidR="00A15C4E" w:rsidRDefault="00A15C4E" w:rsidP="00A15C4E">
            <w:pPr>
              <w:rPr>
                <w:sz w:val="24"/>
                <w:szCs w:val="24"/>
              </w:rPr>
            </w:pPr>
            <w:r>
              <w:rPr>
                <w:sz w:val="24"/>
                <w:szCs w:val="24"/>
              </w:rPr>
              <w:t>Soluble</w:t>
            </w:r>
          </w:p>
        </w:tc>
        <w:tc>
          <w:tcPr>
            <w:tcW w:w="2199" w:type="dxa"/>
          </w:tcPr>
          <w:p w14:paraId="5F5C53B5" w14:textId="4C72C1C5" w:rsidR="00A15C4E" w:rsidRPr="00A15C4E" w:rsidRDefault="00A15C4E" w:rsidP="00A15C4E">
            <w:pPr>
              <w:rPr>
                <w:sz w:val="24"/>
                <w:szCs w:val="24"/>
              </w:rPr>
            </w:pPr>
            <m:oMathPara>
              <m:oMathParaPr>
                <m:jc m:val="left"/>
              </m:oMathParaPr>
              <m:oMath>
                <m:r>
                  <m:rPr>
                    <m:sty m:val="p"/>
                  </m:rPr>
                  <w:rPr>
                    <w:rFonts w:ascii="Cambria Math" w:hAnsi="Cambria Math"/>
                    <w:sz w:val="24"/>
                    <w:szCs w:val="24"/>
                  </w:rPr>
                  <m:t>T</m:t>
                </m:r>
                <m:sSub>
                  <m:sSubPr>
                    <m:ctrlPr>
                      <w:rPr>
                        <w:rFonts w:ascii="Cambria Math" w:hAnsi="Cambria Math"/>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last</m:t>
                    </m:r>
                  </m:sub>
                </m:sSub>
              </m:oMath>
            </m:oMathPara>
          </w:p>
        </w:tc>
      </w:tr>
    </w:tbl>
    <w:p w14:paraId="69F510E9" w14:textId="11B35703" w:rsidR="00C54507" w:rsidRPr="005B5AE7" w:rsidRDefault="00E93826" w:rsidP="00C54507">
      <w:pPr>
        <w:rPr>
          <w:rFonts w:eastAsiaTheme="minorEastAsia"/>
          <w:iCs/>
          <w:sz w:val="20"/>
          <w:szCs w:val="20"/>
        </w:rPr>
      </w:pPr>
      <w:r w:rsidRPr="0020217D">
        <w:rPr>
          <w:sz w:val="20"/>
          <w:szCs w:val="20"/>
        </w:rPr>
        <w:t xml:space="preserve">Charge: net surface charge on antibody candidate. Dose: </w:t>
      </w:r>
      <w:r w:rsidR="00AD2D93" w:rsidRPr="0020217D">
        <w:rPr>
          <w:sz w:val="20"/>
          <w:szCs w:val="20"/>
        </w:rPr>
        <w:t xml:space="preserve">administered antibody dose. Regimen: dosing scheme. </w:t>
      </w:r>
      <w:r w:rsidR="0062760D" w:rsidRPr="0020217D">
        <w:rPr>
          <w:sz w:val="20"/>
          <w:szCs w:val="20"/>
        </w:rPr>
        <w:t xml:space="preserve">Criterion: PK endpoint used for ML classification. IV: intravenous. </w:t>
      </w:r>
      <w:r w:rsidR="00A15C4E" w:rsidRPr="0020217D">
        <w:rPr>
          <w:sz w:val="20"/>
          <w:szCs w:val="20"/>
        </w:rPr>
        <w:t>Q</w:t>
      </w:r>
      <w:r w:rsidR="00A15C4E">
        <w:rPr>
          <w:sz w:val="20"/>
          <w:szCs w:val="20"/>
        </w:rPr>
        <w:t>1</w:t>
      </w:r>
      <w:r w:rsidR="00A15C4E" w:rsidRPr="0020217D">
        <w:rPr>
          <w:sz w:val="20"/>
          <w:szCs w:val="20"/>
        </w:rPr>
        <w:t xml:space="preserve">W: dose administered every </w:t>
      </w:r>
      <w:r w:rsidR="00A15C4E">
        <w:rPr>
          <w:sz w:val="20"/>
          <w:szCs w:val="20"/>
        </w:rPr>
        <w:t>1</w:t>
      </w:r>
      <w:r w:rsidR="00A15C4E" w:rsidRPr="0020217D">
        <w:rPr>
          <w:sz w:val="20"/>
          <w:szCs w:val="20"/>
        </w:rPr>
        <w:t xml:space="preserve"> week.</w:t>
      </w:r>
      <w:r w:rsidR="00A15C4E">
        <w:rPr>
          <w:sz w:val="20"/>
          <w:szCs w:val="20"/>
        </w:rPr>
        <w:t xml:space="preserve"> </w:t>
      </w:r>
      <w:r w:rsidR="0062760D" w:rsidRPr="0020217D">
        <w:rPr>
          <w:sz w:val="20"/>
          <w:szCs w:val="20"/>
        </w:rPr>
        <w:t xml:space="preserve">Q2W: </w:t>
      </w:r>
      <w:r w:rsidR="0020217D" w:rsidRPr="0020217D">
        <w:rPr>
          <w:sz w:val="20"/>
          <w:szCs w:val="20"/>
        </w:rPr>
        <w:t xml:space="preserve">dose administered every 2 weeks. Q4W: dose administered every 4 weeks. </w:t>
      </w:r>
      <m:oMath>
        <m:r>
          <m:rPr>
            <m:sty m:val="p"/>
          </m:rPr>
          <w:rPr>
            <w:rFonts w:ascii="Cambria Math" w:hAnsi="Cambria Math"/>
            <w:sz w:val="20"/>
            <w:szCs w:val="20"/>
          </w:rPr>
          <m:t>T</m:t>
        </m:r>
        <m:sSub>
          <m:sSubPr>
            <m:ctrlPr>
              <w:rPr>
                <w:rFonts w:ascii="Cambria Math" w:hAnsi="Cambria Math"/>
                <w:iCs/>
                <w:sz w:val="20"/>
                <w:szCs w:val="20"/>
              </w:rPr>
            </m:ctrlPr>
          </m:sSubPr>
          <m:e>
            <m:r>
              <m:rPr>
                <m:sty m:val="p"/>
              </m:rPr>
              <w:rPr>
                <w:rFonts w:ascii="Cambria Math" w:hAnsi="Cambria Math"/>
                <w:sz w:val="20"/>
                <w:szCs w:val="20"/>
              </w:rPr>
              <m:t>O</m:t>
            </m:r>
          </m:e>
          <m:sub>
            <m:r>
              <m:rPr>
                <m:sty m:val="p"/>
              </m:rPr>
              <w:rPr>
                <w:rFonts w:ascii="Cambria Math" w:hAnsi="Cambria Math"/>
                <w:sz w:val="20"/>
                <w:szCs w:val="20"/>
              </w:rPr>
              <m:t>max</m:t>
            </m:r>
          </m:sub>
        </m:sSub>
        <m:r>
          <m:rPr>
            <m:sty m:val="p"/>
          </m:rPr>
          <w:rPr>
            <w:rFonts w:ascii="Cambria Math" w:hAnsi="Cambria Math"/>
            <w:sz w:val="20"/>
            <w:szCs w:val="20"/>
          </w:rPr>
          <m:t>:</m:t>
        </m:r>
      </m:oMath>
      <w:r w:rsidR="0020217D">
        <w:rPr>
          <w:rFonts w:eastAsiaTheme="minorEastAsia"/>
          <w:iCs/>
          <w:sz w:val="20"/>
          <w:szCs w:val="20"/>
        </w:rPr>
        <w:t xml:space="preserve"> target occupancy (TO) % </w:t>
      </w:r>
      <w:r w:rsidR="0048377C">
        <w:rPr>
          <w:rFonts w:eastAsiaTheme="minorEastAsia"/>
          <w:iCs/>
          <w:sz w:val="20"/>
          <w:szCs w:val="20"/>
        </w:rPr>
        <w:t xml:space="preserve">calculated at maximum drug concentration. </w:t>
      </w:r>
      <m:oMath>
        <m:r>
          <m:rPr>
            <m:sty m:val="p"/>
          </m:rPr>
          <w:rPr>
            <w:rFonts w:ascii="Cambria Math" w:hAnsi="Cambria Math"/>
            <w:sz w:val="20"/>
            <w:szCs w:val="20"/>
          </w:rPr>
          <m:t>T</m:t>
        </m:r>
        <m:sSub>
          <m:sSubPr>
            <m:ctrlPr>
              <w:rPr>
                <w:rFonts w:ascii="Cambria Math" w:hAnsi="Cambria Math"/>
                <w:iCs/>
                <w:sz w:val="20"/>
                <w:szCs w:val="20"/>
              </w:rPr>
            </m:ctrlPr>
          </m:sSubPr>
          <m:e>
            <m:r>
              <m:rPr>
                <m:sty m:val="p"/>
              </m:rPr>
              <w:rPr>
                <w:rFonts w:ascii="Cambria Math" w:hAnsi="Cambria Math"/>
                <w:sz w:val="20"/>
                <w:szCs w:val="20"/>
              </w:rPr>
              <m:t>O</m:t>
            </m:r>
          </m:e>
          <m:sub>
            <m:r>
              <m:rPr>
                <m:sty m:val="p"/>
              </m:rPr>
              <w:rPr>
                <w:rFonts w:ascii="Cambria Math" w:hAnsi="Cambria Math"/>
                <w:sz w:val="20"/>
                <w:szCs w:val="20"/>
              </w:rPr>
              <m:t>min</m:t>
            </m:r>
          </m:sub>
        </m:sSub>
        <m:r>
          <m:rPr>
            <m:sty m:val="p"/>
          </m:rPr>
          <w:rPr>
            <w:rFonts w:ascii="Cambria Math" w:hAnsi="Cambria Math"/>
            <w:sz w:val="20"/>
            <w:szCs w:val="20"/>
          </w:rPr>
          <m:t>:</m:t>
        </m:r>
      </m:oMath>
      <w:r w:rsidR="0048377C">
        <w:rPr>
          <w:rFonts w:eastAsiaTheme="minorEastAsia"/>
          <w:iCs/>
          <w:sz w:val="20"/>
          <w:szCs w:val="20"/>
        </w:rPr>
        <w:t xml:space="preserve"> target occupancy (TO) % calculated at minimum drug concentration.</w:t>
      </w:r>
    </w:p>
    <w:p w14:paraId="7EA9684B" w14:textId="6AE43520" w:rsidR="009879EA" w:rsidRPr="009879EA" w:rsidRDefault="009879EA" w:rsidP="009879EA">
      <w:pPr>
        <w:pStyle w:val="Caption"/>
        <w:keepNext/>
        <w:rPr>
          <w:i w:val="0"/>
          <w:iCs w:val="0"/>
          <w:color w:val="auto"/>
          <w:sz w:val="22"/>
          <w:szCs w:val="22"/>
        </w:rPr>
      </w:pPr>
      <w:r w:rsidRPr="009879EA">
        <w:rPr>
          <w:i w:val="0"/>
          <w:iCs w:val="0"/>
          <w:color w:val="auto"/>
          <w:sz w:val="22"/>
          <w:szCs w:val="22"/>
        </w:rPr>
        <w:lastRenderedPageBreak/>
        <w:t>Table S</w:t>
      </w:r>
      <w:r w:rsidRPr="009879EA">
        <w:rPr>
          <w:i w:val="0"/>
          <w:iCs w:val="0"/>
          <w:color w:val="auto"/>
          <w:sz w:val="22"/>
          <w:szCs w:val="22"/>
        </w:rPr>
        <w:fldChar w:fldCharType="begin"/>
      </w:r>
      <w:r w:rsidRPr="009879EA">
        <w:rPr>
          <w:i w:val="0"/>
          <w:iCs w:val="0"/>
          <w:color w:val="auto"/>
          <w:sz w:val="22"/>
          <w:szCs w:val="22"/>
        </w:rPr>
        <w:instrText xml:space="preserve"> SEQ Table \* ARABIC </w:instrText>
      </w:r>
      <w:r w:rsidRPr="009879EA">
        <w:rPr>
          <w:i w:val="0"/>
          <w:iCs w:val="0"/>
          <w:color w:val="auto"/>
          <w:sz w:val="22"/>
          <w:szCs w:val="22"/>
        </w:rPr>
        <w:fldChar w:fldCharType="separate"/>
      </w:r>
      <w:r>
        <w:rPr>
          <w:i w:val="0"/>
          <w:iCs w:val="0"/>
          <w:noProof/>
          <w:color w:val="auto"/>
          <w:sz w:val="22"/>
          <w:szCs w:val="22"/>
        </w:rPr>
        <w:t>2</w:t>
      </w:r>
      <w:r w:rsidRPr="009879EA">
        <w:rPr>
          <w:i w:val="0"/>
          <w:iCs w:val="0"/>
          <w:color w:val="auto"/>
          <w:sz w:val="22"/>
          <w:szCs w:val="22"/>
        </w:rPr>
        <w:fldChar w:fldCharType="end"/>
      </w:r>
      <w:r w:rsidRPr="009879EA">
        <w:rPr>
          <w:i w:val="0"/>
          <w:iCs w:val="0"/>
          <w:color w:val="auto"/>
          <w:sz w:val="22"/>
          <w:szCs w:val="22"/>
        </w:rPr>
        <w:t xml:space="preserve">: ML-derived rules for different scenarios using </w:t>
      </w:r>
      <w:proofErr w:type="spellStart"/>
      <w:r w:rsidRPr="009879EA">
        <w:rPr>
          <w:i w:val="0"/>
          <w:iCs w:val="0"/>
          <w:color w:val="auto"/>
          <w:sz w:val="22"/>
          <w:szCs w:val="22"/>
        </w:rPr>
        <w:t>mPBPK</w:t>
      </w:r>
      <w:proofErr w:type="spellEnd"/>
      <w:r w:rsidRPr="009879EA">
        <w:rPr>
          <w:i w:val="0"/>
          <w:iCs w:val="0"/>
          <w:color w:val="auto"/>
          <w:sz w:val="22"/>
          <w:szCs w:val="22"/>
        </w:rPr>
        <w:t xml:space="preserve"> model and </w:t>
      </w:r>
      <w:proofErr w:type="spellStart"/>
      <w:r w:rsidR="00D972B2">
        <w:rPr>
          <w:i w:val="0"/>
          <w:iCs w:val="0"/>
          <w:color w:val="auto"/>
          <w:sz w:val="22"/>
          <w:szCs w:val="22"/>
        </w:rPr>
        <w:t>Monolix</w:t>
      </w:r>
      <w:proofErr w:type="spellEnd"/>
      <w:r w:rsidR="00D972B2">
        <w:rPr>
          <w:i w:val="0"/>
          <w:iCs w:val="0"/>
          <w:color w:val="auto"/>
          <w:sz w:val="22"/>
          <w:szCs w:val="22"/>
        </w:rPr>
        <w:t>/</w:t>
      </w:r>
      <w:proofErr w:type="spellStart"/>
      <w:r w:rsidR="00D972B2">
        <w:rPr>
          <w:i w:val="0"/>
          <w:iCs w:val="0"/>
          <w:color w:val="auto"/>
          <w:sz w:val="22"/>
          <w:szCs w:val="22"/>
        </w:rPr>
        <w:t>Simulix</w:t>
      </w:r>
      <w:proofErr w:type="spellEnd"/>
      <w:r w:rsidRPr="009879EA">
        <w:rPr>
          <w:i w:val="0"/>
          <w:iCs w:val="0"/>
          <w:color w:val="auto"/>
          <w:sz w:val="22"/>
          <w:szCs w:val="22"/>
        </w:rPr>
        <w:t>.</w:t>
      </w:r>
    </w:p>
    <w:tbl>
      <w:tblPr>
        <w:tblStyle w:val="PlainTable2"/>
        <w:tblW w:w="10449" w:type="dxa"/>
        <w:tblInd w:w="-537" w:type="dxa"/>
        <w:tblLook w:val="0600" w:firstRow="0" w:lastRow="0" w:firstColumn="0" w:lastColumn="0" w:noHBand="1" w:noVBand="1"/>
      </w:tblPr>
      <w:tblGrid>
        <w:gridCol w:w="809"/>
        <w:gridCol w:w="884"/>
        <w:gridCol w:w="799"/>
        <w:gridCol w:w="850"/>
        <w:gridCol w:w="1058"/>
        <w:gridCol w:w="1123"/>
        <w:gridCol w:w="1018"/>
        <w:gridCol w:w="1721"/>
        <w:gridCol w:w="1096"/>
        <w:gridCol w:w="1091"/>
      </w:tblGrid>
      <w:tr w:rsidR="00C54507" w:rsidRPr="002C7B33" w14:paraId="351A316F" w14:textId="77777777" w:rsidTr="00C34A02">
        <w:trPr>
          <w:trHeight w:val="534"/>
        </w:trPr>
        <w:tc>
          <w:tcPr>
            <w:tcW w:w="809" w:type="dxa"/>
            <w:tcBorders>
              <w:top w:val="single" w:sz="4" w:space="0" w:color="7F7F7F" w:themeColor="text1" w:themeTint="80"/>
              <w:bottom w:val="single" w:sz="4" w:space="0" w:color="auto"/>
            </w:tcBorders>
          </w:tcPr>
          <w:p w14:paraId="7996BC1E" w14:textId="77777777" w:rsidR="00C54507" w:rsidRPr="002C7B33" w:rsidRDefault="00C54507" w:rsidP="00C34A02">
            <w:pPr>
              <w:jc w:val="center"/>
              <w:textAlignment w:val="bottom"/>
              <w:rPr>
                <w:rFonts w:eastAsia="Times New Roman" w:cstheme="minorHAnsi"/>
                <w:color w:val="000000"/>
                <w:kern w:val="24"/>
                <w:sz w:val="21"/>
                <w:szCs w:val="21"/>
              </w:rPr>
            </w:pPr>
          </w:p>
        </w:tc>
        <w:tc>
          <w:tcPr>
            <w:tcW w:w="2533" w:type="dxa"/>
            <w:gridSpan w:val="3"/>
            <w:tcBorders>
              <w:top w:val="single" w:sz="4" w:space="0" w:color="7F7F7F" w:themeColor="text1" w:themeTint="80"/>
              <w:bottom w:val="single" w:sz="4" w:space="0" w:color="auto"/>
            </w:tcBorders>
          </w:tcPr>
          <w:p w14:paraId="26BBC64F" w14:textId="77777777" w:rsidR="00C54507" w:rsidRPr="002C7B33" w:rsidRDefault="00C54507" w:rsidP="00C34A02">
            <w:pPr>
              <w:jc w:val="center"/>
              <w:textAlignment w:val="bottom"/>
              <w:rPr>
                <w:rFonts w:eastAsia="Times New Roman" w:cstheme="minorHAnsi"/>
                <w:b/>
                <w:bCs/>
                <w:color w:val="000000"/>
                <w:kern w:val="24"/>
                <w:sz w:val="21"/>
                <w:szCs w:val="21"/>
              </w:rPr>
            </w:pPr>
            <w:r w:rsidRPr="002C7B33">
              <w:rPr>
                <w:rFonts w:eastAsia="Times New Roman" w:cstheme="minorHAnsi"/>
                <w:b/>
                <w:bCs/>
                <w:color w:val="000000"/>
                <w:kern w:val="24"/>
                <w:sz w:val="21"/>
                <w:szCs w:val="21"/>
              </w:rPr>
              <w:t>Candidate Properties</w:t>
            </w:r>
          </w:p>
        </w:tc>
        <w:tc>
          <w:tcPr>
            <w:tcW w:w="1058" w:type="dxa"/>
            <w:tcBorders>
              <w:top w:val="single" w:sz="4" w:space="0" w:color="7F7F7F" w:themeColor="text1" w:themeTint="80"/>
              <w:bottom w:val="single" w:sz="4" w:space="0" w:color="auto"/>
            </w:tcBorders>
          </w:tcPr>
          <w:p w14:paraId="0CB37E79" w14:textId="77777777" w:rsidR="00C54507" w:rsidRPr="002C7B33" w:rsidRDefault="00C54507" w:rsidP="00C34A02">
            <w:pPr>
              <w:jc w:val="center"/>
              <w:textAlignment w:val="bottom"/>
              <w:rPr>
                <w:rFonts w:eastAsia="Times New Roman" w:cstheme="minorHAnsi"/>
                <w:color w:val="000000"/>
                <w:kern w:val="24"/>
                <w:sz w:val="21"/>
                <w:szCs w:val="21"/>
              </w:rPr>
            </w:pPr>
          </w:p>
        </w:tc>
        <w:tc>
          <w:tcPr>
            <w:tcW w:w="1123" w:type="dxa"/>
            <w:tcBorders>
              <w:top w:val="single" w:sz="4" w:space="0" w:color="7F7F7F" w:themeColor="text1" w:themeTint="80"/>
              <w:bottom w:val="single" w:sz="4" w:space="0" w:color="auto"/>
            </w:tcBorders>
          </w:tcPr>
          <w:p w14:paraId="5D079D28" w14:textId="77777777" w:rsidR="00C54507" w:rsidRPr="002C7B33" w:rsidRDefault="00C54507" w:rsidP="00C34A02">
            <w:pPr>
              <w:jc w:val="center"/>
              <w:textAlignment w:val="bottom"/>
              <w:rPr>
                <w:rFonts w:eastAsia="Times New Roman" w:cstheme="minorHAnsi"/>
                <w:color w:val="000000"/>
                <w:kern w:val="24"/>
                <w:sz w:val="21"/>
                <w:szCs w:val="21"/>
              </w:rPr>
            </w:pPr>
          </w:p>
        </w:tc>
        <w:tc>
          <w:tcPr>
            <w:tcW w:w="1018" w:type="dxa"/>
            <w:tcBorders>
              <w:top w:val="single" w:sz="4" w:space="0" w:color="7F7F7F" w:themeColor="text1" w:themeTint="80"/>
              <w:bottom w:val="single" w:sz="4" w:space="0" w:color="auto"/>
            </w:tcBorders>
          </w:tcPr>
          <w:p w14:paraId="0824E006" w14:textId="77777777" w:rsidR="00C54507" w:rsidRPr="002C7B33" w:rsidRDefault="00C54507" w:rsidP="00C34A02">
            <w:pPr>
              <w:jc w:val="center"/>
              <w:textAlignment w:val="bottom"/>
              <w:rPr>
                <w:rFonts w:eastAsia="Times New Roman" w:cstheme="minorHAnsi"/>
                <w:color w:val="000000"/>
                <w:kern w:val="24"/>
                <w:sz w:val="21"/>
                <w:szCs w:val="21"/>
              </w:rPr>
            </w:pPr>
          </w:p>
        </w:tc>
        <w:tc>
          <w:tcPr>
            <w:tcW w:w="3908" w:type="dxa"/>
            <w:gridSpan w:val="3"/>
            <w:tcBorders>
              <w:top w:val="single" w:sz="4" w:space="0" w:color="7F7F7F" w:themeColor="text1" w:themeTint="80"/>
              <w:bottom w:val="single" w:sz="4" w:space="0" w:color="auto"/>
            </w:tcBorders>
          </w:tcPr>
          <w:p w14:paraId="09B30D84" w14:textId="77777777" w:rsidR="00C54507" w:rsidRPr="002C7B33" w:rsidRDefault="00C54507" w:rsidP="00C34A02">
            <w:pPr>
              <w:jc w:val="center"/>
              <w:textAlignment w:val="bottom"/>
              <w:rPr>
                <w:rFonts w:eastAsia="Times New Roman" w:cstheme="minorHAnsi"/>
                <w:b/>
                <w:bCs/>
                <w:iCs/>
                <w:color w:val="538135" w:themeColor="accent6" w:themeShade="BF"/>
                <w:kern w:val="24"/>
                <w:sz w:val="21"/>
                <w:szCs w:val="21"/>
              </w:rPr>
            </w:pPr>
            <m:oMathPara>
              <m:oMath>
                <m:r>
                  <m:rPr>
                    <m:sty m:val="b"/>
                  </m:rPr>
                  <w:rPr>
                    <w:rFonts w:ascii="Cambria Math" w:eastAsia="Times New Roman" w:hAnsi="Cambria Math" w:cstheme="minorHAnsi"/>
                    <w:kern w:val="24"/>
                    <w:sz w:val="21"/>
                    <w:szCs w:val="21"/>
                  </w:rPr>
                  <m:t>T</m:t>
                </m:r>
                <m:sSub>
                  <m:sSubPr>
                    <m:ctrlPr>
                      <w:rPr>
                        <w:rFonts w:ascii="Cambria Math" w:eastAsia="Times New Roman" w:hAnsi="Cambria Math" w:cstheme="minorHAnsi"/>
                        <w:b/>
                        <w:bCs/>
                        <w:iCs/>
                        <w:kern w:val="24"/>
                        <w:sz w:val="21"/>
                        <w:szCs w:val="21"/>
                      </w:rPr>
                    </m:ctrlPr>
                  </m:sSubPr>
                  <m:e>
                    <m:r>
                      <m:rPr>
                        <m:sty m:val="b"/>
                      </m:rPr>
                      <w:rPr>
                        <w:rFonts w:ascii="Cambria Math" w:eastAsia="Times New Roman" w:hAnsi="Cambria Math" w:cstheme="minorHAnsi"/>
                        <w:kern w:val="24"/>
                        <w:sz w:val="21"/>
                        <w:szCs w:val="21"/>
                      </w:rPr>
                      <m:t>O</m:t>
                    </m:r>
                  </m:e>
                  <m:sub>
                    <m:r>
                      <m:rPr>
                        <m:sty m:val="b"/>
                      </m:rPr>
                      <w:rPr>
                        <w:rFonts w:ascii="Cambria Math" w:eastAsia="Times New Roman" w:hAnsi="Cambria Math" w:cstheme="minorHAnsi"/>
                        <w:kern w:val="24"/>
                        <w:sz w:val="21"/>
                        <w:szCs w:val="21"/>
                      </w:rPr>
                      <m:t>Cmin, plasma</m:t>
                    </m:r>
                  </m:sub>
                </m:sSub>
              </m:oMath>
            </m:oMathPara>
          </w:p>
        </w:tc>
      </w:tr>
      <w:tr w:rsidR="00C54507" w:rsidRPr="002C7B33" w14:paraId="79EBD1B0" w14:textId="77777777" w:rsidTr="00C34A02">
        <w:trPr>
          <w:trHeight w:val="534"/>
        </w:trPr>
        <w:tc>
          <w:tcPr>
            <w:tcW w:w="809" w:type="dxa"/>
            <w:tcBorders>
              <w:top w:val="single" w:sz="4" w:space="0" w:color="7F7F7F" w:themeColor="text1" w:themeTint="80"/>
              <w:bottom w:val="single" w:sz="4" w:space="0" w:color="auto"/>
            </w:tcBorders>
            <w:hideMark/>
          </w:tcPr>
          <w:p w14:paraId="48E736CE" w14:textId="77777777" w:rsidR="00C54507" w:rsidRPr="002C7B33" w:rsidRDefault="00C54507" w:rsidP="00C34A02">
            <w:pPr>
              <w:jc w:val="center"/>
              <w:textAlignment w:val="bottom"/>
              <w:rPr>
                <w:rFonts w:eastAsia="Times New Roman" w:cstheme="minorHAnsi"/>
                <w:sz w:val="21"/>
                <w:szCs w:val="21"/>
              </w:rPr>
            </w:pPr>
            <w:r>
              <w:rPr>
                <w:rFonts w:eastAsia="Times New Roman" w:cstheme="minorHAnsi"/>
                <w:color w:val="000000"/>
                <w:kern w:val="24"/>
                <w:sz w:val="21"/>
                <w:szCs w:val="21"/>
              </w:rPr>
              <w:t>ID</w:t>
            </w:r>
          </w:p>
        </w:tc>
        <w:tc>
          <w:tcPr>
            <w:tcW w:w="884" w:type="dxa"/>
            <w:tcBorders>
              <w:top w:val="single" w:sz="4" w:space="0" w:color="7F7F7F" w:themeColor="text1" w:themeTint="80"/>
              <w:bottom w:val="single" w:sz="4" w:space="0" w:color="auto"/>
            </w:tcBorders>
            <w:hideMark/>
          </w:tcPr>
          <w:p w14:paraId="692E619D" w14:textId="77777777" w:rsidR="00C54507" w:rsidRPr="00186EF3" w:rsidRDefault="00000000" w:rsidP="00C34A02">
            <w:pPr>
              <w:jc w:val="center"/>
              <w:textAlignment w:val="bottom"/>
              <w:rPr>
                <w:rFonts w:eastAsia="Times New Roman" w:cstheme="minorHAnsi"/>
                <w:iCs/>
                <w:color w:val="000000"/>
                <w:kern w:val="24"/>
                <w:sz w:val="21"/>
                <w:szCs w:val="21"/>
              </w:rPr>
            </w:pPr>
            <m:oMath>
              <m:sSub>
                <m:sSubPr>
                  <m:ctrlPr>
                    <w:rPr>
                      <w:rFonts w:ascii="Cambria Math" w:eastAsia="Times New Roman" w:hAnsi="Cambria Math" w:cstheme="minorHAnsi"/>
                      <w:iCs/>
                      <w:color w:val="000000"/>
                      <w:kern w:val="24"/>
                      <w:sz w:val="21"/>
                      <w:szCs w:val="21"/>
                    </w:rPr>
                  </m:ctrlPr>
                </m:sSubPr>
                <m:e>
                  <m:r>
                    <m:rPr>
                      <m:sty m:val="p"/>
                    </m:rPr>
                    <w:rPr>
                      <w:rFonts w:ascii="Cambria Math" w:eastAsia="Times New Roman" w:hAnsi="Cambria Math" w:cstheme="minorHAnsi"/>
                      <w:color w:val="000000"/>
                      <w:kern w:val="24"/>
                      <w:sz w:val="21"/>
                      <w:szCs w:val="21"/>
                    </w:rPr>
                    <m:t>T</m:t>
                  </m:r>
                </m:e>
                <m:sub>
                  <m:r>
                    <m:rPr>
                      <m:sty m:val="p"/>
                    </m:rPr>
                    <w:rPr>
                      <w:rFonts w:ascii="Cambria Math" w:eastAsia="Times New Roman" w:hAnsi="Cambria Math" w:cstheme="minorHAnsi"/>
                      <w:color w:val="000000"/>
                      <w:kern w:val="24"/>
                      <w:sz w:val="21"/>
                      <w:szCs w:val="21"/>
                    </w:rPr>
                    <m:t>0</m:t>
                  </m:r>
                </m:sub>
              </m:sSub>
            </m:oMath>
            <w:r w:rsidR="00C54507" w:rsidRPr="002C7B33">
              <w:rPr>
                <w:rFonts w:eastAsia="Times New Roman" w:cstheme="minorHAnsi"/>
                <w:iCs/>
                <w:color w:val="000000"/>
                <w:kern w:val="24"/>
                <w:sz w:val="21"/>
                <w:szCs w:val="21"/>
              </w:rPr>
              <w:t xml:space="preserve"> </w:t>
            </w:r>
          </w:p>
          <w:p w14:paraId="3363A9A4" w14:textId="77777777" w:rsidR="00C54507" w:rsidRPr="002C7B33" w:rsidRDefault="00C54507" w:rsidP="00C34A02">
            <w:pPr>
              <w:jc w:val="center"/>
              <w:textAlignment w:val="bottom"/>
              <w:rPr>
                <w:rFonts w:eastAsia="Times New Roman" w:cstheme="minorHAnsi"/>
                <w:iCs/>
                <w:sz w:val="21"/>
                <w:szCs w:val="21"/>
              </w:rPr>
            </w:pPr>
            <w:r w:rsidRPr="002C7B33">
              <w:rPr>
                <w:rFonts w:eastAsia="Times New Roman" w:cstheme="minorHAnsi"/>
                <w:iCs/>
                <w:color w:val="000000"/>
                <w:kern w:val="24"/>
                <w:sz w:val="21"/>
                <w:szCs w:val="21"/>
              </w:rPr>
              <w:t>(</w:t>
            </w:r>
            <w:proofErr w:type="spellStart"/>
            <w:r w:rsidRPr="002C7B33">
              <w:rPr>
                <w:rFonts w:eastAsia="Times New Roman" w:cstheme="minorHAnsi"/>
                <w:iCs/>
                <w:color w:val="000000"/>
                <w:kern w:val="24"/>
                <w:sz w:val="21"/>
                <w:szCs w:val="21"/>
              </w:rPr>
              <w:t>nM</w:t>
            </w:r>
            <w:proofErr w:type="spellEnd"/>
            <w:r w:rsidRPr="002C7B33">
              <w:rPr>
                <w:rFonts w:eastAsia="Times New Roman" w:cstheme="minorHAnsi"/>
                <w:iCs/>
                <w:color w:val="000000"/>
                <w:kern w:val="24"/>
                <w:sz w:val="21"/>
                <w:szCs w:val="21"/>
              </w:rPr>
              <w:t>)</w:t>
            </w:r>
          </w:p>
        </w:tc>
        <w:tc>
          <w:tcPr>
            <w:tcW w:w="799" w:type="dxa"/>
            <w:tcBorders>
              <w:top w:val="single" w:sz="4" w:space="0" w:color="7F7F7F" w:themeColor="text1" w:themeTint="80"/>
              <w:bottom w:val="single" w:sz="4" w:space="0" w:color="auto"/>
            </w:tcBorders>
            <w:hideMark/>
          </w:tcPr>
          <w:p w14:paraId="116FB7BF" w14:textId="77777777" w:rsidR="00C54507" w:rsidRPr="002C7B33" w:rsidRDefault="00000000" w:rsidP="00C34A02">
            <w:pPr>
              <w:jc w:val="center"/>
              <w:textAlignment w:val="bottom"/>
              <w:rPr>
                <w:rFonts w:eastAsia="Times New Roman" w:cstheme="minorHAnsi"/>
                <w:iCs/>
                <w:sz w:val="21"/>
                <w:szCs w:val="21"/>
              </w:rPr>
            </w:pPr>
            <m:oMath>
              <m:sSub>
                <m:sSubPr>
                  <m:ctrlPr>
                    <w:rPr>
                      <w:rFonts w:ascii="Cambria Math" w:eastAsia="Times New Roman" w:hAnsi="Cambria Math" w:cstheme="minorHAnsi"/>
                      <w:iCs/>
                      <w:color w:val="000000"/>
                      <w:kern w:val="24"/>
                      <w:sz w:val="21"/>
                      <w:szCs w:val="21"/>
                    </w:rPr>
                  </m:ctrlPr>
                </m:sSubPr>
                <m:e>
                  <m:r>
                    <m:rPr>
                      <m:sty m:val="p"/>
                    </m:rPr>
                    <w:rPr>
                      <w:rFonts w:ascii="Cambria Math" w:eastAsia="Times New Roman" w:hAnsi="Cambria Math" w:cstheme="minorHAnsi"/>
                      <w:color w:val="000000"/>
                      <w:kern w:val="24"/>
                      <w:sz w:val="21"/>
                      <w:szCs w:val="21"/>
                    </w:rPr>
                    <m:t>t</m:t>
                  </m:r>
                </m:e>
                <m:sub>
                  <m:r>
                    <m:rPr>
                      <m:sty m:val="p"/>
                    </m:rPr>
                    <w:rPr>
                      <w:rFonts w:ascii="Cambria Math" w:eastAsia="Times New Roman" w:hAnsi="Cambria Math" w:cstheme="minorHAnsi"/>
                      <w:color w:val="000000"/>
                      <w:kern w:val="24"/>
                      <w:sz w:val="21"/>
                      <w:szCs w:val="21"/>
                    </w:rPr>
                    <m:t>1/2</m:t>
                  </m:r>
                </m:sub>
              </m:sSub>
            </m:oMath>
            <w:r w:rsidR="00C54507" w:rsidRPr="002C7B33">
              <w:rPr>
                <w:rFonts w:eastAsia="Times New Roman" w:cstheme="minorHAnsi"/>
                <w:iCs/>
                <w:color w:val="000000"/>
                <w:kern w:val="24"/>
                <w:sz w:val="21"/>
                <w:szCs w:val="21"/>
              </w:rPr>
              <w:t xml:space="preserve"> (h)</w:t>
            </w:r>
          </w:p>
        </w:tc>
        <w:tc>
          <w:tcPr>
            <w:tcW w:w="850" w:type="dxa"/>
            <w:tcBorders>
              <w:top w:val="single" w:sz="4" w:space="0" w:color="7F7F7F" w:themeColor="text1" w:themeTint="80"/>
              <w:bottom w:val="single" w:sz="4" w:space="0" w:color="auto"/>
            </w:tcBorders>
            <w:hideMark/>
          </w:tcPr>
          <w:p w14:paraId="05E8D296" w14:textId="77777777" w:rsidR="00C54507" w:rsidRPr="002C7B33" w:rsidRDefault="00000000" w:rsidP="00C34A02">
            <w:pPr>
              <w:jc w:val="center"/>
              <w:textAlignment w:val="bottom"/>
              <w:rPr>
                <w:rFonts w:eastAsia="Times New Roman" w:cstheme="minorHAnsi"/>
                <w:iCs/>
                <w:sz w:val="21"/>
                <w:szCs w:val="21"/>
              </w:rPr>
            </w:pPr>
            <m:oMath>
              <m:sSub>
                <m:sSubPr>
                  <m:ctrlPr>
                    <w:rPr>
                      <w:rFonts w:ascii="Cambria Math" w:eastAsia="Times New Roman" w:hAnsi="Cambria Math" w:cstheme="minorHAnsi"/>
                      <w:iCs/>
                      <w:color w:val="000000"/>
                      <w:kern w:val="24"/>
                      <w:sz w:val="21"/>
                      <w:szCs w:val="21"/>
                    </w:rPr>
                  </m:ctrlPr>
                </m:sSubPr>
                <m:e>
                  <m:r>
                    <m:rPr>
                      <m:sty m:val="p"/>
                    </m:rPr>
                    <w:rPr>
                      <w:rFonts w:ascii="Cambria Math" w:eastAsia="Times New Roman" w:hAnsi="Cambria Math" w:cstheme="minorHAnsi"/>
                      <w:color w:val="000000"/>
                      <w:kern w:val="24"/>
                      <w:sz w:val="21"/>
                      <w:szCs w:val="21"/>
                    </w:rPr>
                    <m:t>K</m:t>
                  </m:r>
                </m:e>
                <m:sub>
                  <m:r>
                    <m:rPr>
                      <m:sty m:val="p"/>
                    </m:rPr>
                    <w:rPr>
                      <w:rFonts w:ascii="Cambria Math" w:eastAsia="Times New Roman" w:hAnsi="Cambria Math" w:cstheme="minorHAnsi"/>
                      <w:color w:val="000000"/>
                      <w:kern w:val="24"/>
                      <w:sz w:val="21"/>
                      <w:szCs w:val="21"/>
                    </w:rPr>
                    <m:t>D</m:t>
                  </m:r>
                </m:sub>
              </m:sSub>
            </m:oMath>
            <w:r w:rsidR="00C54507" w:rsidRPr="002C7B33">
              <w:rPr>
                <w:rFonts w:eastAsia="Times New Roman" w:cstheme="minorHAnsi"/>
                <w:iCs/>
                <w:color w:val="000000"/>
                <w:kern w:val="24"/>
                <w:sz w:val="21"/>
                <w:szCs w:val="21"/>
              </w:rPr>
              <w:t xml:space="preserve"> (nM)</w:t>
            </w:r>
          </w:p>
        </w:tc>
        <w:tc>
          <w:tcPr>
            <w:tcW w:w="1058" w:type="dxa"/>
            <w:tcBorders>
              <w:top w:val="single" w:sz="4" w:space="0" w:color="7F7F7F" w:themeColor="text1" w:themeTint="80"/>
              <w:bottom w:val="single" w:sz="4" w:space="0" w:color="auto"/>
            </w:tcBorders>
            <w:hideMark/>
          </w:tcPr>
          <w:p w14:paraId="4FE380CF"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Dose (mg/kg)</w:t>
            </w:r>
          </w:p>
        </w:tc>
        <w:tc>
          <w:tcPr>
            <w:tcW w:w="1123" w:type="dxa"/>
            <w:tcBorders>
              <w:top w:val="single" w:sz="4" w:space="0" w:color="7F7F7F" w:themeColor="text1" w:themeTint="80"/>
              <w:bottom w:val="single" w:sz="4" w:space="0" w:color="auto"/>
            </w:tcBorders>
            <w:hideMark/>
          </w:tcPr>
          <w:p w14:paraId="65D16781"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Scheme</w:t>
            </w:r>
            <w:r>
              <w:rPr>
                <w:rFonts w:eastAsia="Times New Roman" w:cstheme="minorHAnsi"/>
                <w:color w:val="000000"/>
                <w:kern w:val="24"/>
                <w:sz w:val="21"/>
                <w:szCs w:val="21"/>
              </w:rPr>
              <w:br/>
            </w:r>
          </w:p>
        </w:tc>
        <w:tc>
          <w:tcPr>
            <w:tcW w:w="1018" w:type="dxa"/>
            <w:tcBorders>
              <w:top w:val="single" w:sz="4" w:space="0" w:color="7F7F7F" w:themeColor="text1" w:themeTint="80"/>
              <w:bottom w:val="single" w:sz="4" w:space="0" w:color="auto"/>
            </w:tcBorders>
            <w:hideMark/>
          </w:tcPr>
          <w:p w14:paraId="2D7CA5B1"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Charge</w:t>
            </w:r>
          </w:p>
        </w:tc>
        <w:tc>
          <w:tcPr>
            <w:tcW w:w="1721" w:type="dxa"/>
            <w:tcBorders>
              <w:top w:val="single" w:sz="4" w:space="0" w:color="7F7F7F" w:themeColor="text1" w:themeTint="80"/>
              <w:bottom w:val="single" w:sz="4" w:space="0" w:color="auto"/>
            </w:tcBorders>
            <w:hideMark/>
          </w:tcPr>
          <w:p w14:paraId="21ED4B5F" w14:textId="78163653" w:rsidR="00C54507" w:rsidRPr="002C7B33" w:rsidRDefault="00D972B2" w:rsidP="00C34A02">
            <w:pPr>
              <w:jc w:val="center"/>
              <w:textAlignment w:val="bottom"/>
              <w:rPr>
                <w:rFonts w:eastAsia="Times New Roman" w:cstheme="minorHAnsi"/>
                <w:sz w:val="21"/>
                <w:szCs w:val="21"/>
              </w:rPr>
            </w:pPr>
            <w:proofErr w:type="spellStart"/>
            <w:r>
              <w:rPr>
                <w:rFonts w:eastAsia="Times New Roman" w:cstheme="minorHAnsi"/>
                <w:sz w:val="21"/>
                <w:szCs w:val="21"/>
              </w:rPr>
              <w:t>Monolix</w:t>
            </w:r>
            <w:proofErr w:type="spellEnd"/>
            <w:r>
              <w:rPr>
                <w:rFonts w:eastAsia="Times New Roman" w:cstheme="minorHAnsi"/>
                <w:sz w:val="21"/>
                <w:szCs w:val="21"/>
              </w:rPr>
              <w:t>/</w:t>
            </w:r>
            <w:proofErr w:type="spellStart"/>
            <w:r>
              <w:rPr>
                <w:rFonts w:eastAsia="Times New Roman" w:cstheme="minorHAnsi"/>
                <w:sz w:val="21"/>
                <w:szCs w:val="21"/>
              </w:rPr>
              <w:t>Simulix</w:t>
            </w:r>
            <w:proofErr w:type="spellEnd"/>
          </w:p>
        </w:tc>
        <w:tc>
          <w:tcPr>
            <w:tcW w:w="1096" w:type="dxa"/>
            <w:tcBorders>
              <w:top w:val="single" w:sz="4" w:space="0" w:color="7F7F7F" w:themeColor="text1" w:themeTint="80"/>
              <w:bottom w:val="single" w:sz="4" w:space="0" w:color="auto"/>
            </w:tcBorders>
            <w:hideMark/>
          </w:tcPr>
          <w:p w14:paraId="27714DB6" w14:textId="77777777" w:rsidR="00C54507" w:rsidRPr="002C7B33" w:rsidRDefault="00C54507" w:rsidP="00C34A02">
            <w:pPr>
              <w:jc w:val="center"/>
              <w:textAlignment w:val="bottom"/>
              <w:rPr>
                <w:rFonts w:eastAsia="Times New Roman" w:cstheme="minorHAnsi"/>
                <w:sz w:val="21"/>
                <w:szCs w:val="21"/>
              </w:rPr>
            </w:pPr>
            <w:proofErr w:type="spellStart"/>
            <w:r w:rsidRPr="002C7B33">
              <w:rPr>
                <w:rFonts w:eastAsia="Times New Roman" w:cstheme="minorHAnsi"/>
                <w:kern w:val="24"/>
                <w:sz w:val="21"/>
                <w:szCs w:val="21"/>
              </w:rPr>
              <w:t>mPBPK</w:t>
            </w:r>
            <w:proofErr w:type="spellEnd"/>
            <w:r w:rsidRPr="000A4856">
              <w:rPr>
                <w:rFonts w:eastAsia="Times New Roman" w:cstheme="minorHAnsi"/>
                <w:kern w:val="24"/>
                <w:sz w:val="21"/>
                <w:szCs w:val="21"/>
              </w:rPr>
              <w:br/>
            </w:r>
            <w:r w:rsidRPr="000A4856">
              <w:rPr>
                <w:rFonts w:eastAsia="Times New Roman" w:cstheme="minorHAnsi"/>
                <w:sz w:val="21"/>
                <w:szCs w:val="21"/>
              </w:rPr>
              <w:t>model</w:t>
            </w:r>
          </w:p>
        </w:tc>
        <w:tc>
          <w:tcPr>
            <w:tcW w:w="1091" w:type="dxa"/>
            <w:tcBorders>
              <w:top w:val="single" w:sz="4" w:space="0" w:color="7F7F7F" w:themeColor="text1" w:themeTint="80"/>
              <w:bottom w:val="single" w:sz="4" w:space="0" w:color="auto"/>
            </w:tcBorders>
            <w:hideMark/>
          </w:tcPr>
          <w:p w14:paraId="40BEFC8F"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ML</w:t>
            </w:r>
            <w:r w:rsidRPr="000A4856">
              <w:rPr>
                <w:rFonts w:eastAsia="Times New Roman" w:cstheme="minorHAnsi"/>
                <w:kern w:val="24"/>
                <w:sz w:val="21"/>
                <w:szCs w:val="21"/>
              </w:rPr>
              <w:br/>
            </w:r>
            <w:r w:rsidRPr="000A4856">
              <w:rPr>
                <w:rFonts w:eastAsia="Times New Roman" w:cstheme="minorHAnsi"/>
                <w:sz w:val="21"/>
                <w:szCs w:val="21"/>
              </w:rPr>
              <w:t>prediction</w:t>
            </w:r>
          </w:p>
        </w:tc>
      </w:tr>
      <w:tr w:rsidR="00C54507" w:rsidRPr="002C7B33" w14:paraId="3FFB819D" w14:textId="77777777" w:rsidTr="00C34A02">
        <w:trPr>
          <w:trHeight w:val="270"/>
        </w:trPr>
        <w:tc>
          <w:tcPr>
            <w:tcW w:w="809" w:type="dxa"/>
            <w:tcBorders>
              <w:top w:val="single" w:sz="4" w:space="0" w:color="auto"/>
            </w:tcBorders>
            <w:hideMark/>
          </w:tcPr>
          <w:p w14:paraId="66D841AC"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themeColor="text1"/>
                <w:kern w:val="24"/>
                <w:sz w:val="21"/>
                <w:szCs w:val="21"/>
              </w:rPr>
              <w:t>1</w:t>
            </w:r>
          </w:p>
        </w:tc>
        <w:tc>
          <w:tcPr>
            <w:tcW w:w="884" w:type="dxa"/>
            <w:tcBorders>
              <w:top w:val="single" w:sz="4" w:space="0" w:color="auto"/>
            </w:tcBorders>
            <w:hideMark/>
          </w:tcPr>
          <w:p w14:paraId="115C63B1"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20</w:t>
            </w:r>
          </w:p>
        </w:tc>
        <w:tc>
          <w:tcPr>
            <w:tcW w:w="799" w:type="dxa"/>
            <w:tcBorders>
              <w:top w:val="single" w:sz="4" w:space="0" w:color="auto"/>
            </w:tcBorders>
            <w:hideMark/>
          </w:tcPr>
          <w:p w14:paraId="2069289D"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12</w:t>
            </w:r>
          </w:p>
        </w:tc>
        <w:tc>
          <w:tcPr>
            <w:tcW w:w="850" w:type="dxa"/>
            <w:tcBorders>
              <w:top w:val="single" w:sz="4" w:space="0" w:color="auto"/>
            </w:tcBorders>
            <w:hideMark/>
          </w:tcPr>
          <w:p w14:paraId="7D47C20F"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25</w:t>
            </w:r>
          </w:p>
        </w:tc>
        <w:tc>
          <w:tcPr>
            <w:tcW w:w="1058" w:type="dxa"/>
            <w:tcBorders>
              <w:top w:val="single" w:sz="4" w:space="0" w:color="auto"/>
            </w:tcBorders>
            <w:hideMark/>
          </w:tcPr>
          <w:p w14:paraId="44ECAE0A"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w:t>
            </w:r>
          </w:p>
        </w:tc>
        <w:tc>
          <w:tcPr>
            <w:tcW w:w="1123" w:type="dxa"/>
            <w:tcBorders>
              <w:top w:val="single" w:sz="4" w:space="0" w:color="auto"/>
            </w:tcBorders>
            <w:hideMark/>
          </w:tcPr>
          <w:p w14:paraId="46DD8163"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Q2W</w:t>
            </w:r>
          </w:p>
        </w:tc>
        <w:tc>
          <w:tcPr>
            <w:tcW w:w="1018" w:type="dxa"/>
            <w:tcBorders>
              <w:top w:val="single" w:sz="4" w:space="0" w:color="auto"/>
            </w:tcBorders>
            <w:hideMark/>
          </w:tcPr>
          <w:p w14:paraId="3AB97EF1"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0</w:t>
            </w:r>
          </w:p>
        </w:tc>
        <w:tc>
          <w:tcPr>
            <w:tcW w:w="1721" w:type="dxa"/>
            <w:tcBorders>
              <w:top w:val="single" w:sz="4" w:space="0" w:color="auto"/>
            </w:tcBorders>
            <w:hideMark/>
          </w:tcPr>
          <w:p w14:paraId="7947C46E" w14:textId="7174E6E1"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6</w:t>
            </w:r>
            <w:r w:rsidR="000C0120">
              <w:rPr>
                <w:rFonts w:eastAsia="Times New Roman" w:cstheme="minorHAnsi"/>
                <w:kern w:val="24"/>
                <w:sz w:val="21"/>
                <w:szCs w:val="21"/>
              </w:rPr>
              <w:t>5</w:t>
            </w:r>
            <w:r w:rsidRPr="002C7B33">
              <w:rPr>
                <w:rFonts w:eastAsia="Times New Roman" w:cstheme="minorHAnsi"/>
                <w:kern w:val="24"/>
                <w:sz w:val="21"/>
                <w:szCs w:val="21"/>
              </w:rPr>
              <w:t>.</w:t>
            </w:r>
            <w:r w:rsidR="000C0120">
              <w:rPr>
                <w:rFonts w:eastAsia="Times New Roman" w:cstheme="minorHAnsi"/>
                <w:kern w:val="24"/>
                <w:sz w:val="21"/>
                <w:szCs w:val="21"/>
              </w:rPr>
              <w:t>4</w:t>
            </w:r>
            <w:r>
              <w:rPr>
                <w:rFonts w:eastAsia="Times New Roman" w:cstheme="minorHAnsi"/>
                <w:kern w:val="24"/>
                <w:sz w:val="21"/>
                <w:szCs w:val="21"/>
              </w:rPr>
              <w:t xml:space="preserve"> %</w:t>
            </w:r>
          </w:p>
        </w:tc>
        <w:tc>
          <w:tcPr>
            <w:tcW w:w="1096" w:type="dxa"/>
            <w:tcBorders>
              <w:top w:val="single" w:sz="4" w:space="0" w:color="auto"/>
            </w:tcBorders>
            <w:hideMark/>
          </w:tcPr>
          <w:p w14:paraId="5147AAD8"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66.4</w:t>
            </w:r>
            <w:r>
              <w:rPr>
                <w:rFonts w:eastAsia="Times New Roman" w:cstheme="minorHAnsi"/>
                <w:kern w:val="24"/>
                <w:sz w:val="21"/>
                <w:szCs w:val="21"/>
              </w:rPr>
              <w:t xml:space="preserve"> %</w:t>
            </w:r>
          </w:p>
        </w:tc>
        <w:tc>
          <w:tcPr>
            <w:tcW w:w="1091" w:type="dxa"/>
            <w:tcBorders>
              <w:top w:val="single" w:sz="4" w:space="0" w:color="auto"/>
            </w:tcBorders>
            <w:hideMark/>
          </w:tcPr>
          <w:p w14:paraId="4571F61D"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&lt;</w:t>
            </w:r>
            <w:r>
              <w:rPr>
                <w:rFonts w:eastAsia="Times New Roman" w:cstheme="minorHAnsi"/>
                <w:kern w:val="24"/>
                <w:sz w:val="21"/>
                <w:szCs w:val="21"/>
              </w:rPr>
              <w:t xml:space="preserve"> </w:t>
            </w:r>
            <w:r w:rsidRPr="002C7B33">
              <w:rPr>
                <w:rFonts w:eastAsia="Times New Roman" w:cstheme="minorHAnsi"/>
                <w:kern w:val="24"/>
                <w:sz w:val="21"/>
                <w:szCs w:val="21"/>
              </w:rPr>
              <w:t>90</w:t>
            </w:r>
            <w:r>
              <w:rPr>
                <w:rFonts w:eastAsia="Times New Roman" w:cstheme="minorHAnsi"/>
                <w:kern w:val="24"/>
                <w:sz w:val="21"/>
                <w:szCs w:val="21"/>
              </w:rPr>
              <w:t xml:space="preserve"> %</w:t>
            </w:r>
          </w:p>
        </w:tc>
      </w:tr>
      <w:tr w:rsidR="00C54507" w:rsidRPr="002C7B33" w14:paraId="5DC9DD98" w14:textId="77777777" w:rsidTr="00C34A02">
        <w:trPr>
          <w:trHeight w:val="270"/>
        </w:trPr>
        <w:tc>
          <w:tcPr>
            <w:tcW w:w="809" w:type="dxa"/>
            <w:hideMark/>
          </w:tcPr>
          <w:p w14:paraId="2EA83E07"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themeColor="text1"/>
                <w:kern w:val="24"/>
                <w:sz w:val="21"/>
                <w:szCs w:val="21"/>
              </w:rPr>
              <w:t>2</w:t>
            </w:r>
          </w:p>
        </w:tc>
        <w:tc>
          <w:tcPr>
            <w:tcW w:w="884" w:type="dxa"/>
            <w:hideMark/>
          </w:tcPr>
          <w:p w14:paraId="07604BCB"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5</w:t>
            </w:r>
          </w:p>
        </w:tc>
        <w:tc>
          <w:tcPr>
            <w:tcW w:w="799" w:type="dxa"/>
            <w:hideMark/>
          </w:tcPr>
          <w:p w14:paraId="14485588"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15</w:t>
            </w:r>
          </w:p>
        </w:tc>
        <w:tc>
          <w:tcPr>
            <w:tcW w:w="850" w:type="dxa"/>
            <w:hideMark/>
          </w:tcPr>
          <w:p w14:paraId="36061162"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12</w:t>
            </w:r>
          </w:p>
        </w:tc>
        <w:tc>
          <w:tcPr>
            <w:tcW w:w="1058" w:type="dxa"/>
            <w:hideMark/>
          </w:tcPr>
          <w:p w14:paraId="21D5A150"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w:t>
            </w:r>
          </w:p>
        </w:tc>
        <w:tc>
          <w:tcPr>
            <w:tcW w:w="1123" w:type="dxa"/>
            <w:hideMark/>
          </w:tcPr>
          <w:p w14:paraId="1B9A4332"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 xml:space="preserve">Q1W </w:t>
            </w:r>
          </w:p>
        </w:tc>
        <w:tc>
          <w:tcPr>
            <w:tcW w:w="1018" w:type="dxa"/>
            <w:hideMark/>
          </w:tcPr>
          <w:p w14:paraId="0810936F"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0</w:t>
            </w:r>
          </w:p>
        </w:tc>
        <w:tc>
          <w:tcPr>
            <w:tcW w:w="1721" w:type="dxa"/>
            <w:hideMark/>
          </w:tcPr>
          <w:p w14:paraId="7EF4BAA0" w14:textId="65E50413" w:rsidR="00C54507" w:rsidRPr="002C7B33" w:rsidRDefault="000C0120" w:rsidP="00C34A02">
            <w:pPr>
              <w:jc w:val="center"/>
              <w:textAlignment w:val="bottom"/>
              <w:rPr>
                <w:rFonts w:eastAsia="Times New Roman" w:cstheme="minorHAnsi"/>
                <w:sz w:val="21"/>
                <w:szCs w:val="21"/>
              </w:rPr>
            </w:pPr>
            <w:r>
              <w:rPr>
                <w:rFonts w:eastAsia="Times New Roman" w:cstheme="minorHAnsi"/>
                <w:kern w:val="24"/>
                <w:sz w:val="21"/>
                <w:szCs w:val="21"/>
              </w:rPr>
              <w:t>93.1</w:t>
            </w:r>
            <w:r w:rsidR="00C54507">
              <w:rPr>
                <w:rFonts w:eastAsia="Times New Roman" w:cstheme="minorHAnsi"/>
                <w:kern w:val="24"/>
                <w:sz w:val="21"/>
                <w:szCs w:val="21"/>
              </w:rPr>
              <w:t xml:space="preserve"> %</w:t>
            </w:r>
          </w:p>
        </w:tc>
        <w:tc>
          <w:tcPr>
            <w:tcW w:w="1096" w:type="dxa"/>
            <w:hideMark/>
          </w:tcPr>
          <w:p w14:paraId="0DA879E6"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91.4</w:t>
            </w:r>
            <w:r>
              <w:rPr>
                <w:rFonts w:eastAsia="Times New Roman" w:cstheme="minorHAnsi"/>
                <w:kern w:val="24"/>
                <w:sz w:val="21"/>
                <w:szCs w:val="21"/>
              </w:rPr>
              <w:t xml:space="preserve"> %</w:t>
            </w:r>
          </w:p>
        </w:tc>
        <w:tc>
          <w:tcPr>
            <w:tcW w:w="1091" w:type="dxa"/>
            <w:hideMark/>
          </w:tcPr>
          <w:p w14:paraId="13592414"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&gt;</w:t>
            </w:r>
            <w:r>
              <w:rPr>
                <w:rFonts w:eastAsia="Times New Roman" w:cstheme="minorHAnsi"/>
                <w:kern w:val="24"/>
                <w:sz w:val="21"/>
                <w:szCs w:val="21"/>
              </w:rPr>
              <w:t xml:space="preserve"> </w:t>
            </w:r>
            <w:r w:rsidRPr="002C7B33">
              <w:rPr>
                <w:rFonts w:eastAsia="Times New Roman" w:cstheme="minorHAnsi"/>
                <w:kern w:val="24"/>
                <w:sz w:val="21"/>
                <w:szCs w:val="21"/>
              </w:rPr>
              <w:t>90</w:t>
            </w:r>
            <w:r>
              <w:rPr>
                <w:rFonts w:eastAsia="Times New Roman" w:cstheme="minorHAnsi"/>
                <w:kern w:val="24"/>
                <w:sz w:val="21"/>
                <w:szCs w:val="21"/>
              </w:rPr>
              <w:t xml:space="preserve"> %</w:t>
            </w:r>
          </w:p>
        </w:tc>
      </w:tr>
      <w:tr w:rsidR="00C54507" w:rsidRPr="002C7B33" w14:paraId="00509752" w14:textId="77777777" w:rsidTr="00C34A02">
        <w:trPr>
          <w:trHeight w:val="270"/>
        </w:trPr>
        <w:tc>
          <w:tcPr>
            <w:tcW w:w="809" w:type="dxa"/>
            <w:hideMark/>
          </w:tcPr>
          <w:p w14:paraId="2446F141"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themeColor="text1"/>
                <w:kern w:val="24"/>
                <w:sz w:val="21"/>
                <w:szCs w:val="21"/>
              </w:rPr>
              <w:t>3</w:t>
            </w:r>
          </w:p>
        </w:tc>
        <w:tc>
          <w:tcPr>
            <w:tcW w:w="884" w:type="dxa"/>
            <w:hideMark/>
          </w:tcPr>
          <w:p w14:paraId="50A206B5"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w:t>
            </w:r>
          </w:p>
        </w:tc>
        <w:tc>
          <w:tcPr>
            <w:tcW w:w="799" w:type="dxa"/>
            <w:hideMark/>
          </w:tcPr>
          <w:p w14:paraId="72E81B27"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48</w:t>
            </w:r>
          </w:p>
        </w:tc>
        <w:tc>
          <w:tcPr>
            <w:tcW w:w="850" w:type="dxa"/>
            <w:hideMark/>
          </w:tcPr>
          <w:p w14:paraId="4D66995C"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2</w:t>
            </w:r>
          </w:p>
        </w:tc>
        <w:tc>
          <w:tcPr>
            <w:tcW w:w="1058" w:type="dxa"/>
            <w:hideMark/>
          </w:tcPr>
          <w:p w14:paraId="7416315D"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w:t>
            </w:r>
          </w:p>
        </w:tc>
        <w:tc>
          <w:tcPr>
            <w:tcW w:w="1123" w:type="dxa"/>
            <w:hideMark/>
          </w:tcPr>
          <w:p w14:paraId="1270BFEA" w14:textId="77777777" w:rsidR="00C54507" w:rsidRPr="002C7B33" w:rsidRDefault="00C54507" w:rsidP="00C34A02">
            <w:pPr>
              <w:jc w:val="center"/>
              <w:textAlignment w:val="bottom"/>
              <w:rPr>
                <w:rFonts w:eastAsia="Times New Roman" w:cstheme="minorHAnsi"/>
                <w:sz w:val="21"/>
                <w:szCs w:val="21"/>
              </w:rPr>
            </w:pPr>
            <w:r w:rsidRPr="002C7B33">
              <w:rPr>
                <w:rFonts w:eastAsiaTheme="minorEastAsia" w:cstheme="minorHAnsi"/>
                <w:kern w:val="24"/>
                <w:sz w:val="21"/>
                <w:szCs w:val="21"/>
              </w:rPr>
              <w:t xml:space="preserve">Q4W </w:t>
            </w:r>
          </w:p>
        </w:tc>
        <w:tc>
          <w:tcPr>
            <w:tcW w:w="1018" w:type="dxa"/>
            <w:hideMark/>
          </w:tcPr>
          <w:p w14:paraId="0A7F22B1"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0</w:t>
            </w:r>
          </w:p>
        </w:tc>
        <w:tc>
          <w:tcPr>
            <w:tcW w:w="1721" w:type="dxa"/>
            <w:hideMark/>
          </w:tcPr>
          <w:p w14:paraId="4A6299FF" w14:textId="660DC25E"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9</w:t>
            </w:r>
            <w:r w:rsidR="000C0120">
              <w:rPr>
                <w:rFonts w:eastAsia="Times New Roman" w:cstheme="minorHAnsi"/>
                <w:kern w:val="24"/>
                <w:sz w:val="21"/>
                <w:szCs w:val="21"/>
              </w:rPr>
              <w:t>3.2</w:t>
            </w:r>
            <w:r>
              <w:rPr>
                <w:rFonts w:eastAsia="Times New Roman" w:cstheme="minorHAnsi"/>
                <w:kern w:val="24"/>
                <w:sz w:val="21"/>
                <w:szCs w:val="21"/>
              </w:rPr>
              <w:t xml:space="preserve"> %</w:t>
            </w:r>
          </w:p>
        </w:tc>
        <w:tc>
          <w:tcPr>
            <w:tcW w:w="1096" w:type="dxa"/>
            <w:hideMark/>
          </w:tcPr>
          <w:p w14:paraId="43BAA03B"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95</w:t>
            </w:r>
            <w:r>
              <w:rPr>
                <w:rFonts w:eastAsia="Times New Roman" w:cstheme="minorHAnsi"/>
                <w:kern w:val="24"/>
                <w:sz w:val="21"/>
                <w:szCs w:val="21"/>
              </w:rPr>
              <w:t xml:space="preserve"> %</w:t>
            </w:r>
          </w:p>
        </w:tc>
        <w:tc>
          <w:tcPr>
            <w:tcW w:w="1091" w:type="dxa"/>
            <w:hideMark/>
          </w:tcPr>
          <w:p w14:paraId="69A1D40B"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&gt;</w:t>
            </w:r>
            <w:r>
              <w:rPr>
                <w:rFonts w:eastAsia="Times New Roman" w:cstheme="minorHAnsi"/>
                <w:kern w:val="24"/>
                <w:sz w:val="21"/>
                <w:szCs w:val="21"/>
              </w:rPr>
              <w:t xml:space="preserve"> </w:t>
            </w:r>
            <w:r w:rsidRPr="002C7B33">
              <w:rPr>
                <w:rFonts w:eastAsia="Times New Roman" w:cstheme="minorHAnsi"/>
                <w:kern w:val="24"/>
                <w:sz w:val="21"/>
                <w:szCs w:val="21"/>
              </w:rPr>
              <w:t>90</w:t>
            </w:r>
            <w:r>
              <w:rPr>
                <w:rFonts w:eastAsia="Times New Roman" w:cstheme="minorHAnsi"/>
                <w:kern w:val="24"/>
                <w:sz w:val="21"/>
                <w:szCs w:val="21"/>
              </w:rPr>
              <w:t xml:space="preserve"> %</w:t>
            </w:r>
          </w:p>
        </w:tc>
      </w:tr>
      <w:tr w:rsidR="00C54507" w:rsidRPr="002C7B33" w14:paraId="1996B023" w14:textId="77777777" w:rsidTr="00C34A02">
        <w:trPr>
          <w:trHeight w:val="270"/>
        </w:trPr>
        <w:tc>
          <w:tcPr>
            <w:tcW w:w="809" w:type="dxa"/>
            <w:hideMark/>
          </w:tcPr>
          <w:p w14:paraId="2EC9D8CA"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themeColor="text1"/>
                <w:kern w:val="24"/>
                <w:sz w:val="21"/>
                <w:szCs w:val="21"/>
              </w:rPr>
              <w:t>4</w:t>
            </w:r>
          </w:p>
        </w:tc>
        <w:tc>
          <w:tcPr>
            <w:tcW w:w="884" w:type="dxa"/>
            <w:hideMark/>
          </w:tcPr>
          <w:p w14:paraId="108E9979"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0.05</w:t>
            </w:r>
          </w:p>
        </w:tc>
        <w:tc>
          <w:tcPr>
            <w:tcW w:w="799" w:type="dxa"/>
            <w:hideMark/>
          </w:tcPr>
          <w:p w14:paraId="49A281E3"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w:t>
            </w:r>
          </w:p>
        </w:tc>
        <w:tc>
          <w:tcPr>
            <w:tcW w:w="850" w:type="dxa"/>
            <w:hideMark/>
          </w:tcPr>
          <w:p w14:paraId="7A5DAD84"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5</w:t>
            </w:r>
          </w:p>
        </w:tc>
        <w:tc>
          <w:tcPr>
            <w:tcW w:w="1058" w:type="dxa"/>
            <w:hideMark/>
          </w:tcPr>
          <w:p w14:paraId="76D688CD"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0.1</w:t>
            </w:r>
          </w:p>
        </w:tc>
        <w:tc>
          <w:tcPr>
            <w:tcW w:w="1123" w:type="dxa"/>
            <w:hideMark/>
          </w:tcPr>
          <w:p w14:paraId="1F4B1763"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 xml:space="preserve">Q2W </w:t>
            </w:r>
          </w:p>
        </w:tc>
        <w:tc>
          <w:tcPr>
            <w:tcW w:w="1018" w:type="dxa"/>
            <w:hideMark/>
          </w:tcPr>
          <w:p w14:paraId="1ECCEEA2"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0</w:t>
            </w:r>
          </w:p>
        </w:tc>
        <w:tc>
          <w:tcPr>
            <w:tcW w:w="1721" w:type="dxa"/>
            <w:hideMark/>
          </w:tcPr>
          <w:p w14:paraId="36EB8323" w14:textId="77777777" w:rsidR="00C54507" w:rsidRPr="002C7B33" w:rsidRDefault="00C54507" w:rsidP="008C6C83">
            <w:pPr>
              <w:jc w:val="center"/>
              <w:textAlignment w:val="bottom"/>
              <w:rPr>
                <w:rFonts w:eastAsia="Times New Roman" w:cstheme="minorHAnsi"/>
                <w:sz w:val="21"/>
                <w:szCs w:val="21"/>
              </w:rPr>
            </w:pPr>
            <w:r w:rsidRPr="002C7B33">
              <w:rPr>
                <w:rFonts w:eastAsia="Times New Roman" w:cstheme="minorHAnsi"/>
                <w:kern w:val="24"/>
                <w:sz w:val="21"/>
                <w:szCs w:val="21"/>
              </w:rPr>
              <w:t>63</w:t>
            </w:r>
            <w:r>
              <w:rPr>
                <w:rFonts w:eastAsia="Times New Roman" w:cstheme="minorHAnsi"/>
                <w:kern w:val="24"/>
                <w:sz w:val="21"/>
                <w:szCs w:val="21"/>
              </w:rPr>
              <w:t xml:space="preserve"> %</w:t>
            </w:r>
          </w:p>
        </w:tc>
        <w:tc>
          <w:tcPr>
            <w:tcW w:w="1096" w:type="dxa"/>
            <w:hideMark/>
          </w:tcPr>
          <w:p w14:paraId="041297BB"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61.6</w:t>
            </w:r>
            <w:r>
              <w:rPr>
                <w:rFonts w:eastAsia="Times New Roman" w:cstheme="minorHAnsi"/>
                <w:kern w:val="24"/>
                <w:sz w:val="21"/>
                <w:szCs w:val="21"/>
              </w:rPr>
              <w:t xml:space="preserve"> %</w:t>
            </w:r>
          </w:p>
        </w:tc>
        <w:tc>
          <w:tcPr>
            <w:tcW w:w="1091" w:type="dxa"/>
            <w:hideMark/>
          </w:tcPr>
          <w:p w14:paraId="58539562"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&lt;</w:t>
            </w:r>
            <w:r>
              <w:rPr>
                <w:rFonts w:eastAsia="Times New Roman" w:cstheme="minorHAnsi"/>
                <w:kern w:val="24"/>
                <w:sz w:val="21"/>
                <w:szCs w:val="21"/>
              </w:rPr>
              <w:t xml:space="preserve"> </w:t>
            </w:r>
            <w:r w:rsidRPr="002C7B33">
              <w:rPr>
                <w:rFonts w:eastAsia="Times New Roman" w:cstheme="minorHAnsi"/>
                <w:kern w:val="24"/>
                <w:sz w:val="21"/>
                <w:szCs w:val="21"/>
              </w:rPr>
              <w:t>90</w:t>
            </w:r>
            <w:r>
              <w:rPr>
                <w:rFonts w:eastAsia="Times New Roman" w:cstheme="minorHAnsi"/>
                <w:kern w:val="24"/>
                <w:sz w:val="21"/>
                <w:szCs w:val="21"/>
              </w:rPr>
              <w:t xml:space="preserve"> % </w:t>
            </w:r>
          </w:p>
        </w:tc>
      </w:tr>
      <w:tr w:rsidR="00C54507" w:rsidRPr="002C7B33" w14:paraId="1099ECCC" w14:textId="77777777" w:rsidTr="00C34A02">
        <w:trPr>
          <w:trHeight w:val="270"/>
        </w:trPr>
        <w:tc>
          <w:tcPr>
            <w:tcW w:w="809" w:type="dxa"/>
            <w:hideMark/>
          </w:tcPr>
          <w:p w14:paraId="44EFF8E5"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themeColor="text1"/>
                <w:kern w:val="24"/>
                <w:sz w:val="21"/>
                <w:szCs w:val="21"/>
              </w:rPr>
              <w:t>5</w:t>
            </w:r>
          </w:p>
        </w:tc>
        <w:tc>
          <w:tcPr>
            <w:tcW w:w="884" w:type="dxa"/>
            <w:hideMark/>
          </w:tcPr>
          <w:p w14:paraId="452C3C49"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12</w:t>
            </w:r>
          </w:p>
        </w:tc>
        <w:tc>
          <w:tcPr>
            <w:tcW w:w="799" w:type="dxa"/>
            <w:hideMark/>
          </w:tcPr>
          <w:p w14:paraId="4D11A738"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10</w:t>
            </w:r>
          </w:p>
        </w:tc>
        <w:tc>
          <w:tcPr>
            <w:tcW w:w="850" w:type="dxa"/>
            <w:hideMark/>
          </w:tcPr>
          <w:p w14:paraId="3948DBFF"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24</w:t>
            </w:r>
          </w:p>
        </w:tc>
        <w:tc>
          <w:tcPr>
            <w:tcW w:w="1058" w:type="dxa"/>
            <w:hideMark/>
          </w:tcPr>
          <w:p w14:paraId="3B2C9882"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10</w:t>
            </w:r>
          </w:p>
        </w:tc>
        <w:tc>
          <w:tcPr>
            <w:tcW w:w="1123" w:type="dxa"/>
            <w:hideMark/>
          </w:tcPr>
          <w:p w14:paraId="38E38905"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 xml:space="preserve">Q2W </w:t>
            </w:r>
          </w:p>
        </w:tc>
        <w:tc>
          <w:tcPr>
            <w:tcW w:w="1018" w:type="dxa"/>
            <w:hideMark/>
          </w:tcPr>
          <w:p w14:paraId="0C0C5DD6"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0</w:t>
            </w:r>
          </w:p>
        </w:tc>
        <w:tc>
          <w:tcPr>
            <w:tcW w:w="1721" w:type="dxa"/>
            <w:hideMark/>
          </w:tcPr>
          <w:p w14:paraId="51788620" w14:textId="00B6FB49" w:rsidR="00C54507" w:rsidRPr="002C7B33" w:rsidRDefault="000C0120" w:rsidP="008C6C83">
            <w:pPr>
              <w:jc w:val="center"/>
              <w:rPr>
                <w:rFonts w:eastAsia="Times New Roman" w:cstheme="minorHAnsi"/>
                <w:sz w:val="21"/>
                <w:szCs w:val="21"/>
              </w:rPr>
            </w:pPr>
            <w:r>
              <w:rPr>
                <w:rFonts w:eastAsia="Times New Roman" w:cstheme="minorHAnsi"/>
                <w:sz w:val="21"/>
                <w:szCs w:val="21"/>
              </w:rPr>
              <w:t>96.7 %</w:t>
            </w:r>
          </w:p>
        </w:tc>
        <w:tc>
          <w:tcPr>
            <w:tcW w:w="1096" w:type="dxa"/>
            <w:hideMark/>
          </w:tcPr>
          <w:p w14:paraId="17BE59FC"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96.5</w:t>
            </w:r>
            <w:r>
              <w:rPr>
                <w:rFonts w:eastAsia="Times New Roman" w:cstheme="minorHAnsi"/>
                <w:kern w:val="24"/>
                <w:sz w:val="21"/>
                <w:szCs w:val="21"/>
              </w:rPr>
              <w:t xml:space="preserve"> %</w:t>
            </w:r>
          </w:p>
        </w:tc>
        <w:tc>
          <w:tcPr>
            <w:tcW w:w="1091" w:type="dxa"/>
            <w:hideMark/>
          </w:tcPr>
          <w:p w14:paraId="7C8EE2A6"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&gt;</w:t>
            </w:r>
            <w:r>
              <w:rPr>
                <w:rFonts w:eastAsia="Times New Roman" w:cstheme="minorHAnsi"/>
                <w:kern w:val="24"/>
                <w:sz w:val="21"/>
                <w:szCs w:val="21"/>
              </w:rPr>
              <w:t xml:space="preserve"> </w:t>
            </w:r>
            <w:r w:rsidRPr="002C7B33">
              <w:rPr>
                <w:rFonts w:eastAsia="Times New Roman" w:cstheme="minorHAnsi"/>
                <w:kern w:val="24"/>
                <w:sz w:val="21"/>
                <w:szCs w:val="21"/>
              </w:rPr>
              <w:t>90</w:t>
            </w:r>
            <w:r>
              <w:rPr>
                <w:rFonts w:eastAsia="Times New Roman" w:cstheme="minorHAnsi"/>
                <w:kern w:val="24"/>
                <w:sz w:val="21"/>
                <w:szCs w:val="21"/>
              </w:rPr>
              <w:t xml:space="preserve"> %</w:t>
            </w:r>
          </w:p>
        </w:tc>
      </w:tr>
      <w:tr w:rsidR="00C54507" w:rsidRPr="002C7B33" w14:paraId="7C6678AC" w14:textId="77777777" w:rsidTr="00C34A02">
        <w:trPr>
          <w:trHeight w:val="270"/>
        </w:trPr>
        <w:tc>
          <w:tcPr>
            <w:tcW w:w="809" w:type="dxa"/>
            <w:hideMark/>
          </w:tcPr>
          <w:p w14:paraId="7C1E1690"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themeColor="text1"/>
                <w:kern w:val="24"/>
                <w:sz w:val="21"/>
                <w:szCs w:val="21"/>
              </w:rPr>
              <w:t>6</w:t>
            </w:r>
          </w:p>
        </w:tc>
        <w:tc>
          <w:tcPr>
            <w:tcW w:w="884" w:type="dxa"/>
            <w:hideMark/>
          </w:tcPr>
          <w:p w14:paraId="295484F4"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15</w:t>
            </w:r>
          </w:p>
        </w:tc>
        <w:tc>
          <w:tcPr>
            <w:tcW w:w="799" w:type="dxa"/>
            <w:hideMark/>
          </w:tcPr>
          <w:p w14:paraId="2A7D5B2F"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6</w:t>
            </w:r>
          </w:p>
        </w:tc>
        <w:tc>
          <w:tcPr>
            <w:tcW w:w="850" w:type="dxa"/>
            <w:hideMark/>
          </w:tcPr>
          <w:p w14:paraId="261FEC0C"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15</w:t>
            </w:r>
          </w:p>
        </w:tc>
        <w:tc>
          <w:tcPr>
            <w:tcW w:w="1058" w:type="dxa"/>
            <w:hideMark/>
          </w:tcPr>
          <w:p w14:paraId="31AF5743"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w:t>
            </w:r>
          </w:p>
        </w:tc>
        <w:tc>
          <w:tcPr>
            <w:tcW w:w="1123" w:type="dxa"/>
            <w:hideMark/>
          </w:tcPr>
          <w:p w14:paraId="2EB36315"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Q2W</w:t>
            </w:r>
          </w:p>
        </w:tc>
        <w:tc>
          <w:tcPr>
            <w:tcW w:w="1018" w:type="dxa"/>
            <w:hideMark/>
          </w:tcPr>
          <w:p w14:paraId="32ECE9E2"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0</w:t>
            </w:r>
          </w:p>
        </w:tc>
        <w:tc>
          <w:tcPr>
            <w:tcW w:w="1721" w:type="dxa"/>
            <w:hideMark/>
          </w:tcPr>
          <w:p w14:paraId="45D540FE" w14:textId="5701F4F9" w:rsidR="00C54507" w:rsidRPr="002C7B33" w:rsidRDefault="008C6C83" w:rsidP="008C6C83">
            <w:pPr>
              <w:jc w:val="center"/>
              <w:rPr>
                <w:rFonts w:eastAsia="Times New Roman" w:cstheme="minorHAnsi"/>
                <w:sz w:val="21"/>
                <w:szCs w:val="21"/>
              </w:rPr>
            </w:pPr>
            <w:r>
              <w:rPr>
                <w:rFonts w:eastAsia="Times New Roman" w:cstheme="minorHAnsi"/>
                <w:sz w:val="21"/>
                <w:szCs w:val="21"/>
              </w:rPr>
              <w:t>73.7 %</w:t>
            </w:r>
          </w:p>
        </w:tc>
        <w:tc>
          <w:tcPr>
            <w:tcW w:w="1096" w:type="dxa"/>
            <w:hideMark/>
          </w:tcPr>
          <w:p w14:paraId="212B2B77"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72</w:t>
            </w:r>
            <w:r>
              <w:rPr>
                <w:rFonts w:eastAsia="Times New Roman" w:cstheme="minorHAnsi"/>
                <w:kern w:val="24"/>
                <w:sz w:val="21"/>
                <w:szCs w:val="21"/>
              </w:rPr>
              <w:t xml:space="preserve"> %</w:t>
            </w:r>
          </w:p>
        </w:tc>
        <w:tc>
          <w:tcPr>
            <w:tcW w:w="1091" w:type="dxa"/>
            <w:hideMark/>
          </w:tcPr>
          <w:p w14:paraId="102F29E2"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50-90</w:t>
            </w:r>
            <w:r>
              <w:rPr>
                <w:rFonts w:eastAsia="Times New Roman" w:cstheme="minorHAnsi"/>
                <w:kern w:val="24"/>
                <w:sz w:val="21"/>
                <w:szCs w:val="21"/>
              </w:rPr>
              <w:t xml:space="preserve"> %</w:t>
            </w:r>
          </w:p>
        </w:tc>
      </w:tr>
      <w:tr w:rsidR="00C54507" w:rsidRPr="002C7B33" w14:paraId="54BBD2E0" w14:textId="77777777" w:rsidTr="00C34A02">
        <w:trPr>
          <w:trHeight w:val="270"/>
        </w:trPr>
        <w:tc>
          <w:tcPr>
            <w:tcW w:w="809" w:type="dxa"/>
            <w:hideMark/>
          </w:tcPr>
          <w:p w14:paraId="023059D2"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themeColor="text1"/>
                <w:kern w:val="24"/>
                <w:sz w:val="21"/>
                <w:szCs w:val="21"/>
              </w:rPr>
              <w:t>7</w:t>
            </w:r>
          </w:p>
        </w:tc>
        <w:tc>
          <w:tcPr>
            <w:tcW w:w="884" w:type="dxa"/>
            <w:hideMark/>
          </w:tcPr>
          <w:p w14:paraId="13F2802B"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10</w:t>
            </w:r>
          </w:p>
        </w:tc>
        <w:tc>
          <w:tcPr>
            <w:tcW w:w="799" w:type="dxa"/>
            <w:hideMark/>
          </w:tcPr>
          <w:p w14:paraId="592BB1E9"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12</w:t>
            </w:r>
          </w:p>
        </w:tc>
        <w:tc>
          <w:tcPr>
            <w:tcW w:w="850" w:type="dxa"/>
            <w:hideMark/>
          </w:tcPr>
          <w:p w14:paraId="7C5522A4"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2</w:t>
            </w:r>
          </w:p>
        </w:tc>
        <w:tc>
          <w:tcPr>
            <w:tcW w:w="1058" w:type="dxa"/>
            <w:hideMark/>
          </w:tcPr>
          <w:p w14:paraId="691ED61A"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color w:val="000000"/>
                <w:kern w:val="24"/>
                <w:sz w:val="21"/>
                <w:szCs w:val="21"/>
              </w:rPr>
              <w:t>1</w:t>
            </w:r>
          </w:p>
        </w:tc>
        <w:tc>
          <w:tcPr>
            <w:tcW w:w="1123" w:type="dxa"/>
            <w:hideMark/>
          </w:tcPr>
          <w:p w14:paraId="5F088C45"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 xml:space="preserve">Q2W </w:t>
            </w:r>
          </w:p>
        </w:tc>
        <w:tc>
          <w:tcPr>
            <w:tcW w:w="1018" w:type="dxa"/>
            <w:hideMark/>
          </w:tcPr>
          <w:p w14:paraId="65FA1153"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0</w:t>
            </w:r>
          </w:p>
        </w:tc>
        <w:tc>
          <w:tcPr>
            <w:tcW w:w="1721" w:type="dxa"/>
            <w:hideMark/>
          </w:tcPr>
          <w:p w14:paraId="45778A53" w14:textId="37765DFD" w:rsidR="00C54507" w:rsidRPr="002C7B33" w:rsidRDefault="008C6C83" w:rsidP="008C6C83">
            <w:pPr>
              <w:jc w:val="center"/>
              <w:rPr>
                <w:rFonts w:eastAsia="Times New Roman" w:cstheme="minorHAnsi"/>
                <w:sz w:val="21"/>
                <w:szCs w:val="21"/>
              </w:rPr>
            </w:pPr>
            <w:r>
              <w:rPr>
                <w:rFonts w:eastAsia="Times New Roman" w:cstheme="minorHAnsi"/>
                <w:sz w:val="21"/>
                <w:szCs w:val="21"/>
              </w:rPr>
              <w:t>88.8 %</w:t>
            </w:r>
          </w:p>
        </w:tc>
        <w:tc>
          <w:tcPr>
            <w:tcW w:w="1096" w:type="dxa"/>
            <w:hideMark/>
          </w:tcPr>
          <w:p w14:paraId="16025E95"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94</w:t>
            </w:r>
            <w:r>
              <w:rPr>
                <w:rFonts w:eastAsia="Times New Roman" w:cstheme="minorHAnsi"/>
                <w:kern w:val="24"/>
                <w:sz w:val="21"/>
                <w:szCs w:val="21"/>
              </w:rPr>
              <w:t xml:space="preserve"> %</w:t>
            </w:r>
          </w:p>
        </w:tc>
        <w:tc>
          <w:tcPr>
            <w:tcW w:w="1091" w:type="dxa"/>
            <w:hideMark/>
          </w:tcPr>
          <w:p w14:paraId="73F33817" w14:textId="77777777" w:rsidR="00C54507" w:rsidRPr="002C7B33" w:rsidRDefault="00C54507" w:rsidP="00C34A02">
            <w:pPr>
              <w:jc w:val="center"/>
              <w:textAlignment w:val="bottom"/>
              <w:rPr>
                <w:rFonts w:eastAsia="Times New Roman" w:cstheme="minorHAnsi"/>
                <w:sz w:val="21"/>
                <w:szCs w:val="21"/>
              </w:rPr>
            </w:pPr>
            <w:r w:rsidRPr="002C7B33">
              <w:rPr>
                <w:rFonts w:eastAsia="Times New Roman" w:cstheme="minorHAnsi"/>
                <w:kern w:val="24"/>
                <w:sz w:val="21"/>
                <w:szCs w:val="21"/>
              </w:rPr>
              <w:t>&gt;</w:t>
            </w:r>
            <w:r>
              <w:rPr>
                <w:rFonts w:eastAsia="Times New Roman" w:cstheme="minorHAnsi"/>
                <w:kern w:val="24"/>
                <w:sz w:val="21"/>
                <w:szCs w:val="21"/>
              </w:rPr>
              <w:t xml:space="preserve"> </w:t>
            </w:r>
            <w:r w:rsidRPr="002C7B33">
              <w:rPr>
                <w:rFonts w:eastAsia="Times New Roman" w:cstheme="minorHAnsi"/>
                <w:kern w:val="24"/>
                <w:sz w:val="21"/>
                <w:szCs w:val="21"/>
              </w:rPr>
              <w:t>90</w:t>
            </w:r>
            <w:r>
              <w:rPr>
                <w:rFonts w:eastAsia="Times New Roman" w:cstheme="minorHAnsi"/>
                <w:kern w:val="24"/>
                <w:sz w:val="21"/>
                <w:szCs w:val="21"/>
              </w:rPr>
              <w:t xml:space="preserve"> %</w:t>
            </w:r>
          </w:p>
        </w:tc>
      </w:tr>
    </w:tbl>
    <w:p w14:paraId="3E10D3C2" w14:textId="4A61B67C" w:rsidR="00C54507" w:rsidRPr="005B5AE7" w:rsidRDefault="00000000" w:rsidP="005B5AE7">
      <w:pPr>
        <w:textAlignment w:val="bottom"/>
        <w:rPr>
          <w:rFonts w:eastAsia="Times New Roman" w:cstheme="minorHAnsi"/>
          <w:iCs/>
          <w:color w:val="000000"/>
          <w:kern w:val="24"/>
          <w:sz w:val="21"/>
          <w:szCs w:val="21"/>
        </w:rPr>
      </w:pPr>
      <m:oMath>
        <m:sSub>
          <m:sSubPr>
            <m:ctrlPr>
              <w:rPr>
                <w:rFonts w:ascii="Cambria Math" w:eastAsia="Times New Roman" w:hAnsi="Cambria Math" w:cstheme="minorHAnsi"/>
                <w:iCs/>
                <w:color w:val="000000"/>
                <w:kern w:val="24"/>
                <w:sz w:val="21"/>
                <w:szCs w:val="21"/>
              </w:rPr>
            </m:ctrlPr>
          </m:sSubPr>
          <m:e>
            <m:r>
              <m:rPr>
                <m:sty m:val="p"/>
              </m:rPr>
              <w:rPr>
                <w:rFonts w:ascii="Cambria Math" w:eastAsia="Times New Roman" w:hAnsi="Cambria Math" w:cstheme="minorHAnsi"/>
                <w:color w:val="000000"/>
                <w:kern w:val="24"/>
                <w:sz w:val="21"/>
                <w:szCs w:val="21"/>
              </w:rPr>
              <m:t>T</m:t>
            </m:r>
          </m:e>
          <m:sub>
            <m:r>
              <m:rPr>
                <m:sty m:val="p"/>
              </m:rPr>
              <w:rPr>
                <w:rFonts w:ascii="Cambria Math" w:eastAsia="Times New Roman" w:hAnsi="Cambria Math" w:cstheme="minorHAnsi"/>
                <w:color w:val="000000"/>
                <w:kern w:val="24"/>
                <w:sz w:val="21"/>
                <w:szCs w:val="21"/>
              </w:rPr>
              <m:t>0</m:t>
            </m:r>
          </m:sub>
        </m:sSub>
      </m:oMath>
      <w:r w:rsidR="00C54507" w:rsidRPr="002C7B33">
        <w:rPr>
          <w:rFonts w:eastAsia="Times New Roman" w:cstheme="minorHAnsi"/>
          <w:iCs/>
          <w:color w:val="000000"/>
          <w:kern w:val="24"/>
          <w:sz w:val="21"/>
          <w:szCs w:val="21"/>
        </w:rPr>
        <w:t xml:space="preserve"> </w:t>
      </w:r>
      <w:r w:rsidR="00C54507">
        <w:rPr>
          <w:rFonts w:eastAsia="Times New Roman" w:cstheme="minorHAnsi"/>
          <w:iCs/>
          <w:color w:val="000000"/>
          <w:kern w:val="24"/>
          <w:sz w:val="21"/>
          <w:szCs w:val="21"/>
        </w:rPr>
        <w:t xml:space="preserve">: Target baseline, </w:t>
      </w:r>
      <m:oMath>
        <m:sSub>
          <m:sSubPr>
            <m:ctrlPr>
              <w:rPr>
                <w:rFonts w:ascii="Cambria Math" w:eastAsia="Times New Roman" w:hAnsi="Cambria Math" w:cstheme="minorHAnsi"/>
                <w:iCs/>
                <w:color w:val="000000"/>
                <w:kern w:val="24"/>
                <w:sz w:val="21"/>
                <w:szCs w:val="21"/>
              </w:rPr>
            </m:ctrlPr>
          </m:sSubPr>
          <m:e>
            <m:r>
              <m:rPr>
                <m:sty m:val="p"/>
              </m:rPr>
              <w:rPr>
                <w:rFonts w:ascii="Cambria Math" w:eastAsia="Times New Roman" w:hAnsi="Cambria Math" w:cstheme="minorHAnsi"/>
                <w:color w:val="000000"/>
                <w:kern w:val="24"/>
                <w:sz w:val="21"/>
                <w:szCs w:val="21"/>
              </w:rPr>
              <m:t>t</m:t>
            </m:r>
          </m:e>
          <m:sub>
            <m:r>
              <m:rPr>
                <m:sty m:val="p"/>
              </m:rPr>
              <w:rPr>
                <w:rFonts w:ascii="Cambria Math" w:eastAsia="Times New Roman" w:hAnsi="Cambria Math" w:cstheme="minorHAnsi"/>
                <w:color w:val="000000"/>
                <w:kern w:val="24"/>
                <w:sz w:val="21"/>
                <w:szCs w:val="21"/>
              </w:rPr>
              <m:t>1/2</m:t>
            </m:r>
          </m:sub>
        </m:sSub>
      </m:oMath>
      <w:r w:rsidR="00C54507">
        <w:rPr>
          <w:rFonts w:eastAsia="Times New Roman" w:cstheme="minorHAnsi"/>
          <w:iCs/>
          <w:color w:val="000000"/>
          <w:kern w:val="24"/>
          <w:sz w:val="21"/>
          <w:szCs w:val="21"/>
        </w:rPr>
        <w:t xml:space="preserve">: Target half-life, </w:t>
      </w:r>
      <m:oMath>
        <m:sSub>
          <m:sSubPr>
            <m:ctrlPr>
              <w:rPr>
                <w:rFonts w:ascii="Cambria Math" w:eastAsia="Times New Roman" w:hAnsi="Cambria Math" w:cstheme="minorHAnsi"/>
                <w:color w:val="000000"/>
                <w:kern w:val="24"/>
                <w:sz w:val="21"/>
                <w:szCs w:val="21"/>
              </w:rPr>
            </m:ctrlPr>
          </m:sSubPr>
          <m:e>
            <m:r>
              <m:rPr>
                <m:sty m:val="p"/>
              </m:rPr>
              <w:rPr>
                <w:rFonts w:ascii="Cambria Math" w:eastAsia="Times New Roman" w:hAnsi="Cambria Math" w:cstheme="minorHAnsi"/>
                <w:color w:val="000000"/>
                <w:kern w:val="24"/>
                <w:sz w:val="21"/>
                <w:szCs w:val="21"/>
              </w:rPr>
              <m:t>K</m:t>
            </m:r>
          </m:e>
          <m:sub>
            <m:r>
              <m:rPr>
                <m:sty m:val="p"/>
              </m:rPr>
              <w:rPr>
                <w:rFonts w:ascii="Cambria Math" w:eastAsia="Times New Roman" w:hAnsi="Cambria Math" w:cstheme="minorHAnsi"/>
                <w:color w:val="000000"/>
                <w:kern w:val="24"/>
                <w:sz w:val="21"/>
                <w:szCs w:val="21"/>
              </w:rPr>
              <m:t>D</m:t>
            </m:r>
          </m:sub>
        </m:sSub>
      </m:oMath>
      <w:r w:rsidR="00C54507">
        <w:rPr>
          <w:rFonts w:eastAsia="Times New Roman" w:cstheme="minorHAnsi"/>
          <w:color w:val="000000"/>
          <w:kern w:val="24"/>
          <w:sz w:val="21"/>
          <w:szCs w:val="21"/>
        </w:rPr>
        <w:t xml:space="preserve">: </w:t>
      </w:r>
      <w:r w:rsidR="00272FB5">
        <w:rPr>
          <w:rFonts w:eastAsia="Times New Roman" w:cstheme="minorHAnsi"/>
          <w:color w:val="000000"/>
          <w:kern w:val="24"/>
          <w:sz w:val="21"/>
          <w:szCs w:val="21"/>
        </w:rPr>
        <w:t>Drug-</w:t>
      </w:r>
      <w:r w:rsidR="00753828">
        <w:rPr>
          <w:rFonts w:eastAsia="Times New Roman" w:cstheme="minorHAnsi"/>
          <w:color w:val="000000"/>
          <w:kern w:val="24"/>
          <w:sz w:val="21"/>
          <w:szCs w:val="21"/>
        </w:rPr>
        <w:t>t</w:t>
      </w:r>
      <w:r w:rsidR="00272FB5">
        <w:rPr>
          <w:rFonts w:eastAsia="Times New Roman" w:cstheme="minorHAnsi"/>
          <w:color w:val="000000"/>
          <w:kern w:val="24"/>
          <w:sz w:val="21"/>
          <w:szCs w:val="21"/>
        </w:rPr>
        <w:t xml:space="preserve">arget </w:t>
      </w:r>
      <w:r w:rsidR="00753828">
        <w:rPr>
          <w:rFonts w:eastAsia="Times New Roman" w:cstheme="minorHAnsi"/>
          <w:color w:val="000000"/>
          <w:kern w:val="24"/>
          <w:sz w:val="21"/>
          <w:szCs w:val="21"/>
        </w:rPr>
        <w:t>b</w:t>
      </w:r>
      <w:r w:rsidR="00C54507">
        <w:rPr>
          <w:rFonts w:eastAsia="Times New Roman" w:cstheme="minorHAnsi"/>
          <w:color w:val="000000"/>
          <w:kern w:val="24"/>
          <w:sz w:val="21"/>
          <w:szCs w:val="21"/>
        </w:rPr>
        <w:t>inding constant, Q1W: once every week, Q2W: once every two weeks, Q4W: once every 4 weeks</w:t>
      </w:r>
      <w:r w:rsidR="00C54507" w:rsidRPr="0028706C">
        <w:rPr>
          <w:rFonts w:eastAsia="Times New Roman" w:cstheme="minorHAnsi"/>
          <w:color w:val="000000"/>
          <w:kern w:val="24"/>
          <w:sz w:val="21"/>
          <w:szCs w:val="21"/>
        </w:rPr>
        <w:t xml:space="preserve">, </w:t>
      </w:r>
      <m:oMath>
        <m:r>
          <m:rPr>
            <m:sty m:val="p"/>
          </m:rPr>
          <w:rPr>
            <w:rFonts w:ascii="Cambria Math" w:eastAsia="Times New Roman" w:hAnsi="Cambria Math" w:cstheme="minorHAnsi"/>
            <w:kern w:val="24"/>
            <w:sz w:val="21"/>
            <w:szCs w:val="21"/>
          </w:rPr>
          <m:t>T</m:t>
        </m:r>
        <m:sSub>
          <m:sSubPr>
            <m:ctrlPr>
              <w:rPr>
                <w:rFonts w:ascii="Cambria Math" w:eastAsia="Times New Roman" w:hAnsi="Cambria Math" w:cstheme="minorHAnsi"/>
                <w:iCs/>
                <w:kern w:val="24"/>
                <w:sz w:val="21"/>
                <w:szCs w:val="21"/>
              </w:rPr>
            </m:ctrlPr>
          </m:sSubPr>
          <m:e>
            <m:r>
              <m:rPr>
                <m:sty m:val="p"/>
              </m:rPr>
              <w:rPr>
                <w:rFonts w:ascii="Cambria Math" w:eastAsia="Times New Roman" w:hAnsi="Cambria Math" w:cstheme="minorHAnsi"/>
                <w:kern w:val="24"/>
                <w:sz w:val="21"/>
                <w:szCs w:val="21"/>
              </w:rPr>
              <m:t>O</m:t>
            </m:r>
          </m:e>
          <m:sub>
            <m:r>
              <m:rPr>
                <m:sty m:val="p"/>
              </m:rPr>
              <w:rPr>
                <w:rFonts w:ascii="Cambria Math" w:eastAsia="Times New Roman" w:hAnsi="Cambria Math" w:cstheme="minorHAnsi"/>
                <w:kern w:val="24"/>
                <w:sz w:val="21"/>
                <w:szCs w:val="21"/>
              </w:rPr>
              <m:t>Cmin, plasma</m:t>
            </m:r>
          </m:sub>
        </m:sSub>
      </m:oMath>
      <w:r w:rsidR="00C54507" w:rsidRPr="0028706C">
        <w:rPr>
          <w:rFonts w:eastAsia="Times New Roman" w:cstheme="minorHAnsi"/>
          <w:iCs/>
          <w:kern w:val="24"/>
          <w:sz w:val="21"/>
          <w:szCs w:val="21"/>
        </w:rPr>
        <w:t xml:space="preserve">: Target occupancy (%) calculated at </w:t>
      </w:r>
      <w:proofErr w:type="spellStart"/>
      <w:r w:rsidR="00C54507" w:rsidRPr="0028706C">
        <w:rPr>
          <w:rFonts w:eastAsia="Times New Roman" w:cstheme="minorHAnsi"/>
          <w:iCs/>
          <w:kern w:val="24"/>
          <w:sz w:val="21"/>
          <w:szCs w:val="21"/>
        </w:rPr>
        <w:t>Cmin</w:t>
      </w:r>
      <w:proofErr w:type="spellEnd"/>
      <w:r w:rsidR="00C54507" w:rsidRPr="0028706C">
        <w:rPr>
          <w:rFonts w:eastAsia="Times New Roman" w:cstheme="minorHAnsi"/>
          <w:iCs/>
          <w:kern w:val="24"/>
          <w:sz w:val="21"/>
          <w:szCs w:val="21"/>
        </w:rPr>
        <w:t xml:space="preserve"> in plasma.</w:t>
      </w:r>
    </w:p>
    <w:p w14:paraId="25C230BF" w14:textId="77777777" w:rsidR="00C54507" w:rsidRDefault="00C54507" w:rsidP="00C54507"/>
    <w:p w14:paraId="798F025C" w14:textId="16F25C94" w:rsidR="009879EA" w:rsidRPr="009879EA" w:rsidRDefault="009879EA" w:rsidP="009879EA">
      <w:pPr>
        <w:pStyle w:val="Caption"/>
        <w:keepNext/>
        <w:rPr>
          <w:i w:val="0"/>
          <w:iCs w:val="0"/>
          <w:color w:val="auto"/>
          <w:sz w:val="22"/>
          <w:szCs w:val="22"/>
        </w:rPr>
      </w:pPr>
      <w:r w:rsidRPr="009879EA">
        <w:rPr>
          <w:i w:val="0"/>
          <w:iCs w:val="0"/>
          <w:color w:val="auto"/>
          <w:sz w:val="22"/>
          <w:szCs w:val="22"/>
        </w:rPr>
        <w:t>Table S</w:t>
      </w:r>
      <w:r w:rsidRPr="009879EA">
        <w:rPr>
          <w:i w:val="0"/>
          <w:iCs w:val="0"/>
          <w:color w:val="auto"/>
          <w:sz w:val="22"/>
          <w:szCs w:val="22"/>
        </w:rPr>
        <w:fldChar w:fldCharType="begin"/>
      </w:r>
      <w:r w:rsidRPr="009879EA">
        <w:rPr>
          <w:i w:val="0"/>
          <w:iCs w:val="0"/>
          <w:color w:val="auto"/>
          <w:sz w:val="22"/>
          <w:szCs w:val="22"/>
        </w:rPr>
        <w:instrText xml:space="preserve"> SEQ Table \* ARABIC </w:instrText>
      </w:r>
      <w:r w:rsidRPr="009879EA">
        <w:rPr>
          <w:i w:val="0"/>
          <w:iCs w:val="0"/>
          <w:color w:val="auto"/>
          <w:sz w:val="22"/>
          <w:szCs w:val="22"/>
        </w:rPr>
        <w:fldChar w:fldCharType="separate"/>
      </w:r>
      <w:r>
        <w:rPr>
          <w:i w:val="0"/>
          <w:iCs w:val="0"/>
          <w:noProof/>
          <w:color w:val="auto"/>
          <w:sz w:val="22"/>
          <w:szCs w:val="22"/>
        </w:rPr>
        <w:t>3</w:t>
      </w:r>
      <w:r w:rsidRPr="009879EA">
        <w:rPr>
          <w:i w:val="0"/>
          <w:iCs w:val="0"/>
          <w:color w:val="auto"/>
          <w:sz w:val="22"/>
          <w:szCs w:val="22"/>
        </w:rPr>
        <w:fldChar w:fldCharType="end"/>
      </w:r>
      <w:r w:rsidRPr="009879EA">
        <w:rPr>
          <w:i w:val="0"/>
          <w:iCs w:val="0"/>
          <w:color w:val="auto"/>
          <w:sz w:val="22"/>
          <w:szCs w:val="22"/>
        </w:rPr>
        <w:t xml:space="preserve">: Experimental data for </w:t>
      </w:r>
      <w:r w:rsidR="00F30844">
        <w:rPr>
          <w:i w:val="0"/>
          <w:iCs w:val="0"/>
          <w:color w:val="auto"/>
          <w:sz w:val="22"/>
          <w:szCs w:val="22"/>
        </w:rPr>
        <w:t>monoclonal</w:t>
      </w:r>
      <w:r w:rsidRPr="009879EA">
        <w:rPr>
          <w:i w:val="0"/>
          <w:iCs w:val="0"/>
          <w:color w:val="auto"/>
          <w:sz w:val="22"/>
          <w:szCs w:val="22"/>
        </w:rPr>
        <w:t xml:space="preserve"> antibodies.</w:t>
      </w:r>
    </w:p>
    <w:tbl>
      <w:tblPr>
        <w:tblpPr w:leftFromText="180" w:rightFromText="180" w:vertAnchor="text" w:horzAnchor="margin" w:tblpXSpec="center" w:tblpY="-37"/>
        <w:tblW w:w="11251" w:type="dxa"/>
        <w:tblLayout w:type="fixed"/>
        <w:tblLook w:val="0000" w:firstRow="0" w:lastRow="0" w:firstColumn="0" w:lastColumn="0" w:noHBand="0" w:noVBand="0"/>
      </w:tblPr>
      <w:tblGrid>
        <w:gridCol w:w="1418"/>
        <w:gridCol w:w="1028"/>
        <w:gridCol w:w="1310"/>
        <w:gridCol w:w="1435"/>
        <w:gridCol w:w="1181"/>
        <w:gridCol w:w="2055"/>
        <w:gridCol w:w="1418"/>
        <w:gridCol w:w="1406"/>
      </w:tblGrid>
      <w:tr w:rsidR="009879EA" w:rsidRPr="00114027" w14:paraId="0105F5A8" w14:textId="77777777" w:rsidTr="00963CEF">
        <w:trPr>
          <w:trHeight w:val="674"/>
        </w:trPr>
        <w:tc>
          <w:tcPr>
            <w:tcW w:w="1418" w:type="dxa"/>
            <w:tcBorders>
              <w:top w:val="single" w:sz="4" w:space="0" w:color="auto"/>
              <w:left w:val="nil"/>
              <w:bottom w:val="single" w:sz="4" w:space="0" w:color="auto"/>
              <w:right w:val="nil"/>
            </w:tcBorders>
          </w:tcPr>
          <w:p w14:paraId="03B1DD0C" w14:textId="751E3D34" w:rsidR="009879EA" w:rsidRPr="00B059C8" w:rsidRDefault="005E3260"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sz w:val="21"/>
                <w:szCs w:val="21"/>
              </w:rPr>
              <w:t>Drug</w:t>
            </w:r>
          </w:p>
        </w:tc>
        <w:tc>
          <w:tcPr>
            <w:tcW w:w="1028" w:type="dxa"/>
            <w:tcBorders>
              <w:top w:val="single" w:sz="4" w:space="0" w:color="auto"/>
              <w:left w:val="nil"/>
              <w:bottom w:val="single" w:sz="4" w:space="0" w:color="auto"/>
              <w:right w:val="nil"/>
            </w:tcBorders>
          </w:tcPr>
          <w:p w14:paraId="5979D546" w14:textId="14D0FE17" w:rsidR="009879EA"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sz w:val="21"/>
                <w:szCs w:val="21"/>
              </w:rPr>
              <w:t>Target</w:t>
            </w:r>
          </w:p>
        </w:tc>
        <w:tc>
          <w:tcPr>
            <w:tcW w:w="1310" w:type="dxa"/>
            <w:tcBorders>
              <w:top w:val="single" w:sz="4" w:space="0" w:color="auto"/>
              <w:left w:val="nil"/>
              <w:bottom w:val="single" w:sz="4" w:space="0" w:color="auto"/>
              <w:right w:val="nil"/>
            </w:tcBorders>
          </w:tcPr>
          <w:p w14:paraId="31F7B5F2"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sz w:val="21"/>
                <w:szCs w:val="21"/>
              </w:rPr>
              <w:t>Binding constant</w:t>
            </w:r>
            <w:r w:rsidRPr="00B059C8">
              <w:rPr>
                <w:rFonts w:ascii="Calibri" w:hAnsi="Calibri" w:cs="Calibri"/>
                <w:color w:val="000000"/>
                <w:sz w:val="21"/>
                <w:szCs w:val="21"/>
              </w:rPr>
              <w:t xml:space="preserve"> [</w:t>
            </w:r>
            <w:proofErr w:type="spellStart"/>
            <w:r>
              <w:rPr>
                <w:rFonts w:ascii="Calibri" w:hAnsi="Calibri" w:cs="Calibri"/>
                <w:color w:val="000000"/>
                <w:sz w:val="21"/>
                <w:szCs w:val="21"/>
              </w:rPr>
              <w:t>nM</w:t>
            </w:r>
            <w:proofErr w:type="spellEnd"/>
            <w:r w:rsidRPr="00B059C8">
              <w:rPr>
                <w:rFonts w:ascii="Calibri" w:hAnsi="Calibri" w:cs="Calibri"/>
                <w:color w:val="000000"/>
                <w:sz w:val="21"/>
                <w:szCs w:val="21"/>
              </w:rPr>
              <w:t>]</w:t>
            </w:r>
          </w:p>
        </w:tc>
        <w:tc>
          <w:tcPr>
            <w:tcW w:w="1435" w:type="dxa"/>
            <w:tcBorders>
              <w:top w:val="single" w:sz="4" w:space="0" w:color="auto"/>
              <w:left w:val="nil"/>
              <w:bottom w:val="single" w:sz="4" w:space="0" w:color="auto"/>
              <w:right w:val="nil"/>
            </w:tcBorders>
          </w:tcPr>
          <w:p w14:paraId="070BE4C0"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sidRPr="00B059C8">
              <w:rPr>
                <w:rFonts w:ascii="Calibri" w:hAnsi="Calibri" w:cs="Calibri"/>
                <w:color w:val="000000"/>
                <w:sz w:val="21"/>
                <w:szCs w:val="21"/>
              </w:rPr>
              <w:t>Target Baseline [</w:t>
            </w:r>
            <w:proofErr w:type="spellStart"/>
            <w:r>
              <w:rPr>
                <w:rFonts w:ascii="Calibri" w:hAnsi="Calibri" w:cs="Calibri"/>
                <w:color w:val="000000"/>
                <w:sz w:val="21"/>
                <w:szCs w:val="21"/>
              </w:rPr>
              <w:t>nM</w:t>
            </w:r>
            <w:proofErr w:type="spellEnd"/>
            <w:r w:rsidRPr="00B059C8">
              <w:rPr>
                <w:rFonts w:ascii="Calibri" w:hAnsi="Calibri" w:cs="Calibri"/>
                <w:color w:val="000000"/>
                <w:sz w:val="21"/>
                <w:szCs w:val="21"/>
              </w:rPr>
              <w:t>]</w:t>
            </w:r>
          </w:p>
        </w:tc>
        <w:tc>
          <w:tcPr>
            <w:tcW w:w="1181" w:type="dxa"/>
            <w:tcBorders>
              <w:top w:val="single" w:sz="4" w:space="0" w:color="auto"/>
              <w:left w:val="nil"/>
              <w:bottom w:val="single" w:sz="4" w:space="0" w:color="auto"/>
              <w:right w:val="nil"/>
            </w:tcBorders>
          </w:tcPr>
          <w:p w14:paraId="6E535970" w14:textId="1009FFB2"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sidRPr="00B059C8">
              <w:rPr>
                <w:rFonts w:ascii="Calibri" w:hAnsi="Calibri" w:cs="Calibri"/>
                <w:color w:val="000000"/>
                <w:sz w:val="21"/>
                <w:szCs w:val="21"/>
              </w:rPr>
              <w:t xml:space="preserve">Target </w:t>
            </w:r>
            <w:r w:rsidR="00E1280D">
              <w:rPr>
                <w:rFonts w:ascii="Calibri" w:hAnsi="Calibri" w:cs="Calibri"/>
                <w:color w:val="000000"/>
                <w:sz w:val="21"/>
                <w:szCs w:val="21"/>
              </w:rPr>
              <w:t>Half-Life</w:t>
            </w:r>
            <w:r w:rsidRPr="00B059C8">
              <w:rPr>
                <w:rFonts w:ascii="Calibri" w:hAnsi="Calibri" w:cs="Calibri"/>
                <w:color w:val="000000"/>
                <w:sz w:val="21"/>
                <w:szCs w:val="21"/>
              </w:rPr>
              <w:t xml:space="preserve"> [</w:t>
            </w:r>
            <w:proofErr w:type="spellStart"/>
            <w:r>
              <w:rPr>
                <w:rFonts w:ascii="Calibri" w:hAnsi="Calibri" w:cs="Calibri"/>
                <w:color w:val="000000"/>
                <w:sz w:val="21"/>
                <w:szCs w:val="21"/>
              </w:rPr>
              <w:t>hr</w:t>
            </w:r>
            <w:proofErr w:type="spellEnd"/>
            <w:r w:rsidRPr="00B059C8">
              <w:rPr>
                <w:rFonts w:ascii="Calibri" w:hAnsi="Calibri" w:cs="Calibri"/>
                <w:color w:val="000000"/>
                <w:sz w:val="21"/>
                <w:szCs w:val="21"/>
              </w:rPr>
              <w:t>]</w:t>
            </w:r>
          </w:p>
        </w:tc>
        <w:tc>
          <w:tcPr>
            <w:tcW w:w="2055" w:type="dxa"/>
            <w:tcBorders>
              <w:top w:val="single" w:sz="4" w:space="0" w:color="auto"/>
              <w:left w:val="nil"/>
              <w:bottom w:val="single" w:sz="4" w:space="0" w:color="auto"/>
              <w:right w:val="nil"/>
            </w:tcBorders>
          </w:tcPr>
          <w:p w14:paraId="0E9B06AA" w14:textId="2E25AF7A" w:rsidR="009879EA" w:rsidRPr="00B059C8" w:rsidRDefault="00F664BD"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sz w:val="21"/>
                <w:szCs w:val="21"/>
              </w:rPr>
              <w:t xml:space="preserve">Clinical </w:t>
            </w:r>
            <w:r w:rsidR="009879EA" w:rsidRPr="00B059C8">
              <w:rPr>
                <w:rFonts w:ascii="Calibri" w:hAnsi="Calibri" w:cs="Calibri"/>
                <w:color w:val="000000"/>
                <w:sz w:val="21"/>
                <w:szCs w:val="21"/>
              </w:rPr>
              <w:t>Dose / Regimen (Route)</w:t>
            </w:r>
          </w:p>
        </w:tc>
        <w:tc>
          <w:tcPr>
            <w:tcW w:w="1418" w:type="dxa"/>
            <w:tcBorders>
              <w:top w:val="single" w:sz="4" w:space="0" w:color="auto"/>
              <w:left w:val="nil"/>
              <w:bottom w:val="single" w:sz="4" w:space="0" w:color="auto"/>
              <w:right w:val="nil"/>
            </w:tcBorders>
          </w:tcPr>
          <w:p w14:paraId="6C5B6DAA" w14:textId="76C9B2D5" w:rsidR="009879EA"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sz w:val="21"/>
                <w:szCs w:val="21"/>
              </w:rPr>
              <w:t>Assumption</w:t>
            </w:r>
            <w:r w:rsidR="00F664BD">
              <w:rPr>
                <w:rFonts w:ascii="Calibri" w:hAnsi="Calibri" w:cs="Calibri"/>
                <w:color w:val="000000"/>
                <w:sz w:val="21"/>
                <w:szCs w:val="21"/>
              </w:rPr>
              <w:t>*</w:t>
            </w:r>
          </w:p>
          <w:p w14:paraId="0A8AFEA8" w14:textId="77777777" w:rsidR="009879EA"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sz w:val="21"/>
                <w:szCs w:val="21"/>
              </w:rPr>
              <w:t>(Dose / Regimen)</w:t>
            </w:r>
          </w:p>
        </w:tc>
        <w:tc>
          <w:tcPr>
            <w:tcW w:w="1406" w:type="dxa"/>
            <w:tcBorders>
              <w:top w:val="single" w:sz="4" w:space="0" w:color="auto"/>
              <w:left w:val="nil"/>
              <w:bottom w:val="single" w:sz="4" w:space="0" w:color="auto"/>
              <w:right w:val="nil"/>
            </w:tcBorders>
          </w:tcPr>
          <w:p w14:paraId="11583C17"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commentRangeStart w:id="1"/>
            <w:r>
              <w:rPr>
                <w:rFonts w:ascii="Calibri" w:hAnsi="Calibri" w:cs="Calibri"/>
                <w:color w:val="000000"/>
                <w:sz w:val="21"/>
                <w:szCs w:val="21"/>
              </w:rPr>
              <w:t>Sourc</w:t>
            </w:r>
            <w:commentRangeEnd w:id="1"/>
            <w:r w:rsidR="005F2DBB">
              <w:rPr>
                <w:rStyle w:val="CommentReference"/>
              </w:rPr>
              <w:commentReference w:id="1"/>
            </w:r>
            <w:r>
              <w:rPr>
                <w:rFonts w:ascii="Calibri" w:hAnsi="Calibri" w:cs="Calibri"/>
                <w:color w:val="000000"/>
                <w:sz w:val="21"/>
                <w:szCs w:val="21"/>
              </w:rPr>
              <w:t>e</w:t>
            </w:r>
          </w:p>
        </w:tc>
      </w:tr>
      <w:tr w:rsidR="009879EA" w14:paraId="7DE40093" w14:textId="77777777" w:rsidTr="00963CEF">
        <w:trPr>
          <w:trHeight w:val="293"/>
        </w:trPr>
        <w:tc>
          <w:tcPr>
            <w:tcW w:w="1418" w:type="dxa"/>
            <w:tcBorders>
              <w:top w:val="single" w:sz="4" w:space="0" w:color="auto"/>
              <w:left w:val="nil"/>
              <w:bottom w:val="nil"/>
              <w:right w:val="nil"/>
            </w:tcBorders>
          </w:tcPr>
          <w:p w14:paraId="5CADE374"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sidRPr="00B059C8">
              <w:rPr>
                <w:sz w:val="21"/>
                <w:szCs w:val="21"/>
              </w:rPr>
              <w:t>Lebrikizumab</w:t>
            </w:r>
          </w:p>
        </w:tc>
        <w:tc>
          <w:tcPr>
            <w:tcW w:w="1028" w:type="dxa"/>
            <w:tcBorders>
              <w:top w:val="single" w:sz="4" w:space="0" w:color="auto"/>
              <w:left w:val="nil"/>
              <w:bottom w:val="nil"/>
              <w:right w:val="nil"/>
            </w:tcBorders>
          </w:tcPr>
          <w:p w14:paraId="15FBC68A" w14:textId="09E2F188" w:rsidR="009879EA" w:rsidRPr="00B059C8" w:rsidRDefault="005F2DBB"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sz w:val="21"/>
                <w:szCs w:val="21"/>
              </w:rPr>
              <w:t>IL-13</w:t>
            </w:r>
          </w:p>
        </w:tc>
        <w:tc>
          <w:tcPr>
            <w:tcW w:w="1310" w:type="dxa"/>
            <w:tcBorders>
              <w:top w:val="single" w:sz="4" w:space="0" w:color="auto"/>
              <w:left w:val="nil"/>
              <w:bottom w:val="nil"/>
              <w:right w:val="nil"/>
            </w:tcBorders>
          </w:tcPr>
          <w:p w14:paraId="76FC6290"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sidRPr="00B059C8">
              <w:rPr>
                <w:rFonts w:ascii="Calibri" w:hAnsi="Calibri" w:cs="Calibri"/>
                <w:color w:val="000000"/>
                <w:sz w:val="21"/>
                <w:szCs w:val="21"/>
              </w:rPr>
              <w:t>0.0068</w:t>
            </w:r>
          </w:p>
        </w:tc>
        <w:tc>
          <w:tcPr>
            <w:tcW w:w="1435" w:type="dxa"/>
            <w:tcBorders>
              <w:top w:val="single" w:sz="4" w:space="0" w:color="auto"/>
              <w:left w:val="nil"/>
              <w:bottom w:val="nil"/>
              <w:right w:val="nil"/>
            </w:tcBorders>
          </w:tcPr>
          <w:p w14:paraId="4B5E24A0"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sidRPr="00B059C8">
              <w:rPr>
                <w:rFonts w:ascii="Calibri" w:hAnsi="Calibri" w:cs="Calibri"/>
                <w:color w:val="000000"/>
                <w:sz w:val="21"/>
                <w:szCs w:val="21"/>
              </w:rPr>
              <w:t>0.0013</w:t>
            </w:r>
          </w:p>
        </w:tc>
        <w:tc>
          <w:tcPr>
            <w:tcW w:w="1181" w:type="dxa"/>
            <w:tcBorders>
              <w:top w:val="single" w:sz="4" w:space="0" w:color="auto"/>
              <w:left w:val="nil"/>
              <w:bottom w:val="nil"/>
              <w:right w:val="nil"/>
            </w:tcBorders>
          </w:tcPr>
          <w:p w14:paraId="75AFE0C5"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sidRPr="00B059C8">
              <w:rPr>
                <w:rFonts w:ascii="Calibri" w:hAnsi="Calibri" w:cs="Calibri"/>
                <w:color w:val="000000"/>
                <w:sz w:val="21"/>
                <w:szCs w:val="21"/>
              </w:rPr>
              <w:t xml:space="preserve">0.25 </w:t>
            </w:r>
          </w:p>
        </w:tc>
        <w:tc>
          <w:tcPr>
            <w:tcW w:w="2055" w:type="dxa"/>
            <w:tcBorders>
              <w:top w:val="single" w:sz="4" w:space="0" w:color="auto"/>
              <w:left w:val="nil"/>
              <w:bottom w:val="nil"/>
              <w:right w:val="nil"/>
            </w:tcBorders>
          </w:tcPr>
          <w:p w14:paraId="774ECCD1"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sidRPr="00B059C8">
              <w:rPr>
                <w:rFonts w:ascii="Calibri" w:hAnsi="Calibri" w:cs="Calibri"/>
                <w:color w:val="000000"/>
                <w:sz w:val="21"/>
                <w:szCs w:val="21"/>
              </w:rPr>
              <w:t>1.8 mg/kg Q4W (IV)</w:t>
            </w:r>
          </w:p>
        </w:tc>
        <w:tc>
          <w:tcPr>
            <w:tcW w:w="1418" w:type="dxa"/>
            <w:tcBorders>
              <w:top w:val="nil"/>
              <w:left w:val="nil"/>
              <w:bottom w:val="nil"/>
              <w:right w:val="nil"/>
            </w:tcBorders>
            <w:shd w:val="clear" w:color="auto" w:fill="auto"/>
            <w:vAlign w:val="bottom"/>
          </w:tcPr>
          <w:p w14:paraId="25145375"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rPr>
              <w:t>1 Q4W</w:t>
            </w:r>
          </w:p>
        </w:tc>
        <w:tc>
          <w:tcPr>
            <w:tcW w:w="1406" w:type="dxa"/>
            <w:tcBorders>
              <w:top w:val="single" w:sz="4" w:space="0" w:color="auto"/>
              <w:left w:val="nil"/>
              <w:bottom w:val="nil"/>
              <w:right w:val="nil"/>
            </w:tcBorders>
          </w:tcPr>
          <w:p w14:paraId="17D267C7" w14:textId="28ABAE70" w:rsidR="009879EA" w:rsidRPr="00B059C8" w:rsidRDefault="009A6058" w:rsidP="009879EA">
            <w:pPr>
              <w:autoSpaceDE w:val="0"/>
              <w:autoSpaceDN w:val="0"/>
              <w:adjustRightInd w:val="0"/>
              <w:spacing w:after="0" w:line="240" w:lineRule="auto"/>
              <w:rPr>
                <w:rFonts w:ascii="Calibri" w:hAnsi="Calibri" w:cs="Calibri"/>
                <w:color w:val="000000"/>
                <w:sz w:val="21"/>
                <w:szCs w:val="21"/>
              </w:rPr>
            </w:pPr>
            <w:sdt>
              <w:sdtPr>
                <w:rPr>
                  <w:rFonts w:ascii="Calibri" w:hAnsi="Calibri" w:cs="Calibri"/>
                  <w:color w:val="000000"/>
                  <w:sz w:val="21"/>
                  <w:szCs w:val="21"/>
                </w:rPr>
                <w:id w:val="-774791829"/>
                <w:citation/>
              </w:sdtPr>
              <w:sdtContent>
                <w:r>
                  <w:rPr>
                    <w:rFonts w:ascii="Calibri" w:hAnsi="Calibri" w:cs="Calibri"/>
                    <w:color w:val="000000"/>
                    <w:sz w:val="21"/>
                    <w:szCs w:val="21"/>
                  </w:rPr>
                  <w:fldChar w:fldCharType="begin"/>
                </w:r>
                <w:r>
                  <w:rPr>
                    <w:rFonts w:ascii="Calibri" w:hAnsi="Calibri" w:cs="Calibri"/>
                    <w:color w:val="000000"/>
                    <w:sz w:val="21"/>
                    <w:szCs w:val="21"/>
                  </w:rPr>
                  <w:instrText xml:space="preserve"> CITATION Tsi16 \l 1033  \m Okr23</w:instrText>
                </w:r>
                <w:r>
                  <w:rPr>
                    <w:rFonts w:ascii="Calibri" w:hAnsi="Calibri" w:cs="Calibri"/>
                    <w:color w:val="000000"/>
                    <w:sz w:val="21"/>
                    <w:szCs w:val="21"/>
                  </w:rPr>
                  <w:fldChar w:fldCharType="separate"/>
                </w:r>
                <w:r w:rsidRPr="009A6058">
                  <w:rPr>
                    <w:rFonts w:ascii="Calibri" w:hAnsi="Calibri" w:cs="Calibri"/>
                    <w:noProof/>
                    <w:color w:val="000000"/>
                    <w:sz w:val="21"/>
                    <w:szCs w:val="21"/>
                  </w:rPr>
                  <w:t>[2, 3]</w:t>
                </w:r>
                <w:r>
                  <w:rPr>
                    <w:rFonts w:ascii="Calibri" w:hAnsi="Calibri" w:cs="Calibri"/>
                    <w:color w:val="000000"/>
                    <w:sz w:val="21"/>
                    <w:szCs w:val="21"/>
                  </w:rPr>
                  <w:fldChar w:fldCharType="end"/>
                </w:r>
              </w:sdtContent>
            </w:sdt>
          </w:p>
        </w:tc>
      </w:tr>
      <w:tr w:rsidR="009879EA" w14:paraId="2668B282" w14:textId="77777777" w:rsidTr="00963CEF">
        <w:trPr>
          <w:trHeight w:val="357"/>
        </w:trPr>
        <w:tc>
          <w:tcPr>
            <w:tcW w:w="1418" w:type="dxa"/>
            <w:tcBorders>
              <w:top w:val="nil"/>
              <w:left w:val="nil"/>
              <w:bottom w:val="nil"/>
              <w:right w:val="nil"/>
            </w:tcBorders>
            <w:shd w:val="clear" w:color="auto" w:fill="auto"/>
            <w:vAlign w:val="bottom"/>
          </w:tcPr>
          <w:p w14:paraId="2EF70BF4"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proofErr w:type="spellStart"/>
            <w:r>
              <w:rPr>
                <w:rFonts w:ascii="Calibri" w:hAnsi="Calibri" w:cs="Calibri"/>
                <w:color w:val="000000"/>
              </w:rPr>
              <w:t>Anifrolumab</w:t>
            </w:r>
            <w:proofErr w:type="spellEnd"/>
          </w:p>
        </w:tc>
        <w:tc>
          <w:tcPr>
            <w:tcW w:w="1028" w:type="dxa"/>
            <w:tcBorders>
              <w:top w:val="nil"/>
              <w:left w:val="nil"/>
              <w:bottom w:val="nil"/>
              <w:right w:val="nil"/>
            </w:tcBorders>
            <w:shd w:val="clear" w:color="auto" w:fill="auto"/>
            <w:vAlign w:val="bottom"/>
          </w:tcPr>
          <w:p w14:paraId="56924F8E"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rPr>
              <w:t>IFNAR</w:t>
            </w:r>
          </w:p>
        </w:tc>
        <w:tc>
          <w:tcPr>
            <w:tcW w:w="1310" w:type="dxa"/>
            <w:tcBorders>
              <w:top w:val="nil"/>
              <w:left w:val="nil"/>
              <w:bottom w:val="nil"/>
              <w:right w:val="nil"/>
            </w:tcBorders>
            <w:shd w:val="clear" w:color="auto" w:fill="auto"/>
            <w:vAlign w:val="bottom"/>
          </w:tcPr>
          <w:p w14:paraId="4602D21A"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rPr>
              <w:t>0.067</w:t>
            </w:r>
          </w:p>
        </w:tc>
        <w:tc>
          <w:tcPr>
            <w:tcW w:w="1435" w:type="dxa"/>
            <w:tcBorders>
              <w:top w:val="nil"/>
              <w:left w:val="nil"/>
              <w:bottom w:val="nil"/>
              <w:right w:val="nil"/>
            </w:tcBorders>
            <w:shd w:val="clear" w:color="auto" w:fill="auto"/>
            <w:vAlign w:val="bottom"/>
          </w:tcPr>
          <w:p w14:paraId="75430F47"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rPr>
              <w:t>0.0999</w:t>
            </w:r>
          </w:p>
        </w:tc>
        <w:tc>
          <w:tcPr>
            <w:tcW w:w="1181" w:type="dxa"/>
            <w:tcBorders>
              <w:top w:val="nil"/>
              <w:left w:val="nil"/>
              <w:bottom w:val="nil"/>
              <w:right w:val="nil"/>
            </w:tcBorders>
            <w:shd w:val="clear" w:color="auto" w:fill="auto"/>
            <w:vAlign w:val="bottom"/>
          </w:tcPr>
          <w:p w14:paraId="28ADFCD9"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rPr>
              <w:t>0.21</w:t>
            </w:r>
          </w:p>
        </w:tc>
        <w:tc>
          <w:tcPr>
            <w:tcW w:w="2055" w:type="dxa"/>
            <w:tcBorders>
              <w:top w:val="nil"/>
              <w:left w:val="nil"/>
              <w:bottom w:val="nil"/>
              <w:right w:val="nil"/>
            </w:tcBorders>
            <w:shd w:val="clear" w:color="auto" w:fill="auto"/>
            <w:vAlign w:val="bottom"/>
          </w:tcPr>
          <w:p w14:paraId="35C9D398"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rPr>
              <w:t>300 mg Q4W (IV)</w:t>
            </w:r>
          </w:p>
        </w:tc>
        <w:tc>
          <w:tcPr>
            <w:tcW w:w="1418" w:type="dxa"/>
            <w:tcBorders>
              <w:top w:val="nil"/>
              <w:left w:val="nil"/>
              <w:bottom w:val="nil"/>
              <w:right w:val="nil"/>
            </w:tcBorders>
            <w:shd w:val="clear" w:color="auto" w:fill="auto"/>
            <w:vAlign w:val="bottom"/>
          </w:tcPr>
          <w:p w14:paraId="1AC741FE" w14:textId="77777777" w:rsidR="009879EA" w:rsidRPr="00B059C8" w:rsidRDefault="009879EA" w:rsidP="009879EA">
            <w:pPr>
              <w:autoSpaceDE w:val="0"/>
              <w:autoSpaceDN w:val="0"/>
              <w:adjustRightInd w:val="0"/>
              <w:spacing w:after="0" w:line="240" w:lineRule="auto"/>
              <w:rPr>
                <w:rFonts w:ascii="Calibri" w:hAnsi="Calibri" w:cs="Calibri"/>
                <w:color w:val="000000"/>
                <w:sz w:val="21"/>
                <w:szCs w:val="21"/>
              </w:rPr>
            </w:pPr>
            <w:r>
              <w:rPr>
                <w:rFonts w:ascii="Calibri" w:hAnsi="Calibri" w:cs="Calibri"/>
                <w:color w:val="000000"/>
              </w:rPr>
              <w:t>1 Q4W</w:t>
            </w:r>
          </w:p>
        </w:tc>
        <w:tc>
          <w:tcPr>
            <w:tcW w:w="1406" w:type="dxa"/>
            <w:tcBorders>
              <w:top w:val="nil"/>
              <w:left w:val="nil"/>
              <w:bottom w:val="nil"/>
              <w:right w:val="nil"/>
            </w:tcBorders>
            <w:shd w:val="clear" w:color="auto" w:fill="auto"/>
            <w:vAlign w:val="bottom"/>
          </w:tcPr>
          <w:p w14:paraId="693B6398" w14:textId="2DAAAD4A" w:rsidR="009879EA" w:rsidRPr="00B059C8" w:rsidRDefault="00000000" w:rsidP="009879EA">
            <w:pPr>
              <w:autoSpaceDE w:val="0"/>
              <w:autoSpaceDN w:val="0"/>
              <w:adjustRightInd w:val="0"/>
              <w:spacing w:after="0" w:line="240" w:lineRule="auto"/>
              <w:rPr>
                <w:rFonts w:ascii="Calibri" w:hAnsi="Calibri" w:cs="Calibri"/>
                <w:color w:val="000000"/>
                <w:sz w:val="21"/>
                <w:szCs w:val="21"/>
              </w:rPr>
            </w:pPr>
            <w:sdt>
              <w:sdtPr>
                <w:rPr>
                  <w:rFonts w:ascii="Calibri" w:hAnsi="Calibri" w:cs="Calibri"/>
                  <w:color w:val="000000"/>
                  <w:sz w:val="21"/>
                  <w:szCs w:val="21"/>
                </w:rPr>
                <w:id w:val="525686222"/>
                <w:citation/>
              </w:sdtPr>
              <w:sdtContent>
                <w:r w:rsidR="005F2DBB">
                  <w:rPr>
                    <w:rFonts w:ascii="Calibri" w:hAnsi="Calibri" w:cs="Calibri"/>
                    <w:color w:val="000000"/>
                    <w:sz w:val="21"/>
                    <w:szCs w:val="21"/>
                  </w:rPr>
                  <w:fldChar w:fldCharType="begin"/>
                </w:r>
                <w:r w:rsidR="005F2DBB">
                  <w:rPr>
                    <w:rFonts w:ascii="Calibri" w:hAnsi="Calibri" w:cs="Calibri"/>
                    <w:color w:val="000000"/>
                    <w:sz w:val="21"/>
                    <w:szCs w:val="21"/>
                  </w:rPr>
                  <w:instrText xml:space="preserve"> CITATION Pen15 \l 1033 </w:instrText>
                </w:r>
                <w:r w:rsidR="005F2DBB">
                  <w:rPr>
                    <w:rFonts w:ascii="Calibri" w:hAnsi="Calibri" w:cs="Calibri"/>
                    <w:color w:val="000000"/>
                    <w:sz w:val="21"/>
                    <w:szCs w:val="21"/>
                  </w:rPr>
                  <w:fldChar w:fldCharType="separate"/>
                </w:r>
                <w:r w:rsidR="009A6058" w:rsidRPr="009A6058">
                  <w:rPr>
                    <w:rFonts w:ascii="Calibri" w:hAnsi="Calibri" w:cs="Calibri"/>
                    <w:noProof/>
                    <w:color w:val="000000"/>
                    <w:sz w:val="21"/>
                    <w:szCs w:val="21"/>
                  </w:rPr>
                  <w:t>[4]</w:t>
                </w:r>
                <w:r w:rsidR="005F2DBB">
                  <w:rPr>
                    <w:rFonts w:ascii="Calibri" w:hAnsi="Calibri" w:cs="Calibri"/>
                    <w:color w:val="000000"/>
                    <w:sz w:val="21"/>
                    <w:szCs w:val="21"/>
                  </w:rPr>
                  <w:fldChar w:fldCharType="end"/>
                </w:r>
              </w:sdtContent>
            </w:sdt>
          </w:p>
        </w:tc>
      </w:tr>
      <w:tr w:rsidR="009879EA" w14:paraId="66736FD1" w14:textId="77777777" w:rsidTr="00963CEF">
        <w:trPr>
          <w:trHeight w:val="357"/>
        </w:trPr>
        <w:tc>
          <w:tcPr>
            <w:tcW w:w="1418" w:type="dxa"/>
            <w:tcBorders>
              <w:top w:val="nil"/>
              <w:left w:val="nil"/>
              <w:bottom w:val="nil"/>
              <w:right w:val="nil"/>
            </w:tcBorders>
            <w:shd w:val="clear" w:color="auto" w:fill="auto"/>
            <w:vAlign w:val="bottom"/>
          </w:tcPr>
          <w:p w14:paraId="1994FB79"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Rituximab</w:t>
            </w:r>
          </w:p>
        </w:tc>
        <w:tc>
          <w:tcPr>
            <w:tcW w:w="1028" w:type="dxa"/>
            <w:tcBorders>
              <w:top w:val="nil"/>
              <w:left w:val="nil"/>
              <w:bottom w:val="nil"/>
              <w:right w:val="nil"/>
            </w:tcBorders>
            <w:shd w:val="clear" w:color="auto" w:fill="auto"/>
            <w:vAlign w:val="bottom"/>
          </w:tcPr>
          <w:p w14:paraId="0380070F"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CD20</w:t>
            </w:r>
          </w:p>
        </w:tc>
        <w:tc>
          <w:tcPr>
            <w:tcW w:w="1310" w:type="dxa"/>
            <w:tcBorders>
              <w:top w:val="nil"/>
              <w:left w:val="nil"/>
              <w:bottom w:val="nil"/>
              <w:right w:val="nil"/>
            </w:tcBorders>
            <w:shd w:val="clear" w:color="auto" w:fill="auto"/>
            <w:vAlign w:val="bottom"/>
          </w:tcPr>
          <w:p w14:paraId="619B8378"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8</w:t>
            </w:r>
          </w:p>
        </w:tc>
        <w:tc>
          <w:tcPr>
            <w:tcW w:w="1435" w:type="dxa"/>
            <w:tcBorders>
              <w:top w:val="nil"/>
              <w:left w:val="nil"/>
              <w:bottom w:val="nil"/>
              <w:right w:val="nil"/>
            </w:tcBorders>
            <w:shd w:val="clear" w:color="auto" w:fill="auto"/>
            <w:vAlign w:val="bottom"/>
          </w:tcPr>
          <w:p w14:paraId="260F7534"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0.320</w:t>
            </w:r>
          </w:p>
        </w:tc>
        <w:tc>
          <w:tcPr>
            <w:tcW w:w="1181" w:type="dxa"/>
            <w:tcBorders>
              <w:top w:val="nil"/>
              <w:left w:val="nil"/>
              <w:bottom w:val="nil"/>
              <w:right w:val="nil"/>
            </w:tcBorders>
            <w:shd w:val="clear" w:color="auto" w:fill="auto"/>
            <w:vAlign w:val="bottom"/>
          </w:tcPr>
          <w:p w14:paraId="3A1000DE"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426 </w:t>
            </w:r>
          </w:p>
        </w:tc>
        <w:tc>
          <w:tcPr>
            <w:tcW w:w="2055" w:type="dxa"/>
            <w:tcBorders>
              <w:top w:val="nil"/>
              <w:left w:val="nil"/>
              <w:bottom w:val="nil"/>
              <w:right w:val="nil"/>
            </w:tcBorders>
            <w:shd w:val="clear" w:color="auto" w:fill="auto"/>
            <w:vAlign w:val="bottom"/>
          </w:tcPr>
          <w:p w14:paraId="12FE083D"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1000 mg (IV) Q2W</w:t>
            </w:r>
          </w:p>
        </w:tc>
        <w:tc>
          <w:tcPr>
            <w:tcW w:w="1418" w:type="dxa"/>
            <w:tcBorders>
              <w:top w:val="nil"/>
              <w:left w:val="nil"/>
              <w:bottom w:val="nil"/>
              <w:right w:val="nil"/>
            </w:tcBorders>
            <w:shd w:val="clear" w:color="auto" w:fill="auto"/>
            <w:vAlign w:val="bottom"/>
          </w:tcPr>
          <w:p w14:paraId="368EB97E"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10 Q2W</w:t>
            </w:r>
          </w:p>
        </w:tc>
        <w:tc>
          <w:tcPr>
            <w:tcW w:w="1406" w:type="dxa"/>
            <w:tcBorders>
              <w:top w:val="nil"/>
              <w:left w:val="nil"/>
              <w:bottom w:val="nil"/>
              <w:right w:val="nil"/>
            </w:tcBorders>
            <w:shd w:val="clear" w:color="auto" w:fill="auto"/>
            <w:vAlign w:val="bottom"/>
          </w:tcPr>
          <w:p w14:paraId="1C6EEC7E" w14:textId="28CAF0F3" w:rsidR="009879EA" w:rsidRDefault="00000000" w:rsidP="009879EA">
            <w:pPr>
              <w:autoSpaceDE w:val="0"/>
              <w:autoSpaceDN w:val="0"/>
              <w:adjustRightInd w:val="0"/>
              <w:spacing w:after="0" w:line="240" w:lineRule="auto"/>
              <w:rPr>
                <w:rFonts w:ascii="Calibri" w:hAnsi="Calibri" w:cs="Calibri"/>
                <w:color w:val="000000"/>
              </w:rPr>
            </w:pPr>
            <w:sdt>
              <w:sdtPr>
                <w:rPr>
                  <w:rFonts w:ascii="Calibri" w:hAnsi="Calibri" w:cs="Calibri"/>
                  <w:color w:val="000000"/>
                </w:rPr>
                <w:id w:val="1655337431"/>
                <w:citation/>
              </w:sdtPr>
              <w:sdtContent>
                <w:r w:rsidR="005F2DBB">
                  <w:rPr>
                    <w:rFonts w:ascii="Calibri" w:hAnsi="Calibri" w:cs="Calibri"/>
                    <w:color w:val="000000"/>
                  </w:rPr>
                  <w:fldChar w:fldCharType="begin"/>
                </w:r>
                <w:r w:rsidR="005F2DBB">
                  <w:rPr>
                    <w:rFonts w:ascii="Calibri" w:hAnsi="Calibri" w:cs="Calibri"/>
                    <w:color w:val="000000"/>
                  </w:rPr>
                  <w:instrText xml:space="preserve"> CITATION Gla17 \l 1033  \m Pes06</w:instrText>
                </w:r>
                <w:r w:rsidR="00F5072C">
                  <w:rPr>
                    <w:rFonts w:ascii="Calibri" w:hAnsi="Calibri" w:cs="Calibri"/>
                    <w:color w:val="000000"/>
                  </w:rPr>
                  <w:instrText xml:space="preserve"> \m Rit97</w:instrText>
                </w:r>
                <w:r w:rsidR="005F2DBB">
                  <w:rPr>
                    <w:rFonts w:ascii="Calibri" w:hAnsi="Calibri" w:cs="Calibri"/>
                    <w:color w:val="000000"/>
                  </w:rPr>
                  <w:fldChar w:fldCharType="separate"/>
                </w:r>
                <w:r w:rsidR="009A6058" w:rsidRPr="009A6058">
                  <w:rPr>
                    <w:rFonts w:ascii="Calibri" w:hAnsi="Calibri" w:cs="Calibri"/>
                    <w:noProof/>
                    <w:color w:val="000000"/>
                  </w:rPr>
                  <w:t>[5, 6, 7]</w:t>
                </w:r>
                <w:r w:rsidR="005F2DBB">
                  <w:rPr>
                    <w:rFonts w:ascii="Calibri" w:hAnsi="Calibri" w:cs="Calibri"/>
                    <w:color w:val="000000"/>
                  </w:rPr>
                  <w:fldChar w:fldCharType="end"/>
                </w:r>
              </w:sdtContent>
            </w:sdt>
          </w:p>
        </w:tc>
      </w:tr>
      <w:tr w:rsidR="009879EA" w14:paraId="3A3E9F7B" w14:textId="77777777" w:rsidTr="00963CEF">
        <w:trPr>
          <w:trHeight w:val="357"/>
        </w:trPr>
        <w:tc>
          <w:tcPr>
            <w:tcW w:w="1418" w:type="dxa"/>
            <w:tcBorders>
              <w:top w:val="nil"/>
              <w:left w:val="nil"/>
              <w:bottom w:val="nil"/>
              <w:right w:val="nil"/>
            </w:tcBorders>
            <w:shd w:val="clear" w:color="auto" w:fill="auto"/>
            <w:vAlign w:val="bottom"/>
          </w:tcPr>
          <w:p w14:paraId="7595A127"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Abciximab</w:t>
            </w:r>
          </w:p>
        </w:tc>
        <w:tc>
          <w:tcPr>
            <w:tcW w:w="1028" w:type="dxa"/>
            <w:tcBorders>
              <w:top w:val="nil"/>
              <w:left w:val="nil"/>
              <w:bottom w:val="nil"/>
              <w:right w:val="nil"/>
            </w:tcBorders>
            <w:shd w:val="clear" w:color="auto" w:fill="auto"/>
            <w:vAlign w:val="bottom"/>
          </w:tcPr>
          <w:p w14:paraId="08545B85" w14:textId="77777777" w:rsidR="009879EA" w:rsidRDefault="009879EA" w:rsidP="009879EA">
            <w:pPr>
              <w:autoSpaceDE w:val="0"/>
              <w:autoSpaceDN w:val="0"/>
              <w:adjustRightInd w:val="0"/>
              <w:spacing w:after="0" w:line="240" w:lineRule="auto"/>
              <w:rPr>
                <w:rFonts w:ascii="Calibri" w:hAnsi="Calibri" w:cs="Calibri"/>
                <w:color w:val="000000"/>
              </w:rPr>
            </w:pPr>
            <w:proofErr w:type="spellStart"/>
            <w:r w:rsidRPr="0029140E">
              <w:rPr>
                <w:rFonts w:ascii="Calibri" w:hAnsi="Calibri" w:cs="Calibri"/>
                <w:color w:val="000000"/>
              </w:rPr>
              <w:t>GPIIb</w:t>
            </w:r>
            <w:proofErr w:type="spellEnd"/>
            <w:r w:rsidRPr="0029140E">
              <w:rPr>
                <w:rFonts w:ascii="Calibri" w:hAnsi="Calibri" w:cs="Calibri"/>
                <w:color w:val="000000"/>
              </w:rPr>
              <w:t>/IIIa</w:t>
            </w:r>
          </w:p>
        </w:tc>
        <w:tc>
          <w:tcPr>
            <w:tcW w:w="1310" w:type="dxa"/>
            <w:tcBorders>
              <w:top w:val="nil"/>
              <w:left w:val="nil"/>
              <w:bottom w:val="nil"/>
              <w:right w:val="nil"/>
            </w:tcBorders>
            <w:shd w:val="clear" w:color="auto" w:fill="auto"/>
            <w:vAlign w:val="bottom"/>
          </w:tcPr>
          <w:p w14:paraId="2747A4A8"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0.0411</w:t>
            </w:r>
          </w:p>
        </w:tc>
        <w:tc>
          <w:tcPr>
            <w:tcW w:w="1435" w:type="dxa"/>
            <w:tcBorders>
              <w:top w:val="nil"/>
              <w:left w:val="nil"/>
              <w:bottom w:val="nil"/>
              <w:right w:val="nil"/>
            </w:tcBorders>
            <w:shd w:val="clear" w:color="auto" w:fill="auto"/>
            <w:vAlign w:val="bottom"/>
          </w:tcPr>
          <w:p w14:paraId="0284825F"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29.8</w:t>
            </w:r>
          </w:p>
        </w:tc>
        <w:tc>
          <w:tcPr>
            <w:tcW w:w="1181" w:type="dxa"/>
            <w:tcBorders>
              <w:top w:val="nil"/>
              <w:left w:val="nil"/>
              <w:bottom w:val="nil"/>
              <w:right w:val="nil"/>
            </w:tcBorders>
            <w:shd w:val="clear" w:color="auto" w:fill="auto"/>
            <w:vAlign w:val="bottom"/>
          </w:tcPr>
          <w:p w14:paraId="308A38F9"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0.18</w:t>
            </w:r>
          </w:p>
        </w:tc>
        <w:tc>
          <w:tcPr>
            <w:tcW w:w="2055" w:type="dxa"/>
            <w:tcBorders>
              <w:top w:val="nil"/>
              <w:left w:val="nil"/>
              <w:bottom w:val="nil"/>
              <w:right w:val="nil"/>
            </w:tcBorders>
            <w:shd w:val="clear" w:color="auto" w:fill="auto"/>
            <w:vAlign w:val="bottom"/>
          </w:tcPr>
          <w:p w14:paraId="41B886B8"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0.25 mg/kg (IV) bolus</w:t>
            </w:r>
          </w:p>
        </w:tc>
        <w:tc>
          <w:tcPr>
            <w:tcW w:w="1418" w:type="dxa"/>
            <w:tcBorders>
              <w:top w:val="nil"/>
              <w:left w:val="nil"/>
              <w:bottom w:val="nil"/>
              <w:right w:val="nil"/>
            </w:tcBorders>
            <w:shd w:val="clear" w:color="auto" w:fill="auto"/>
            <w:vAlign w:val="bottom"/>
          </w:tcPr>
          <w:p w14:paraId="5F151EA7"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0.1 bolus</w:t>
            </w:r>
          </w:p>
        </w:tc>
        <w:tc>
          <w:tcPr>
            <w:tcW w:w="1406" w:type="dxa"/>
            <w:tcBorders>
              <w:top w:val="nil"/>
              <w:left w:val="nil"/>
              <w:right w:val="nil"/>
            </w:tcBorders>
            <w:shd w:val="clear" w:color="auto" w:fill="auto"/>
            <w:vAlign w:val="bottom"/>
          </w:tcPr>
          <w:p w14:paraId="4845D664" w14:textId="3A0677E4" w:rsidR="009879EA" w:rsidRDefault="00000000" w:rsidP="009879EA">
            <w:pPr>
              <w:autoSpaceDE w:val="0"/>
              <w:autoSpaceDN w:val="0"/>
              <w:adjustRightInd w:val="0"/>
              <w:spacing w:after="0" w:line="240" w:lineRule="auto"/>
              <w:rPr>
                <w:rFonts w:ascii="Calibri" w:hAnsi="Calibri" w:cs="Calibri"/>
                <w:color w:val="000000"/>
              </w:rPr>
            </w:pPr>
            <w:sdt>
              <w:sdtPr>
                <w:rPr>
                  <w:rFonts w:ascii="Calibri" w:hAnsi="Calibri" w:cs="Calibri"/>
                  <w:color w:val="000000"/>
                </w:rPr>
                <w:id w:val="703216748"/>
                <w:citation/>
              </w:sdtPr>
              <w:sdtContent>
                <w:r w:rsidR="005F2DBB">
                  <w:rPr>
                    <w:rFonts w:ascii="Calibri" w:hAnsi="Calibri" w:cs="Calibri"/>
                    <w:color w:val="000000"/>
                  </w:rPr>
                  <w:fldChar w:fldCharType="begin"/>
                </w:r>
                <w:r w:rsidR="005F2DBB">
                  <w:rPr>
                    <w:rFonts w:ascii="Calibri" w:hAnsi="Calibri" w:cs="Calibri"/>
                    <w:color w:val="000000"/>
                  </w:rPr>
                  <w:instrText xml:space="preserve"> CITATION Mag \l 1033  \m Liu18</w:instrText>
                </w:r>
                <w:r w:rsidR="00F5072C">
                  <w:rPr>
                    <w:rFonts w:ascii="Calibri" w:hAnsi="Calibri" w:cs="Calibri"/>
                    <w:color w:val="000000"/>
                  </w:rPr>
                  <w:instrText xml:space="preserve"> \m Cun22</w:instrText>
                </w:r>
                <w:r w:rsidR="005F2DBB">
                  <w:rPr>
                    <w:rFonts w:ascii="Calibri" w:hAnsi="Calibri" w:cs="Calibri"/>
                    <w:color w:val="000000"/>
                  </w:rPr>
                  <w:fldChar w:fldCharType="separate"/>
                </w:r>
                <w:r w:rsidR="009A6058" w:rsidRPr="009A6058">
                  <w:rPr>
                    <w:rFonts w:ascii="Calibri" w:hAnsi="Calibri" w:cs="Calibri"/>
                    <w:noProof/>
                    <w:color w:val="000000"/>
                  </w:rPr>
                  <w:t>[8, 9, 10]</w:t>
                </w:r>
                <w:r w:rsidR="005F2DBB">
                  <w:rPr>
                    <w:rFonts w:ascii="Calibri" w:hAnsi="Calibri" w:cs="Calibri"/>
                    <w:color w:val="000000"/>
                  </w:rPr>
                  <w:fldChar w:fldCharType="end"/>
                </w:r>
              </w:sdtContent>
            </w:sdt>
          </w:p>
        </w:tc>
      </w:tr>
      <w:tr w:rsidR="009879EA" w14:paraId="0BA68033" w14:textId="77777777" w:rsidTr="00963CEF">
        <w:trPr>
          <w:trHeight w:val="357"/>
        </w:trPr>
        <w:tc>
          <w:tcPr>
            <w:tcW w:w="1418" w:type="dxa"/>
            <w:tcBorders>
              <w:top w:val="nil"/>
              <w:left w:val="nil"/>
              <w:bottom w:val="nil"/>
              <w:right w:val="nil"/>
            </w:tcBorders>
            <w:shd w:val="clear" w:color="auto" w:fill="auto"/>
            <w:vAlign w:val="bottom"/>
          </w:tcPr>
          <w:p w14:paraId="0F7913C5" w14:textId="77777777" w:rsidR="009879EA" w:rsidRDefault="009879EA" w:rsidP="009879EA">
            <w:pPr>
              <w:autoSpaceDE w:val="0"/>
              <w:autoSpaceDN w:val="0"/>
              <w:adjustRightInd w:val="0"/>
              <w:spacing w:after="0" w:line="240" w:lineRule="auto"/>
              <w:rPr>
                <w:rFonts w:ascii="Calibri" w:hAnsi="Calibri" w:cs="Calibri"/>
                <w:color w:val="000000"/>
              </w:rPr>
            </w:pPr>
            <w:proofErr w:type="spellStart"/>
            <w:r>
              <w:rPr>
                <w:rFonts w:ascii="Calibri" w:hAnsi="Calibri" w:cs="Calibri"/>
                <w:color w:val="000000"/>
              </w:rPr>
              <w:t>Basiliximab</w:t>
            </w:r>
            <w:proofErr w:type="spellEnd"/>
          </w:p>
        </w:tc>
        <w:tc>
          <w:tcPr>
            <w:tcW w:w="1028" w:type="dxa"/>
            <w:tcBorders>
              <w:top w:val="nil"/>
              <w:left w:val="nil"/>
              <w:bottom w:val="nil"/>
              <w:right w:val="nil"/>
            </w:tcBorders>
            <w:shd w:val="clear" w:color="auto" w:fill="auto"/>
            <w:vAlign w:val="bottom"/>
          </w:tcPr>
          <w:p w14:paraId="32F81720"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CD25</w:t>
            </w:r>
          </w:p>
        </w:tc>
        <w:tc>
          <w:tcPr>
            <w:tcW w:w="1310" w:type="dxa"/>
            <w:tcBorders>
              <w:top w:val="nil"/>
              <w:left w:val="nil"/>
              <w:bottom w:val="nil"/>
              <w:right w:val="nil"/>
            </w:tcBorders>
            <w:shd w:val="clear" w:color="auto" w:fill="auto"/>
            <w:vAlign w:val="bottom"/>
          </w:tcPr>
          <w:p w14:paraId="729C070E"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1.2</w:t>
            </w:r>
          </w:p>
        </w:tc>
        <w:tc>
          <w:tcPr>
            <w:tcW w:w="1435" w:type="dxa"/>
            <w:tcBorders>
              <w:top w:val="nil"/>
              <w:left w:val="nil"/>
              <w:bottom w:val="nil"/>
              <w:right w:val="nil"/>
            </w:tcBorders>
            <w:shd w:val="clear" w:color="auto" w:fill="auto"/>
            <w:vAlign w:val="bottom"/>
          </w:tcPr>
          <w:p w14:paraId="66C79B85"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4.8</w:t>
            </w:r>
          </w:p>
        </w:tc>
        <w:tc>
          <w:tcPr>
            <w:tcW w:w="1181" w:type="dxa"/>
            <w:tcBorders>
              <w:top w:val="nil"/>
              <w:left w:val="nil"/>
              <w:bottom w:val="nil"/>
              <w:right w:val="nil"/>
            </w:tcBorders>
            <w:shd w:val="clear" w:color="auto" w:fill="auto"/>
            <w:vAlign w:val="bottom"/>
          </w:tcPr>
          <w:p w14:paraId="12A62BD7"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6.39</w:t>
            </w:r>
          </w:p>
        </w:tc>
        <w:tc>
          <w:tcPr>
            <w:tcW w:w="2055" w:type="dxa"/>
            <w:tcBorders>
              <w:top w:val="nil"/>
              <w:left w:val="nil"/>
              <w:bottom w:val="nil"/>
              <w:right w:val="nil"/>
            </w:tcBorders>
            <w:shd w:val="clear" w:color="auto" w:fill="auto"/>
            <w:vAlign w:val="bottom"/>
          </w:tcPr>
          <w:p w14:paraId="0BEC8783"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20 mg (IV) bolus</w:t>
            </w:r>
          </w:p>
        </w:tc>
        <w:tc>
          <w:tcPr>
            <w:tcW w:w="1418" w:type="dxa"/>
            <w:tcBorders>
              <w:top w:val="nil"/>
              <w:left w:val="nil"/>
              <w:bottom w:val="nil"/>
              <w:right w:val="nil"/>
            </w:tcBorders>
            <w:shd w:val="clear" w:color="auto" w:fill="auto"/>
            <w:vAlign w:val="bottom"/>
          </w:tcPr>
          <w:p w14:paraId="0C176D1B"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0.1 bolus</w:t>
            </w:r>
          </w:p>
        </w:tc>
        <w:tc>
          <w:tcPr>
            <w:tcW w:w="1406" w:type="dxa"/>
            <w:tcBorders>
              <w:top w:val="nil"/>
              <w:left w:val="nil"/>
              <w:right w:val="nil"/>
            </w:tcBorders>
            <w:shd w:val="clear" w:color="auto" w:fill="auto"/>
            <w:vAlign w:val="bottom"/>
          </w:tcPr>
          <w:p w14:paraId="79C16757" w14:textId="6575B764" w:rsidR="009879EA" w:rsidRDefault="00000000" w:rsidP="009879EA">
            <w:pPr>
              <w:autoSpaceDE w:val="0"/>
              <w:autoSpaceDN w:val="0"/>
              <w:adjustRightInd w:val="0"/>
              <w:spacing w:after="0" w:line="240" w:lineRule="auto"/>
              <w:rPr>
                <w:rFonts w:ascii="Calibri" w:hAnsi="Calibri" w:cs="Calibri"/>
                <w:color w:val="000000"/>
              </w:rPr>
            </w:pPr>
            <w:sdt>
              <w:sdtPr>
                <w:rPr>
                  <w:rFonts w:ascii="Calibri" w:hAnsi="Calibri" w:cs="Calibri"/>
                  <w:color w:val="000000"/>
                </w:rPr>
                <w:id w:val="-1335762017"/>
                <w:citation/>
              </w:sdtPr>
              <w:sdtContent>
                <w:r w:rsidR="005F2DBB">
                  <w:rPr>
                    <w:rFonts w:ascii="Calibri" w:hAnsi="Calibri" w:cs="Calibri"/>
                    <w:color w:val="000000"/>
                  </w:rPr>
                  <w:fldChar w:fldCharType="begin"/>
                </w:r>
                <w:r w:rsidR="005F2DBB">
                  <w:rPr>
                    <w:rFonts w:ascii="Calibri" w:hAnsi="Calibri" w:cs="Calibri"/>
                    <w:color w:val="000000"/>
                  </w:rPr>
                  <w:instrText xml:space="preserve"> CITATION LeT22 \l 1033 </w:instrText>
                </w:r>
                <w:r w:rsidR="00BE0978">
                  <w:rPr>
                    <w:rFonts w:ascii="Calibri" w:hAnsi="Calibri" w:cs="Calibri"/>
                    <w:color w:val="000000"/>
                  </w:rPr>
                  <w:instrText xml:space="preserve"> \m Nov03</w:instrText>
                </w:r>
                <w:r w:rsidR="005F2DBB">
                  <w:rPr>
                    <w:rFonts w:ascii="Calibri" w:hAnsi="Calibri" w:cs="Calibri"/>
                    <w:color w:val="000000"/>
                  </w:rPr>
                  <w:fldChar w:fldCharType="separate"/>
                </w:r>
                <w:r w:rsidR="009A6058" w:rsidRPr="009A6058">
                  <w:rPr>
                    <w:rFonts w:ascii="Calibri" w:hAnsi="Calibri" w:cs="Calibri"/>
                    <w:noProof/>
                    <w:color w:val="000000"/>
                  </w:rPr>
                  <w:t>[11, 12]</w:t>
                </w:r>
                <w:r w:rsidR="005F2DBB">
                  <w:rPr>
                    <w:rFonts w:ascii="Calibri" w:hAnsi="Calibri" w:cs="Calibri"/>
                    <w:color w:val="000000"/>
                  </w:rPr>
                  <w:fldChar w:fldCharType="end"/>
                </w:r>
              </w:sdtContent>
            </w:sdt>
          </w:p>
        </w:tc>
      </w:tr>
      <w:tr w:rsidR="009879EA" w14:paraId="510FE403" w14:textId="77777777" w:rsidTr="00963CEF">
        <w:trPr>
          <w:trHeight w:val="357"/>
        </w:trPr>
        <w:tc>
          <w:tcPr>
            <w:tcW w:w="1418" w:type="dxa"/>
            <w:tcBorders>
              <w:top w:val="nil"/>
              <w:left w:val="nil"/>
              <w:right w:val="nil"/>
            </w:tcBorders>
            <w:shd w:val="clear" w:color="auto" w:fill="auto"/>
            <w:vAlign w:val="bottom"/>
          </w:tcPr>
          <w:p w14:paraId="0D90E74B"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Aducanumab</w:t>
            </w:r>
          </w:p>
        </w:tc>
        <w:tc>
          <w:tcPr>
            <w:tcW w:w="1028" w:type="dxa"/>
            <w:tcBorders>
              <w:top w:val="nil"/>
              <w:left w:val="nil"/>
              <w:right w:val="nil"/>
            </w:tcBorders>
            <w:shd w:val="clear" w:color="auto" w:fill="auto"/>
            <w:vAlign w:val="bottom"/>
          </w:tcPr>
          <w:p w14:paraId="0B05D5A8"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tau</w:t>
            </w:r>
          </w:p>
        </w:tc>
        <w:tc>
          <w:tcPr>
            <w:tcW w:w="1310" w:type="dxa"/>
            <w:tcBorders>
              <w:top w:val="nil"/>
              <w:left w:val="nil"/>
              <w:right w:val="nil"/>
            </w:tcBorders>
            <w:shd w:val="clear" w:color="auto" w:fill="auto"/>
            <w:vAlign w:val="bottom"/>
          </w:tcPr>
          <w:p w14:paraId="79E2445A"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0.131</w:t>
            </w:r>
          </w:p>
        </w:tc>
        <w:tc>
          <w:tcPr>
            <w:tcW w:w="1435" w:type="dxa"/>
            <w:tcBorders>
              <w:top w:val="nil"/>
              <w:left w:val="nil"/>
              <w:right w:val="nil"/>
            </w:tcBorders>
            <w:shd w:val="clear" w:color="auto" w:fill="auto"/>
            <w:vAlign w:val="bottom"/>
          </w:tcPr>
          <w:p w14:paraId="786524FB"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27</w:t>
            </w:r>
          </w:p>
        </w:tc>
        <w:tc>
          <w:tcPr>
            <w:tcW w:w="1181" w:type="dxa"/>
            <w:tcBorders>
              <w:top w:val="nil"/>
              <w:left w:val="nil"/>
              <w:right w:val="nil"/>
            </w:tcBorders>
            <w:shd w:val="clear" w:color="auto" w:fill="auto"/>
            <w:vAlign w:val="bottom"/>
          </w:tcPr>
          <w:p w14:paraId="5B48ADCA"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736.8</w:t>
            </w:r>
          </w:p>
        </w:tc>
        <w:tc>
          <w:tcPr>
            <w:tcW w:w="2055" w:type="dxa"/>
            <w:tcBorders>
              <w:top w:val="nil"/>
              <w:left w:val="nil"/>
              <w:right w:val="nil"/>
            </w:tcBorders>
            <w:shd w:val="clear" w:color="auto" w:fill="auto"/>
            <w:vAlign w:val="bottom"/>
          </w:tcPr>
          <w:p w14:paraId="0E3FFAEC"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150 mg (IV) Q4W</w:t>
            </w:r>
          </w:p>
        </w:tc>
        <w:tc>
          <w:tcPr>
            <w:tcW w:w="1418" w:type="dxa"/>
            <w:tcBorders>
              <w:top w:val="nil"/>
              <w:left w:val="nil"/>
              <w:right w:val="nil"/>
            </w:tcBorders>
            <w:shd w:val="clear" w:color="auto" w:fill="auto"/>
            <w:vAlign w:val="bottom"/>
          </w:tcPr>
          <w:p w14:paraId="4789EFB9"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1 Q4W</w:t>
            </w:r>
          </w:p>
        </w:tc>
        <w:tc>
          <w:tcPr>
            <w:tcW w:w="1406" w:type="dxa"/>
            <w:tcBorders>
              <w:top w:val="nil"/>
              <w:left w:val="nil"/>
              <w:right w:val="nil"/>
            </w:tcBorders>
            <w:shd w:val="clear" w:color="auto" w:fill="auto"/>
            <w:vAlign w:val="bottom"/>
          </w:tcPr>
          <w:p w14:paraId="11BE6AB2" w14:textId="1F0E7735" w:rsidR="009879EA" w:rsidRDefault="00000000" w:rsidP="009879EA">
            <w:pPr>
              <w:autoSpaceDE w:val="0"/>
              <w:autoSpaceDN w:val="0"/>
              <w:adjustRightInd w:val="0"/>
              <w:spacing w:after="0" w:line="240" w:lineRule="auto"/>
              <w:rPr>
                <w:rFonts w:ascii="Calibri" w:hAnsi="Calibri" w:cs="Calibri"/>
                <w:color w:val="000000"/>
              </w:rPr>
            </w:pPr>
            <w:sdt>
              <w:sdtPr>
                <w:rPr>
                  <w:rFonts w:ascii="Calibri" w:hAnsi="Calibri" w:cs="Calibri"/>
                  <w:color w:val="000000"/>
                </w:rPr>
                <w:id w:val="838116294"/>
                <w:citation/>
              </w:sdtPr>
              <w:sdtContent>
                <w:r w:rsidR="00104A50">
                  <w:rPr>
                    <w:rFonts w:ascii="Calibri" w:hAnsi="Calibri" w:cs="Calibri"/>
                    <w:color w:val="000000"/>
                  </w:rPr>
                  <w:fldChar w:fldCharType="begin"/>
                </w:r>
                <w:r w:rsidR="00104A50">
                  <w:rPr>
                    <w:rFonts w:ascii="Calibri" w:hAnsi="Calibri" w:cs="Calibri"/>
                    <w:color w:val="000000"/>
                  </w:rPr>
                  <w:instrText xml:space="preserve">CITATION Blo22 \l 1033 </w:instrText>
                </w:r>
                <w:r w:rsidR="00104A50">
                  <w:rPr>
                    <w:rFonts w:ascii="Calibri" w:hAnsi="Calibri" w:cs="Calibri"/>
                    <w:color w:val="000000"/>
                  </w:rPr>
                  <w:fldChar w:fldCharType="separate"/>
                </w:r>
                <w:r w:rsidR="009A6058" w:rsidRPr="009A6058">
                  <w:rPr>
                    <w:rFonts w:ascii="Calibri" w:hAnsi="Calibri" w:cs="Calibri"/>
                    <w:noProof/>
                    <w:color w:val="000000"/>
                  </w:rPr>
                  <w:t>[13]</w:t>
                </w:r>
                <w:r w:rsidR="00104A50">
                  <w:rPr>
                    <w:rFonts w:ascii="Calibri" w:hAnsi="Calibri" w:cs="Calibri"/>
                    <w:color w:val="000000"/>
                  </w:rPr>
                  <w:fldChar w:fldCharType="end"/>
                </w:r>
              </w:sdtContent>
            </w:sdt>
          </w:p>
        </w:tc>
      </w:tr>
      <w:tr w:rsidR="009879EA" w14:paraId="64B4EBEB" w14:textId="77777777" w:rsidTr="00963CEF">
        <w:trPr>
          <w:trHeight w:val="357"/>
        </w:trPr>
        <w:tc>
          <w:tcPr>
            <w:tcW w:w="1418" w:type="dxa"/>
            <w:tcBorders>
              <w:top w:val="nil"/>
              <w:left w:val="nil"/>
              <w:bottom w:val="single" w:sz="4" w:space="0" w:color="auto"/>
              <w:right w:val="nil"/>
            </w:tcBorders>
            <w:shd w:val="clear" w:color="auto" w:fill="auto"/>
            <w:vAlign w:val="bottom"/>
          </w:tcPr>
          <w:p w14:paraId="69AB2D84"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Bevacizumab</w:t>
            </w:r>
          </w:p>
        </w:tc>
        <w:tc>
          <w:tcPr>
            <w:tcW w:w="1028" w:type="dxa"/>
            <w:tcBorders>
              <w:top w:val="nil"/>
              <w:left w:val="nil"/>
              <w:bottom w:val="single" w:sz="4" w:space="0" w:color="auto"/>
              <w:right w:val="nil"/>
            </w:tcBorders>
            <w:shd w:val="clear" w:color="auto" w:fill="auto"/>
            <w:vAlign w:val="bottom"/>
          </w:tcPr>
          <w:p w14:paraId="66FE0667"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VEGF-A</w:t>
            </w:r>
          </w:p>
        </w:tc>
        <w:tc>
          <w:tcPr>
            <w:tcW w:w="1310" w:type="dxa"/>
            <w:tcBorders>
              <w:top w:val="nil"/>
              <w:left w:val="nil"/>
              <w:bottom w:val="single" w:sz="4" w:space="0" w:color="auto"/>
              <w:right w:val="nil"/>
            </w:tcBorders>
            <w:shd w:val="clear" w:color="auto" w:fill="auto"/>
            <w:vAlign w:val="bottom"/>
          </w:tcPr>
          <w:p w14:paraId="3A489B60"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0.058</w:t>
            </w:r>
          </w:p>
        </w:tc>
        <w:tc>
          <w:tcPr>
            <w:tcW w:w="1435" w:type="dxa"/>
            <w:tcBorders>
              <w:top w:val="nil"/>
              <w:left w:val="nil"/>
              <w:bottom w:val="single" w:sz="4" w:space="0" w:color="auto"/>
              <w:right w:val="nil"/>
            </w:tcBorders>
            <w:shd w:val="clear" w:color="auto" w:fill="auto"/>
            <w:vAlign w:val="bottom"/>
          </w:tcPr>
          <w:p w14:paraId="0E7D7251"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11.3</w:t>
            </w:r>
          </w:p>
        </w:tc>
        <w:tc>
          <w:tcPr>
            <w:tcW w:w="1181" w:type="dxa"/>
            <w:tcBorders>
              <w:top w:val="nil"/>
              <w:left w:val="nil"/>
              <w:bottom w:val="single" w:sz="4" w:space="0" w:color="auto"/>
              <w:right w:val="nil"/>
            </w:tcBorders>
            <w:shd w:val="clear" w:color="auto" w:fill="auto"/>
            <w:vAlign w:val="bottom"/>
          </w:tcPr>
          <w:p w14:paraId="7D9748FE"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345</w:t>
            </w:r>
          </w:p>
        </w:tc>
        <w:tc>
          <w:tcPr>
            <w:tcW w:w="2055" w:type="dxa"/>
            <w:tcBorders>
              <w:top w:val="nil"/>
              <w:left w:val="nil"/>
              <w:bottom w:val="single" w:sz="4" w:space="0" w:color="auto"/>
              <w:right w:val="nil"/>
            </w:tcBorders>
            <w:shd w:val="clear" w:color="auto" w:fill="auto"/>
            <w:vAlign w:val="bottom"/>
          </w:tcPr>
          <w:p w14:paraId="2FD821A0"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5 mg/kg (IV) Q2W</w:t>
            </w:r>
          </w:p>
        </w:tc>
        <w:tc>
          <w:tcPr>
            <w:tcW w:w="1418" w:type="dxa"/>
            <w:tcBorders>
              <w:top w:val="nil"/>
              <w:left w:val="nil"/>
              <w:bottom w:val="single" w:sz="4" w:space="0" w:color="auto"/>
              <w:right w:val="nil"/>
            </w:tcBorders>
            <w:shd w:val="clear" w:color="auto" w:fill="auto"/>
            <w:vAlign w:val="bottom"/>
          </w:tcPr>
          <w:p w14:paraId="118EB997" w14:textId="77777777" w:rsidR="009879EA" w:rsidRDefault="009879EA" w:rsidP="009879EA">
            <w:pPr>
              <w:autoSpaceDE w:val="0"/>
              <w:autoSpaceDN w:val="0"/>
              <w:adjustRightInd w:val="0"/>
              <w:spacing w:after="0" w:line="240" w:lineRule="auto"/>
              <w:rPr>
                <w:rFonts w:ascii="Calibri" w:hAnsi="Calibri" w:cs="Calibri"/>
                <w:color w:val="000000"/>
              </w:rPr>
            </w:pPr>
            <w:r>
              <w:rPr>
                <w:rFonts w:ascii="Calibri" w:hAnsi="Calibri" w:cs="Calibri"/>
                <w:color w:val="000000"/>
              </w:rPr>
              <w:t>1 Q2W</w:t>
            </w:r>
          </w:p>
        </w:tc>
        <w:tc>
          <w:tcPr>
            <w:tcW w:w="1406" w:type="dxa"/>
            <w:tcBorders>
              <w:top w:val="nil"/>
              <w:left w:val="nil"/>
              <w:bottom w:val="single" w:sz="4" w:space="0" w:color="auto"/>
              <w:right w:val="nil"/>
            </w:tcBorders>
            <w:shd w:val="clear" w:color="auto" w:fill="auto"/>
            <w:vAlign w:val="bottom"/>
          </w:tcPr>
          <w:p w14:paraId="2B728DC1" w14:textId="6AF93E52" w:rsidR="009879EA" w:rsidRDefault="00000000" w:rsidP="009879EA">
            <w:pPr>
              <w:autoSpaceDE w:val="0"/>
              <w:autoSpaceDN w:val="0"/>
              <w:adjustRightInd w:val="0"/>
              <w:spacing w:after="0" w:line="240" w:lineRule="auto"/>
              <w:rPr>
                <w:rFonts w:ascii="Calibri" w:hAnsi="Calibri" w:cs="Calibri"/>
                <w:color w:val="000000"/>
              </w:rPr>
            </w:pPr>
            <w:sdt>
              <w:sdtPr>
                <w:rPr>
                  <w:rFonts w:ascii="Calibri" w:hAnsi="Calibri" w:cs="Calibri"/>
                  <w:color w:val="000000"/>
                </w:rPr>
                <w:id w:val="1839571383"/>
                <w:citation/>
              </w:sdtPr>
              <w:sdtContent>
                <w:r w:rsidR="005F2DBB">
                  <w:rPr>
                    <w:rFonts w:ascii="Calibri" w:hAnsi="Calibri" w:cs="Calibri"/>
                    <w:color w:val="000000"/>
                  </w:rPr>
                  <w:fldChar w:fldCharType="begin"/>
                </w:r>
                <w:r w:rsidR="005F2DBB">
                  <w:rPr>
                    <w:rFonts w:ascii="Calibri" w:hAnsi="Calibri" w:cs="Calibri"/>
                    <w:color w:val="000000"/>
                  </w:rPr>
                  <w:instrText xml:space="preserve"> CITATION Bas20 \l 1033 </w:instrText>
                </w:r>
                <w:r w:rsidR="00BE0978">
                  <w:rPr>
                    <w:rFonts w:ascii="Calibri" w:hAnsi="Calibri" w:cs="Calibri"/>
                    <w:color w:val="000000"/>
                  </w:rPr>
                  <w:instrText xml:space="preserve"> \m Gen04</w:instrText>
                </w:r>
                <w:r w:rsidR="005F2DBB">
                  <w:rPr>
                    <w:rFonts w:ascii="Calibri" w:hAnsi="Calibri" w:cs="Calibri"/>
                    <w:color w:val="000000"/>
                  </w:rPr>
                  <w:fldChar w:fldCharType="separate"/>
                </w:r>
                <w:r w:rsidR="009A6058" w:rsidRPr="009A6058">
                  <w:rPr>
                    <w:rFonts w:ascii="Calibri" w:hAnsi="Calibri" w:cs="Calibri"/>
                    <w:noProof/>
                    <w:color w:val="000000"/>
                  </w:rPr>
                  <w:t>[14, 15]</w:t>
                </w:r>
                <w:r w:rsidR="005F2DBB">
                  <w:rPr>
                    <w:rFonts w:ascii="Calibri" w:hAnsi="Calibri" w:cs="Calibri"/>
                    <w:color w:val="000000"/>
                  </w:rPr>
                  <w:fldChar w:fldCharType="end"/>
                </w:r>
              </w:sdtContent>
            </w:sdt>
          </w:p>
        </w:tc>
      </w:tr>
    </w:tbl>
    <w:p w14:paraId="2856ED54" w14:textId="0F62B642" w:rsidR="00C54507" w:rsidRPr="00F664BD" w:rsidRDefault="00F664BD" w:rsidP="00F16216">
      <w:pPr>
        <w:jc w:val="both"/>
        <w:rPr>
          <w:sz w:val="21"/>
          <w:szCs w:val="21"/>
        </w:rPr>
      </w:pPr>
      <w:r w:rsidRPr="00F664BD">
        <w:rPr>
          <w:sz w:val="21"/>
          <w:szCs w:val="21"/>
        </w:rPr>
        <w:t>*</w:t>
      </w:r>
      <w:r w:rsidR="005C7889">
        <w:rPr>
          <w:sz w:val="21"/>
          <w:szCs w:val="21"/>
        </w:rPr>
        <w:t>For simplicity, d</w:t>
      </w:r>
      <w:r>
        <w:rPr>
          <w:sz w:val="21"/>
          <w:szCs w:val="21"/>
        </w:rPr>
        <w:t>ose a</w:t>
      </w:r>
      <w:r w:rsidRPr="00F664BD">
        <w:rPr>
          <w:sz w:val="21"/>
          <w:szCs w:val="21"/>
        </w:rPr>
        <w:t>ssumption</w:t>
      </w:r>
      <w:r>
        <w:rPr>
          <w:sz w:val="21"/>
          <w:szCs w:val="21"/>
        </w:rPr>
        <w:t xml:space="preserve">s are </w:t>
      </w:r>
      <w:r w:rsidR="005C7889">
        <w:rPr>
          <w:sz w:val="21"/>
          <w:szCs w:val="21"/>
        </w:rPr>
        <w:t>made to</w:t>
      </w:r>
      <w:r>
        <w:rPr>
          <w:sz w:val="21"/>
          <w:szCs w:val="21"/>
        </w:rPr>
        <w:t xml:space="preserve"> match the dose and regimen used for trained ML model.</w:t>
      </w:r>
    </w:p>
    <w:p w14:paraId="38420F5C" w14:textId="77777777" w:rsidR="005B5AE7" w:rsidRDefault="005B5AE7" w:rsidP="009879EA">
      <w:pPr>
        <w:pStyle w:val="Caption"/>
        <w:keepNext/>
        <w:rPr>
          <w:rFonts w:cstheme="minorHAnsi"/>
          <w:i w:val="0"/>
          <w:iCs w:val="0"/>
          <w:color w:val="auto"/>
          <w:sz w:val="22"/>
          <w:szCs w:val="22"/>
        </w:rPr>
      </w:pPr>
    </w:p>
    <w:p w14:paraId="38A9CF6C" w14:textId="09FD3328" w:rsidR="005B5AE7" w:rsidRDefault="009879EA" w:rsidP="005B5AE7">
      <w:pPr>
        <w:pStyle w:val="Caption"/>
        <w:keepNext/>
      </w:pPr>
      <w:r w:rsidRPr="009879EA">
        <w:rPr>
          <w:rFonts w:cstheme="minorHAnsi"/>
          <w:i w:val="0"/>
          <w:iCs w:val="0"/>
          <w:color w:val="auto"/>
          <w:sz w:val="22"/>
          <w:szCs w:val="22"/>
        </w:rPr>
        <w:t>Table S</w:t>
      </w:r>
      <w:r w:rsidRPr="009879EA">
        <w:rPr>
          <w:rFonts w:cstheme="minorHAnsi"/>
          <w:i w:val="0"/>
          <w:iCs w:val="0"/>
          <w:color w:val="auto"/>
          <w:sz w:val="22"/>
          <w:szCs w:val="22"/>
        </w:rPr>
        <w:fldChar w:fldCharType="begin"/>
      </w:r>
      <w:r w:rsidRPr="009879EA">
        <w:rPr>
          <w:rFonts w:cstheme="minorHAnsi"/>
          <w:i w:val="0"/>
          <w:iCs w:val="0"/>
          <w:color w:val="auto"/>
          <w:sz w:val="22"/>
          <w:szCs w:val="22"/>
        </w:rPr>
        <w:instrText xml:space="preserve"> SEQ Table \* ARABIC </w:instrText>
      </w:r>
      <w:r w:rsidRPr="009879EA">
        <w:rPr>
          <w:rFonts w:cstheme="minorHAnsi"/>
          <w:i w:val="0"/>
          <w:iCs w:val="0"/>
          <w:color w:val="auto"/>
          <w:sz w:val="22"/>
          <w:szCs w:val="22"/>
        </w:rPr>
        <w:fldChar w:fldCharType="separate"/>
      </w:r>
      <w:r>
        <w:rPr>
          <w:rFonts w:cstheme="minorHAnsi"/>
          <w:i w:val="0"/>
          <w:iCs w:val="0"/>
          <w:noProof/>
          <w:color w:val="auto"/>
          <w:sz w:val="22"/>
          <w:szCs w:val="22"/>
        </w:rPr>
        <w:t>4</w:t>
      </w:r>
      <w:r w:rsidRPr="009879EA">
        <w:rPr>
          <w:rFonts w:cstheme="minorHAnsi"/>
          <w:i w:val="0"/>
          <w:iCs w:val="0"/>
          <w:color w:val="auto"/>
          <w:sz w:val="22"/>
          <w:szCs w:val="22"/>
        </w:rPr>
        <w:fldChar w:fldCharType="end"/>
      </w:r>
      <w:r w:rsidRPr="009879EA">
        <w:rPr>
          <w:rFonts w:cstheme="minorHAnsi"/>
          <w:i w:val="0"/>
          <w:iCs w:val="0"/>
          <w:color w:val="auto"/>
          <w:sz w:val="22"/>
          <w:szCs w:val="22"/>
        </w:rPr>
        <w:t xml:space="preserve">: Comparison of appropriate </w:t>
      </w:r>
      <w:r w:rsidR="00F44A75">
        <w:rPr>
          <w:rFonts w:cstheme="minorHAnsi"/>
          <w:i w:val="0"/>
          <w:iCs w:val="0"/>
          <w:color w:val="auto"/>
          <w:sz w:val="22"/>
          <w:szCs w:val="22"/>
        </w:rPr>
        <w:t>virtual</w:t>
      </w:r>
      <w:r w:rsidRPr="009879EA">
        <w:rPr>
          <w:rFonts w:cstheme="minorHAnsi"/>
          <w:i w:val="0"/>
          <w:iCs w:val="0"/>
          <w:color w:val="auto"/>
          <w:sz w:val="22"/>
          <w:szCs w:val="22"/>
        </w:rPr>
        <w:t xml:space="preserve"> data sample size based on test set accuracy and</w:t>
      </w:r>
      <w:r w:rsidR="00F44A75">
        <w:rPr>
          <w:rFonts w:cstheme="minorHAnsi"/>
          <w:i w:val="0"/>
          <w:iCs w:val="0"/>
          <w:color w:val="auto"/>
          <w:sz w:val="22"/>
          <w:szCs w:val="22"/>
        </w:rPr>
        <w:t xml:space="preserve"> decision</w:t>
      </w:r>
      <w:r w:rsidRPr="009879EA">
        <w:rPr>
          <w:rFonts w:cstheme="minorHAnsi"/>
          <w:i w:val="0"/>
          <w:iCs w:val="0"/>
          <w:color w:val="auto"/>
          <w:sz w:val="22"/>
          <w:szCs w:val="22"/>
        </w:rPr>
        <w:t xml:space="preserve"> tree-based rules for each case.</w:t>
      </w:r>
      <m:oMath>
        <m:sSub>
          <m:sSubPr>
            <m:ctrlPr>
              <w:rPr>
                <w:rFonts w:ascii="Cambria Math" w:hAnsi="Cambria Math" w:cstheme="minorHAnsi"/>
                <w:i w:val="0"/>
                <w:color w:val="auto"/>
                <w:sz w:val="22"/>
                <w:szCs w:val="22"/>
              </w:rPr>
            </m:ctrlPr>
          </m:sSubPr>
          <m:e>
            <m:r>
              <w:rPr>
                <w:rFonts w:ascii="Cambria Math" w:hAnsi="Cambria Math" w:cstheme="minorHAnsi"/>
                <w:color w:val="auto"/>
                <w:sz w:val="22"/>
                <w:szCs w:val="22"/>
              </w:rPr>
              <m:t xml:space="preserve"> T</m:t>
            </m:r>
          </m:e>
          <m:sub>
            <m:r>
              <w:rPr>
                <w:rFonts w:ascii="Cambria Math" w:hAnsi="Cambria Math" w:cstheme="minorHAnsi"/>
                <w:color w:val="auto"/>
                <w:sz w:val="22"/>
                <w:szCs w:val="22"/>
              </w:rPr>
              <m:t>s0</m:t>
            </m:r>
          </m:sub>
        </m:sSub>
      </m:oMath>
      <w:r w:rsidRPr="00F44A75">
        <w:rPr>
          <w:rFonts w:cstheme="minorHAnsi"/>
          <w:i w:val="0"/>
          <w:color w:val="auto"/>
          <w:sz w:val="22"/>
          <w:szCs w:val="22"/>
        </w:rPr>
        <w:t xml:space="preserve"> is the target baseline (nM), </w:t>
      </w:r>
      <m:oMath>
        <m:sSub>
          <m:sSubPr>
            <m:ctrlPr>
              <w:rPr>
                <w:rFonts w:ascii="Cambria Math" w:hAnsi="Cambria Math" w:cstheme="minorHAnsi"/>
                <w:i w:val="0"/>
                <w:color w:val="auto"/>
                <w:sz w:val="22"/>
                <w:szCs w:val="22"/>
              </w:rPr>
            </m:ctrlPr>
          </m:sSubPr>
          <m:e>
            <m:r>
              <w:rPr>
                <w:rFonts w:ascii="Cambria Math" w:hAnsi="Cambria Math" w:cstheme="minorHAnsi"/>
                <w:color w:val="auto"/>
                <w:sz w:val="22"/>
                <w:szCs w:val="22"/>
              </w:rPr>
              <m:t>t</m:t>
            </m:r>
          </m:e>
          <m:sub>
            <m:r>
              <w:rPr>
                <w:rFonts w:ascii="Cambria Math" w:hAnsi="Cambria Math" w:cstheme="minorHAnsi"/>
                <w:color w:val="auto"/>
                <w:sz w:val="22"/>
                <w:szCs w:val="22"/>
              </w:rPr>
              <m:t xml:space="preserve">1/2 </m:t>
            </m:r>
          </m:sub>
        </m:sSub>
      </m:oMath>
      <w:r w:rsidRPr="00F44A75">
        <w:rPr>
          <w:rFonts w:cstheme="minorHAnsi"/>
          <w:i w:val="0"/>
          <w:color w:val="auto"/>
          <w:sz w:val="22"/>
          <w:szCs w:val="22"/>
        </w:rPr>
        <w:t xml:space="preserve">is the target half-life (hour), </w:t>
      </w:r>
      <m:oMath>
        <m:sSub>
          <m:sSubPr>
            <m:ctrlPr>
              <w:rPr>
                <w:rFonts w:ascii="Cambria Math" w:hAnsi="Cambria Math" w:cstheme="minorHAnsi"/>
                <w:i w:val="0"/>
                <w:color w:val="auto"/>
                <w:sz w:val="22"/>
                <w:szCs w:val="22"/>
              </w:rPr>
            </m:ctrlPr>
          </m:sSubPr>
          <m:e>
            <m:r>
              <w:rPr>
                <w:rFonts w:ascii="Cambria Math" w:hAnsi="Cambria Math" w:cstheme="minorHAnsi"/>
                <w:color w:val="auto"/>
                <w:sz w:val="22"/>
                <w:szCs w:val="22"/>
              </w:rPr>
              <m:t>K</m:t>
            </m:r>
          </m:e>
          <m:sub>
            <m:r>
              <w:rPr>
                <w:rFonts w:ascii="Cambria Math" w:hAnsi="Cambria Math" w:cstheme="minorHAnsi"/>
                <w:color w:val="auto"/>
                <w:sz w:val="22"/>
                <w:szCs w:val="22"/>
              </w:rPr>
              <m:t>D</m:t>
            </m:r>
          </m:sub>
        </m:sSub>
      </m:oMath>
      <w:r w:rsidRPr="009879EA">
        <w:rPr>
          <w:rFonts w:cstheme="minorHAnsi"/>
          <w:i w:val="0"/>
          <w:iCs w:val="0"/>
          <w:color w:val="auto"/>
          <w:sz w:val="22"/>
          <w:szCs w:val="22"/>
        </w:rPr>
        <w:t xml:space="preserve"> is the drug-target binding constant (nM). </w:t>
      </w:r>
    </w:p>
    <w:tbl>
      <w:tblPr>
        <w:tblStyle w:val="TableGrid"/>
        <w:tblpPr w:leftFromText="180" w:rightFromText="180" w:vertAnchor="page" w:horzAnchor="margin" w:tblpXSpec="center" w:tblpY="12507"/>
        <w:tblW w:w="1071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0"/>
        <w:gridCol w:w="988"/>
        <w:gridCol w:w="1044"/>
        <w:gridCol w:w="1051"/>
        <w:gridCol w:w="1050"/>
        <w:gridCol w:w="1044"/>
        <w:gridCol w:w="1047"/>
        <w:gridCol w:w="1050"/>
        <w:gridCol w:w="1044"/>
        <w:gridCol w:w="1051"/>
      </w:tblGrid>
      <w:tr w:rsidR="005B5AE7" w14:paraId="0AF134C5" w14:textId="77777777" w:rsidTr="00F44A75">
        <w:trPr>
          <w:trHeight w:val="368"/>
        </w:trPr>
        <w:tc>
          <w:tcPr>
            <w:tcW w:w="1350" w:type="dxa"/>
            <w:tcBorders>
              <w:bottom w:val="single" w:sz="4" w:space="0" w:color="auto"/>
            </w:tcBorders>
          </w:tcPr>
          <w:p w14:paraId="6CB64281" w14:textId="77777777" w:rsidR="005B5AE7" w:rsidRDefault="005B5AE7" w:rsidP="00F44A75">
            <w:pPr>
              <w:jc w:val="center"/>
              <w:rPr>
                <w:rFonts w:eastAsiaTheme="minorEastAsia"/>
                <w:iCs/>
                <w:sz w:val="20"/>
                <w:szCs w:val="20"/>
              </w:rPr>
            </w:pPr>
            <w:bookmarkStart w:id="2" w:name="_Hlk151552397"/>
          </w:p>
        </w:tc>
        <w:tc>
          <w:tcPr>
            <w:tcW w:w="3083" w:type="dxa"/>
            <w:gridSpan w:val="3"/>
            <w:tcBorders>
              <w:bottom w:val="single" w:sz="4" w:space="0" w:color="auto"/>
            </w:tcBorders>
          </w:tcPr>
          <w:p w14:paraId="27224D92" w14:textId="77777777" w:rsidR="005B5AE7" w:rsidRDefault="005B5AE7" w:rsidP="00F44A75">
            <w:pPr>
              <w:jc w:val="center"/>
              <w:rPr>
                <w:rFonts w:eastAsiaTheme="minorEastAsia"/>
                <w:iCs/>
                <w:sz w:val="20"/>
                <w:szCs w:val="20"/>
              </w:rPr>
            </w:pPr>
            <w:r>
              <w:rPr>
                <w:rFonts w:eastAsiaTheme="minorEastAsia"/>
                <w:iCs/>
                <w:sz w:val="20"/>
                <w:szCs w:val="20"/>
              </w:rPr>
              <w:t>Sample size: 5000</w:t>
            </w:r>
          </w:p>
        </w:tc>
        <w:tc>
          <w:tcPr>
            <w:tcW w:w="3141" w:type="dxa"/>
            <w:gridSpan w:val="3"/>
            <w:tcBorders>
              <w:bottom w:val="single" w:sz="4" w:space="0" w:color="auto"/>
            </w:tcBorders>
          </w:tcPr>
          <w:p w14:paraId="6A069382" w14:textId="77777777" w:rsidR="005B5AE7" w:rsidRDefault="005B5AE7" w:rsidP="00F44A75">
            <w:pPr>
              <w:jc w:val="center"/>
              <w:rPr>
                <w:rFonts w:eastAsiaTheme="minorEastAsia"/>
                <w:iCs/>
                <w:sz w:val="20"/>
                <w:szCs w:val="20"/>
              </w:rPr>
            </w:pPr>
            <w:r>
              <w:rPr>
                <w:rFonts w:eastAsiaTheme="minorEastAsia"/>
                <w:iCs/>
                <w:sz w:val="20"/>
                <w:szCs w:val="20"/>
              </w:rPr>
              <w:t>Sample size: 10000</w:t>
            </w:r>
          </w:p>
        </w:tc>
        <w:tc>
          <w:tcPr>
            <w:tcW w:w="3145" w:type="dxa"/>
            <w:gridSpan w:val="3"/>
            <w:tcBorders>
              <w:bottom w:val="single" w:sz="4" w:space="0" w:color="auto"/>
            </w:tcBorders>
          </w:tcPr>
          <w:p w14:paraId="1955C848" w14:textId="77777777" w:rsidR="005B5AE7" w:rsidRDefault="005B5AE7" w:rsidP="00F44A75">
            <w:pPr>
              <w:jc w:val="center"/>
              <w:rPr>
                <w:rFonts w:eastAsiaTheme="minorEastAsia"/>
                <w:iCs/>
                <w:sz w:val="20"/>
                <w:szCs w:val="20"/>
              </w:rPr>
            </w:pPr>
            <w:r>
              <w:rPr>
                <w:rFonts w:eastAsiaTheme="minorEastAsia"/>
                <w:iCs/>
                <w:sz w:val="20"/>
                <w:szCs w:val="20"/>
              </w:rPr>
              <w:t>Sample size: 15000</w:t>
            </w:r>
          </w:p>
        </w:tc>
      </w:tr>
      <w:tr w:rsidR="005B5AE7" w14:paraId="6F2BFB6C" w14:textId="77777777" w:rsidTr="00F44A75">
        <w:trPr>
          <w:trHeight w:val="350"/>
        </w:trPr>
        <w:tc>
          <w:tcPr>
            <w:tcW w:w="1350" w:type="dxa"/>
            <w:tcBorders>
              <w:top w:val="single" w:sz="4" w:space="0" w:color="auto"/>
              <w:bottom w:val="single" w:sz="4" w:space="0" w:color="auto"/>
            </w:tcBorders>
          </w:tcPr>
          <w:p w14:paraId="62822F66" w14:textId="77777777" w:rsidR="005B5AE7" w:rsidRPr="008A1FCC" w:rsidRDefault="005B5AE7" w:rsidP="00F44A75">
            <w:pPr>
              <w:rPr>
                <w:rFonts w:ascii="Calibri" w:eastAsia="Calibri" w:hAnsi="Calibri" w:cs="Times New Roman"/>
                <w:sz w:val="20"/>
                <w:szCs w:val="20"/>
              </w:rPr>
            </w:pPr>
          </w:p>
        </w:tc>
        <w:bookmarkStart w:id="3" w:name="_Hlk151388640"/>
        <w:tc>
          <w:tcPr>
            <w:tcW w:w="988" w:type="dxa"/>
            <w:tcBorders>
              <w:top w:val="single" w:sz="4" w:space="0" w:color="auto"/>
              <w:bottom w:val="single" w:sz="4" w:space="0" w:color="auto"/>
            </w:tcBorders>
          </w:tcPr>
          <w:p w14:paraId="376140FC" w14:textId="77777777" w:rsidR="005B5AE7" w:rsidRPr="008A1FCC" w:rsidRDefault="00000000" w:rsidP="00F44A75">
            <w:pPr>
              <w:rPr>
                <w:rFonts w:eastAsiaTheme="minorEastAsia"/>
                <w:iCs/>
                <w:sz w:val="20"/>
                <w:szCs w:val="20"/>
              </w:rPr>
            </w:pPr>
            <m:oMathPara>
              <m:oMath>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T</m:t>
                    </m:r>
                  </m:e>
                  <m:sub>
                    <m:r>
                      <m:rPr>
                        <m:sty m:val="p"/>
                      </m:rPr>
                      <w:rPr>
                        <w:rFonts w:ascii="Cambria Math" w:eastAsiaTheme="minorEastAsia" w:hAnsi="Cambria Math"/>
                        <w:sz w:val="20"/>
                        <w:szCs w:val="20"/>
                      </w:rPr>
                      <m:t>s0</m:t>
                    </m:r>
                  </m:sub>
                </m:sSub>
              </m:oMath>
            </m:oMathPara>
            <w:bookmarkEnd w:id="3"/>
          </w:p>
        </w:tc>
        <w:tc>
          <w:tcPr>
            <w:tcW w:w="1044" w:type="dxa"/>
            <w:tcBorders>
              <w:top w:val="single" w:sz="4" w:space="0" w:color="auto"/>
              <w:bottom w:val="single" w:sz="4" w:space="0" w:color="auto"/>
            </w:tcBorders>
          </w:tcPr>
          <w:p w14:paraId="2906D0BA" w14:textId="77777777" w:rsidR="005B5AE7" w:rsidRPr="008A1FCC" w:rsidRDefault="00000000" w:rsidP="00F44A75">
            <w:pPr>
              <w:rPr>
                <w:rFonts w:eastAsiaTheme="minorEastAsia"/>
                <w:iCs/>
                <w:sz w:val="20"/>
                <w:szCs w:val="20"/>
              </w:rPr>
            </w:pPr>
            <m:oMathPara>
              <m:oMath>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t</m:t>
                    </m:r>
                  </m:e>
                  <m:sub>
                    <m:r>
                      <m:rPr>
                        <m:sty m:val="p"/>
                      </m:rPr>
                      <w:rPr>
                        <w:rFonts w:ascii="Cambria Math" w:eastAsiaTheme="minorEastAsia" w:hAnsi="Cambria Math"/>
                        <w:sz w:val="20"/>
                        <w:szCs w:val="20"/>
                      </w:rPr>
                      <m:t>1/2</m:t>
                    </m:r>
                  </m:sub>
                </m:sSub>
              </m:oMath>
            </m:oMathPara>
          </w:p>
        </w:tc>
        <w:tc>
          <w:tcPr>
            <w:tcW w:w="1051" w:type="dxa"/>
            <w:tcBorders>
              <w:top w:val="single" w:sz="4" w:space="0" w:color="auto"/>
              <w:bottom w:val="single" w:sz="4" w:space="0" w:color="auto"/>
            </w:tcBorders>
          </w:tcPr>
          <w:p w14:paraId="0582267F" w14:textId="77777777" w:rsidR="005B5AE7" w:rsidRPr="008A1FCC" w:rsidRDefault="00000000" w:rsidP="00F44A75">
            <w:pPr>
              <w:rPr>
                <w:rFonts w:eastAsiaTheme="minorEastAsia"/>
                <w:iCs/>
                <w:sz w:val="20"/>
                <w:szCs w:val="20"/>
              </w:rPr>
            </w:pPr>
            <m:oMathPara>
              <m:oMath>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K</m:t>
                    </m:r>
                  </m:e>
                  <m:sub>
                    <m:r>
                      <m:rPr>
                        <m:sty m:val="p"/>
                      </m:rPr>
                      <w:rPr>
                        <w:rFonts w:ascii="Cambria Math" w:eastAsiaTheme="minorEastAsia" w:hAnsi="Cambria Math"/>
                        <w:sz w:val="20"/>
                        <w:szCs w:val="20"/>
                      </w:rPr>
                      <m:t>D</m:t>
                    </m:r>
                  </m:sub>
                </m:sSub>
              </m:oMath>
            </m:oMathPara>
          </w:p>
        </w:tc>
        <w:tc>
          <w:tcPr>
            <w:tcW w:w="1050" w:type="dxa"/>
            <w:tcBorders>
              <w:top w:val="single" w:sz="4" w:space="0" w:color="auto"/>
              <w:bottom w:val="single" w:sz="4" w:space="0" w:color="auto"/>
            </w:tcBorders>
          </w:tcPr>
          <w:p w14:paraId="6D0B8F14" w14:textId="77777777" w:rsidR="005B5AE7" w:rsidRPr="008A1FCC" w:rsidRDefault="00000000" w:rsidP="00F44A75">
            <w:pPr>
              <w:rPr>
                <w:rFonts w:eastAsiaTheme="minorEastAsia"/>
                <w:iCs/>
                <w:sz w:val="20"/>
                <w:szCs w:val="20"/>
              </w:rPr>
            </w:pPr>
            <m:oMathPara>
              <m:oMath>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T</m:t>
                    </m:r>
                  </m:e>
                  <m:sub>
                    <m:r>
                      <m:rPr>
                        <m:sty m:val="p"/>
                      </m:rPr>
                      <w:rPr>
                        <w:rFonts w:ascii="Cambria Math" w:eastAsiaTheme="minorEastAsia" w:hAnsi="Cambria Math"/>
                        <w:sz w:val="20"/>
                        <w:szCs w:val="20"/>
                      </w:rPr>
                      <m:t>s0</m:t>
                    </m:r>
                  </m:sub>
                </m:sSub>
              </m:oMath>
            </m:oMathPara>
          </w:p>
        </w:tc>
        <w:tc>
          <w:tcPr>
            <w:tcW w:w="1044" w:type="dxa"/>
            <w:tcBorders>
              <w:top w:val="single" w:sz="4" w:space="0" w:color="auto"/>
              <w:bottom w:val="single" w:sz="4" w:space="0" w:color="auto"/>
            </w:tcBorders>
          </w:tcPr>
          <w:p w14:paraId="6F7CF443" w14:textId="77777777" w:rsidR="005B5AE7" w:rsidRPr="008A1FCC" w:rsidRDefault="00000000" w:rsidP="00F44A75">
            <w:pPr>
              <w:rPr>
                <w:rFonts w:eastAsiaTheme="minorEastAsia"/>
                <w:iCs/>
                <w:sz w:val="20"/>
                <w:szCs w:val="20"/>
              </w:rPr>
            </w:pPr>
            <m:oMathPara>
              <m:oMath>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t</m:t>
                    </m:r>
                  </m:e>
                  <m:sub>
                    <m:r>
                      <m:rPr>
                        <m:sty m:val="p"/>
                      </m:rPr>
                      <w:rPr>
                        <w:rFonts w:ascii="Cambria Math" w:eastAsiaTheme="minorEastAsia" w:hAnsi="Cambria Math"/>
                        <w:sz w:val="20"/>
                        <w:szCs w:val="20"/>
                      </w:rPr>
                      <m:t>1/2</m:t>
                    </m:r>
                  </m:sub>
                </m:sSub>
              </m:oMath>
            </m:oMathPara>
          </w:p>
        </w:tc>
        <w:tc>
          <w:tcPr>
            <w:tcW w:w="1047" w:type="dxa"/>
            <w:tcBorders>
              <w:top w:val="single" w:sz="4" w:space="0" w:color="auto"/>
              <w:bottom w:val="single" w:sz="4" w:space="0" w:color="auto"/>
            </w:tcBorders>
          </w:tcPr>
          <w:p w14:paraId="27B3B43D" w14:textId="77777777" w:rsidR="005B5AE7" w:rsidRPr="008A1FCC" w:rsidRDefault="00000000" w:rsidP="00F44A75">
            <w:pPr>
              <w:rPr>
                <w:rFonts w:eastAsiaTheme="minorEastAsia"/>
                <w:iCs/>
                <w:sz w:val="20"/>
                <w:szCs w:val="20"/>
              </w:rPr>
            </w:pPr>
            <m:oMathPara>
              <m:oMath>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K</m:t>
                    </m:r>
                  </m:e>
                  <m:sub>
                    <m:r>
                      <m:rPr>
                        <m:sty m:val="p"/>
                      </m:rPr>
                      <w:rPr>
                        <w:rFonts w:ascii="Cambria Math" w:eastAsiaTheme="minorEastAsia" w:hAnsi="Cambria Math"/>
                        <w:sz w:val="20"/>
                        <w:szCs w:val="20"/>
                      </w:rPr>
                      <m:t>D</m:t>
                    </m:r>
                  </m:sub>
                </m:sSub>
              </m:oMath>
            </m:oMathPara>
          </w:p>
        </w:tc>
        <w:tc>
          <w:tcPr>
            <w:tcW w:w="1050" w:type="dxa"/>
            <w:tcBorders>
              <w:top w:val="single" w:sz="4" w:space="0" w:color="auto"/>
              <w:bottom w:val="single" w:sz="4" w:space="0" w:color="auto"/>
            </w:tcBorders>
          </w:tcPr>
          <w:p w14:paraId="3416526A" w14:textId="77777777" w:rsidR="005B5AE7" w:rsidRPr="008A1FCC" w:rsidRDefault="00000000" w:rsidP="00F44A75">
            <w:pPr>
              <w:rPr>
                <w:rFonts w:eastAsiaTheme="minorEastAsia"/>
                <w:iCs/>
                <w:sz w:val="20"/>
                <w:szCs w:val="20"/>
              </w:rPr>
            </w:pPr>
            <m:oMathPara>
              <m:oMath>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T</m:t>
                    </m:r>
                  </m:e>
                  <m:sub>
                    <m:r>
                      <m:rPr>
                        <m:sty m:val="p"/>
                      </m:rPr>
                      <w:rPr>
                        <w:rFonts w:ascii="Cambria Math" w:eastAsiaTheme="minorEastAsia" w:hAnsi="Cambria Math"/>
                        <w:sz w:val="20"/>
                        <w:szCs w:val="20"/>
                      </w:rPr>
                      <m:t>s0</m:t>
                    </m:r>
                  </m:sub>
                </m:sSub>
              </m:oMath>
            </m:oMathPara>
          </w:p>
        </w:tc>
        <w:tc>
          <w:tcPr>
            <w:tcW w:w="1044" w:type="dxa"/>
            <w:tcBorders>
              <w:top w:val="single" w:sz="4" w:space="0" w:color="auto"/>
              <w:bottom w:val="single" w:sz="4" w:space="0" w:color="auto"/>
            </w:tcBorders>
          </w:tcPr>
          <w:p w14:paraId="57648692" w14:textId="77777777" w:rsidR="005B5AE7" w:rsidRPr="008A1FCC" w:rsidRDefault="00000000" w:rsidP="00F44A75">
            <w:pPr>
              <w:rPr>
                <w:rFonts w:eastAsiaTheme="minorEastAsia"/>
                <w:iCs/>
                <w:sz w:val="20"/>
                <w:szCs w:val="20"/>
              </w:rPr>
            </w:pPr>
            <m:oMathPara>
              <m:oMath>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t</m:t>
                    </m:r>
                  </m:e>
                  <m:sub>
                    <m:r>
                      <m:rPr>
                        <m:sty m:val="p"/>
                      </m:rPr>
                      <w:rPr>
                        <w:rFonts w:ascii="Cambria Math" w:eastAsiaTheme="minorEastAsia" w:hAnsi="Cambria Math"/>
                        <w:sz w:val="20"/>
                        <w:szCs w:val="20"/>
                      </w:rPr>
                      <m:t>1/2</m:t>
                    </m:r>
                  </m:sub>
                </m:sSub>
              </m:oMath>
            </m:oMathPara>
          </w:p>
        </w:tc>
        <w:tc>
          <w:tcPr>
            <w:tcW w:w="1051" w:type="dxa"/>
            <w:tcBorders>
              <w:top w:val="single" w:sz="4" w:space="0" w:color="auto"/>
              <w:bottom w:val="single" w:sz="4" w:space="0" w:color="auto"/>
            </w:tcBorders>
          </w:tcPr>
          <w:p w14:paraId="468B759E" w14:textId="77777777" w:rsidR="005B5AE7" w:rsidRPr="008A1FCC" w:rsidRDefault="00000000" w:rsidP="00F44A75">
            <w:pPr>
              <w:rPr>
                <w:rFonts w:eastAsiaTheme="minorEastAsia"/>
                <w:iCs/>
                <w:sz w:val="20"/>
                <w:szCs w:val="20"/>
              </w:rPr>
            </w:pPr>
            <m:oMathPara>
              <m:oMath>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K</m:t>
                    </m:r>
                  </m:e>
                  <m:sub>
                    <m:r>
                      <m:rPr>
                        <m:sty m:val="p"/>
                      </m:rPr>
                      <w:rPr>
                        <w:rFonts w:ascii="Cambria Math" w:eastAsiaTheme="minorEastAsia" w:hAnsi="Cambria Math"/>
                        <w:sz w:val="20"/>
                        <w:szCs w:val="20"/>
                      </w:rPr>
                      <m:t>D</m:t>
                    </m:r>
                  </m:sub>
                </m:sSub>
              </m:oMath>
            </m:oMathPara>
          </w:p>
        </w:tc>
      </w:tr>
      <w:tr w:rsidR="005B5AE7" w14:paraId="5870648A" w14:textId="77777777" w:rsidTr="00F44A75">
        <w:trPr>
          <w:trHeight w:val="328"/>
        </w:trPr>
        <w:tc>
          <w:tcPr>
            <w:tcW w:w="1350" w:type="dxa"/>
            <w:tcBorders>
              <w:top w:val="single" w:sz="4" w:space="0" w:color="auto"/>
              <w:bottom w:val="single" w:sz="4" w:space="0" w:color="auto"/>
            </w:tcBorders>
          </w:tcPr>
          <w:p w14:paraId="055953F3" w14:textId="77777777" w:rsidR="005B5AE7" w:rsidRDefault="005B5AE7" w:rsidP="00F44A75">
            <w:pPr>
              <w:rPr>
                <w:rFonts w:eastAsiaTheme="minorEastAsia"/>
                <w:iCs/>
                <w:sz w:val="20"/>
                <w:szCs w:val="20"/>
              </w:rPr>
            </w:pPr>
            <w:r>
              <w:rPr>
                <w:rFonts w:ascii="Calibri" w:eastAsia="Calibri" w:hAnsi="Calibri" w:cs="Times New Roman"/>
                <w:sz w:val="20"/>
                <w:szCs w:val="20"/>
              </w:rPr>
              <w:t>Rules</w:t>
            </w:r>
          </w:p>
        </w:tc>
        <w:tc>
          <w:tcPr>
            <w:tcW w:w="988" w:type="dxa"/>
            <w:tcBorders>
              <w:top w:val="single" w:sz="4" w:space="0" w:color="auto"/>
              <w:bottom w:val="single" w:sz="4" w:space="0" w:color="auto"/>
            </w:tcBorders>
            <w:shd w:val="clear" w:color="auto" w:fill="auto"/>
          </w:tcPr>
          <w:p w14:paraId="4EF6528A" w14:textId="77777777" w:rsidR="005B5AE7" w:rsidRPr="001D6BFA" w:rsidRDefault="005B5AE7" w:rsidP="00F44A75">
            <w:pPr>
              <w:rPr>
                <w:rFonts w:eastAsiaTheme="minorEastAsia"/>
                <w:iCs/>
                <w:color w:val="000000" w:themeColor="text1"/>
                <w:sz w:val="16"/>
                <w:szCs w:val="16"/>
              </w:rPr>
            </w:pPr>
            <w:r w:rsidRPr="001D6BFA">
              <w:rPr>
                <w:rFonts w:ascii="Verdana" w:hAnsi="Verdana" w:cs="Arial"/>
                <w:color w:val="000000" w:themeColor="text1"/>
                <w:kern w:val="24"/>
                <w:sz w:val="16"/>
                <w:szCs w:val="16"/>
              </w:rPr>
              <w:t>&lt; 1.38</w:t>
            </w:r>
          </w:p>
        </w:tc>
        <w:tc>
          <w:tcPr>
            <w:tcW w:w="1044" w:type="dxa"/>
            <w:tcBorders>
              <w:top w:val="single" w:sz="4" w:space="0" w:color="auto"/>
              <w:bottom w:val="single" w:sz="4" w:space="0" w:color="auto"/>
            </w:tcBorders>
            <w:shd w:val="clear" w:color="auto" w:fill="auto"/>
          </w:tcPr>
          <w:p w14:paraId="5AC959FD" w14:textId="77777777" w:rsidR="005B5AE7" w:rsidRPr="001D6BFA" w:rsidRDefault="005B5AE7" w:rsidP="00F44A75">
            <w:pPr>
              <w:rPr>
                <w:rFonts w:eastAsiaTheme="minorEastAsia"/>
                <w:iCs/>
                <w:color w:val="000000" w:themeColor="text1"/>
                <w:sz w:val="16"/>
                <w:szCs w:val="16"/>
              </w:rPr>
            </w:pPr>
            <w:r w:rsidRPr="001D6BFA">
              <w:rPr>
                <w:rFonts w:ascii="Verdana" w:hAnsi="Verdana" w:cs="Arial"/>
                <w:color w:val="000000" w:themeColor="text1"/>
                <w:kern w:val="24"/>
                <w:sz w:val="16"/>
                <w:szCs w:val="16"/>
              </w:rPr>
              <w:t>&lt; 89</w:t>
            </w:r>
          </w:p>
        </w:tc>
        <w:tc>
          <w:tcPr>
            <w:tcW w:w="1051" w:type="dxa"/>
            <w:tcBorders>
              <w:top w:val="single" w:sz="4" w:space="0" w:color="auto"/>
              <w:bottom w:val="single" w:sz="4" w:space="0" w:color="auto"/>
            </w:tcBorders>
            <w:shd w:val="clear" w:color="auto" w:fill="auto"/>
          </w:tcPr>
          <w:p w14:paraId="798E214A" w14:textId="77777777" w:rsidR="005B5AE7" w:rsidRPr="001D6BFA" w:rsidRDefault="005B5AE7" w:rsidP="00F44A75">
            <w:pPr>
              <w:rPr>
                <w:rFonts w:eastAsiaTheme="minorEastAsia"/>
                <w:iCs/>
                <w:color w:val="000000" w:themeColor="text1"/>
                <w:sz w:val="16"/>
                <w:szCs w:val="16"/>
              </w:rPr>
            </w:pPr>
            <w:r w:rsidRPr="001D6BFA">
              <w:rPr>
                <w:rFonts w:ascii="Verdana" w:hAnsi="Verdana" w:cs="Arial"/>
                <w:color w:val="000000" w:themeColor="text1"/>
                <w:kern w:val="24"/>
                <w:sz w:val="16"/>
                <w:szCs w:val="16"/>
              </w:rPr>
              <w:t>&lt; 0.2</w:t>
            </w:r>
            <w:r>
              <w:rPr>
                <w:rFonts w:ascii="Verdana" w:hAnsi="Verdana" w:cs="Arial"/>
                <w:color w:val="000000" w:themeColor="text1"/>
                <w:kern w:val="24"/>
                <w:sz w:val="16"/>
                <w:szCs w:val="16"/>
              </w:rPr>
              <w:t>4</w:t>
            </w:r>
          </w:p>
        </w:tc>
        <w:tc>
          <w:tcPr>
            <w:tcW w:w="1050" w:type="dxa"/>
            <w:tcBorders>
              <w:top w:val="single" w:sz="4" w:space="0" w:color="auto"/>
              <w:bottom w:val="single" w:sz="4" w:space="0" w:color="auto"/>
            </w:tcBorders>
            <w:shd w:val="clear" w:color="auto" w:fill="auto"/>
          </w:tcPr>
          <w:p w14:paraId="5CA000AD" w14:textId="77777777" w:rsidR="005B5AE7" w:rsidRPr="001D6BFA" w:rsidRDefault="005B5AE7" w:rsidP="00F44A75">
            <w:pPr>
              <w:rPr>
                <w:rFonts w:eastAsiaTheme="minorEastAsia"/>
                <w:iCs/>
                <w:color w:val="000000" w:themeColor="text1"/>
                <w:sz w:val="16"/>
                <w:szCs w:val="16"/>
              </w:rPr>
            </w:pPr>
            <w:r w:rsidRPr="001D6BFA">
              <w:rPr>
                <w:rFonts w:ascii="Verdana" w:hAnsi="Verdana" w:cs="Arial"/>
                <w:color w:val="000000" w:themeColor="text1"/>
                <w:kern w:val="24"/>
                <w:sz w:val="16"/>
                <w:szCs w:val="16"/>
              </w:rPr>
              <w:t>&lt; 1.3</w:t>
            </w:r>
            <w:r>
              <w:rPr>
                <w:rFonts w:ascii="Verdana" w:hAnsi="Verdana" w:cs="Arial"/>
                <w:color w:val="000000" w:themeColor="text1"/>
                <w:kern w:val="24"/>
                <w:sz w:val="16"/>
                <w:szCs w:val="16"/>
              </w:rPr>
              <w:t>3</w:t>
            </w:r>
          </w:p>
        </w:tc>
        <w:tc>
          <w:tcPr>
            <w:tcW w:w="1044" w:type="dxa"/>
            <w:tcBorders>
              <w:top w:val="single" w:sz="4" w:space="0" w:color="auto"/>
              <w:bottom w:val="single" w:sz="4" w:space="0" w:color="auto"/>
            </w:tcBorders>
            <w:shd w:val="clear" w:color="auto" w:fill="auto"/>
          </w:tcPr>
          <w:p w14:paraId="0146E32A" w14:textId="77777777" w:rsidR="005B5AE7" w:rsidRPr="001D6BFA" w:rsidRDefault="005B5AE7" w:rsidP="00F44A75">
            <w:pPr>
              <w:rPr>
                <w:rFonts w:eastAsiaTheme="minorEastAsia"/>
                <w:iCs/>
                <w:color w:val="000000" w:themeColor="text1"/>
                <w:sz w:val="16"/>
                <w:szCs w:val="16"/>
              </w:rPr>
            </w:pPr>
            <w:r w:rsidRPr="001D6BFA">
              <w:rPr>
                <w:rFonts w:ascii="Verdana" w:hAnsi="Verdana" w:cs="Arial"/>
                <w:color w:val="000000" w:themeColor="text1"/>
                <w:kern w:val="24"/>
                <w:sz w:val="16"/>
                <w:szCs w:val="16"/>
              </w:rPr>
              <w:t>&lt; 85</w:t>
            </w:r>
          </w:p>
        </w:tc>
        <w:tc>
          <w:tcPr>
            <w:tcW w:w="1047" w:type="dxa"/>
            <w:tcBorders>
              <w:top w:val="single" w:sz="4" w:space="0" w:color="auto"/>
              <w:bottom w:val="single" w:sz="4" w:space="0" w:color="auto"/>
            </w:tcBorders>
            <w:shd w:val="clear" w:color="auto" w:fill="auto"/>
          </w:tcPr>
          <w:p w14:paraId="17856E78" w14:textId="77777777" w:rsidR="005B5AE7" w:rsidRPr="001D6BFA" w:rsidRDefault="005B5AE7" w:rsidP="00F44A75">
            <w:pPr>
              <w:rPr>
                <w:rFonts w:eastAsiaTheme="minorEastAsia"/>
                <w:iCs/>
                <w:color w:val="000000" w:themeColor="text1"/>
                <w:sz w:val="16"/>
                <w:szCs w:val="16"/>
              </w:rPr>
            </w:pPr>
            <w:r w:rsidRPr="001D6BFA">
              <w:rPr>
                <w:rFonts w:ascii="Verdana" w:hAnsi="Verdana" w:cs="Arial"/>
                <w:color w:val="000000" w:themeColor="text1"/>
                <w:kern w:val="24"/>
                <w:sz w:val="16"/>
                <w:szCs w:val="16"/>
              </w:rPr>
              <w:t>&lt; 0.15</w:t>
            </w:r>
          </w:p>
        </w:tc>
        <w:tc>
          <w:tcPr>
            <w:tcW w:w="1050" w:type="dxa"/>
            <w:tcBorders>
              <w:top w:val="single" w:sz="4" w:space="0" w:color="auto"/>
              <w:bottom w:val="single" w:sz="4" w:space="0" w:color="auto"/>
            </w:tcBorders>
            <w:shd w:val="clear" w:color="auto" w:fill="auto"/>
          </w:tcPr>
          <w:p w14:paraId="74EBAB83" w14:textId="77777777" w:rsidR="005B5AE7" w:rsidRPr="001D6BFA" w:rsidRDefault="005B5AE7" w:rsidP="00F44A75">
            <w:pPr>
              <w:rPr>
                <w:rFonts w:eastAsiaTheme="minorEastAsia"/>
                <w:iCs/>
                <w:color w:val="000000" w:themeColor="text1"/>
                <w:sz w:val="16"/>
                <w:szCs w:val="16"/>
              </w:rPr>
            </w:pPr>
            <w:r w:rsidRPr="001D6BFA">
              <w:rPr>
                <w:rFonts w:ascii="Verdana" w:hAnsi="Verdana" w:cs="Arial"/>
                <w:color w:val="000000" w:themeColor="text1"/>
                <w:kern w:val="24"/>
                <w:sz w:val="16"/>
                <w:szCs w:val="16"/>
              </w:rPr>
              <w:t>&lt; 1.38</w:t>
            </w:r>
          </w:p>
        </w:tc>
        <w:tc>
          <w:tcPr>
            <w:tcW w:w="1044" w:type="dxa"/>
            <w:tcBorders>
              <w:top w:val="single" w:sz="4" w:space="0" w:color="auto"/>
              <w:bottom w:val="single" w:sz="4" w:space="0" w:color="auto"/>
            </w:tcBorders>
            <w:shd w:val="clear" w:color="auto" w:fill="auto"/>
          </w:tcPr>
          <w:p w14:paraId="101FB598" w14:textId="77777777" w:rsidR="005B5AE7" w:rsidRPr="001D6BFA" w:rsidRDefault="005B5AE7" w:rsidP="00F44A75">
            <w:pPr>
              <w:rPr>
                <w:rFonts w:eastAsiaTheme="minorEastAsia"/>
                <w:iCs/>
                <w:color w:val="000000" w:themeColor="text1"/>
                <w:sz w:val="16"/>
                <w:szCs w:val="16"/>
              </w:rPr>
            </w:pPr>
            <w:r w:rsidRPr="001D6BFA">
              <w:rPr>
                <w:rFonts w:ascii="Verdana" w:hAnsi="Verdana" w:cs="Arial"/>
                <w:color w:val="000000" w:themeColor="text1"/>
                <w:kern w:val="24"/>
                <w:sz w:val="16"/>
                <w:szCs w:val="16"/>
              </w:rPr>
              <w:t>&lt; 114</w:t>
            </w:r>
          </w:p>
        </w:tc>
        <w:tc>
          <w:tcPr>
            <w:tcW w:w="1051" w:type="dxa"/>
            <w:tcBorders>
              <w:top w:val="single" w:sz="4" w:space="0" w:color="auto"/>
              <w:bottom w:val="single" w:sz="4" w:space="0" w:color="auto"/>
            </w:tcBorders>
            <w:shd w:val="clear" w:color="auto" w:fill="auto"/>
          </w:tcPr>
          <w:p w14:paraId="2B8640CB" w14:textId="77777777" w:rsidR="005B5AE7" w:rsidRPr="001D6BFA" w:rsidRDefault="005B5AE7" w:rsidP="00F44A75">
            <w:pPr>
              <w:rPr>
                <w:rFonts w:eastAsiaTheme="minorEastAsia"/>
                <w:iCs/>
                <w:color w:val="000000" w:themeColor="text1"/>
                <w:sz w:val="16"/>
                <w:szCs w:val="16"/>
              </w:rPr>
            </w:pPr>
            <w:r w:rsidRPr="001D6BFA">
              <w:rPr>
                <w:rFonts w:ascii="Verdana" w:hAnsi="Verdana" w:cs="Arial"/>
                <w:color w:val="000000" w:themeColor="text1"/>
                <w:kern w:val="24"/>
                <w:sz w:val="16"/>
                <w:szCs w:val="16"/>
              </w:rPr>
              <w:t>&lt; 0.12</w:t>
            </w:r>
          </w:p>
        </w:tc>
      </w:tr>
      <w:tr w:rsidR="005B5AE7" w14:paraId="096F6715" w14:textId="77777777" w:rsidTr="00F44A75">
        <w:trPr>
          <w:trHeight w:val="328"/>
        </w:trPr>
        <w:tc>
          <w:tcPr>
            <w:tcW w:w="1350" w:type="dxa"/>
            <w:tcBorders>
              <w:top w:val="single" w:sz="4" w:space="0" w:color="auto"/>
            </w:tcBorders>
          </w:tcPr>
          <w:p w14:paraId="6ACDF632" w14:textId="77777777" w:rsidR="005B5AE7" w:rsidRDefault="005B5AE7" w:rsidP="00F44A75">
            <w:pPr>
              <w:rPr>
                <w:rFonts w:eastAsiaTheme="minorEastAsia"/>
                <w:iCs/>
                <w:sz w:val="20"/>
                <w:szCs w:val="20"/>
              </w:rPr>
            </w:pPr>
            <w:r>
              <w:rPr>
                <w:rFonts w:eastAsiaTheme="minorEastAsia"/>
                <w:iCs/>
                <w:sz w:val="20"/>
                <w:szCs w:val="20"/>
              </w:rPr>
              <w:t>Testing accuracy</w:t>
            </w:r>
          </w:p>
        </w:tc>
        <w:tc>
          <w:tcPr>
            <w:tcW w:w="3083" w:type="dxa"/>
            <w:gridSpan w:val="3"/>
            <w:tcBorders>
              <w:top w:val="single" w:sz="4" w:space="0" w:color="auto"/>
            </w:tcBorders>
            <w:shd w:val="clear" w:color="auto" w:fill="auto"/>
          </w:tcPr>
          <w:p w14:paraId="7A6AC3DD" w14:textId="77777777" w:rsidR="005B5AE7" w:rsidRPr="001D6BFA" w:rsidRDefault="005B5AE7" w:rsidP="00F44A75">
            <w:pPr>
              <w:jc w:val="center"/>
              <w:rPr>
                <w:rFonts w:ascii="Verdana" w:hAnsi="Verdana" w:cs="Arial"/>
                <w:color w:val="000000" w:themeColor="text1"/>
                <w:kern w:val="24"/>
                <w:sz w:val="16"/>
                <w:szCs w:val="16"/>
              </w:rPr>
            </w:pPr>
            <w:r>
              <w:rPr>
                <w:rFonts w:ascii="Verdana" w:hAnsi="Verdana" w:cs="Arial"/>
                <w:color w:val="000000" w:themeColor="text1"/>
                <w:kern w:val="24"/>
                <w:sz w:val="16"/>
                <w:szCs w:val="16"/>
              </w:rPr>
              <w:t>99.45 % (2356 samples)</w:t>
            </w:r>
          </w:p>
        </w:tc>
        <w:tc>
          <w:tcPr>
            <w:tcW w:w="3141" w:type="dxa"/>
            <w:gridSpan w:val="3"/>
            <w:tcBorders>
              <w:top w:val="single" w:sz="4" w:space="0" w:color="auto"/>
            </w:tcBorders>
            <w:shd w:val="clear" w:color="auto" w:fill="auto"/>
          </w:tcPr>
          <w:p w14:paraId="6CE8DE1C" w14:textId="77777777" w:rsidR="005B5AE7" w:rsidRPr="001D6BFA" w:rsidRDefault="005B5AE7" w:rsidP="00F44A75">
            <w:pPr>
              <w:jc w:val="center"/>
              <w:rPr>
                <w:rFonts w:ascii="Verdana" w:hAnsi="Verdana" w:cs="Arial"/>
                <w:color w:val="000000" w:themeColor="text1"/>
                <w:kern w:val="24"/>
                <w:sz w:val="16"/>
                <w:szCs w:val="16"/>
              </w:rPr>
            </w:pPr>
            <w:r>
              <w:rPr>
                <w:rFonts w:ascii="Verdana" w:hAnsi="Verdana" w:cs="Arial"/>
                <w:color w:val="000000" w:themeColor="text1"/>
                <w:kern w:val="24"/>
                <w:sz w:val="16"/>
                <w:szCs w:val="16"/>
              </w:rPr>
              <w:t>99.70% (4280 samples)</w:t>
            </w:r>
          </w:p>
        </w:tc>
        <w:tc>
          <w:tcPr>
            <w:tcW w:w="3145" w:type="dxa"/>
            <w:gridSpan w:val="3"/>
            <w:tcBorders>
              <w:top w:val="single" w:sz="4" w:space="0" w:color="auto"/>
            </w:tcBorders>
            <w:shd w:val="clear" w:color="auto" w:fill="auto"/>
          </w:tcPr>
          <w:p w14:paraId="3C9DB682" w14:textId="77777777" w:rsidR="005B5AE7" w:rsidRPr="001D6BFA" w:rsidRDefault="005B5AE7" w:rsidP="00F44A75">
            <w:pPr>
              <w:jc w:val="center"/>
              <w:rPr>
                <w:rFonts w:ascii="Verdana" w:hAnsi="Verdana" w:cs="Arial"/>
                <w:color w:val="000000" w:themeColor="text1"/>
                <w:kern w:val="24"/>
                <w:sz w:val="16"/>
                <w:szCs w:val="16"/>
              </w:rPr>
            </w:pPr>
            <w:r>
              <w:rPr>
                <w:rFonts w:ascii="Verdana" w:hAnsi="Verdana" w:cs="Arial"/>
                <w:color w:val="000000" w:themeColor="text1"/>
                <w:kern w:val="24"/>
                <w:sz w:val="16"/>
                <w:szCs w:val="16"/>
              </w:rPr>
              <w:t>99.54% (6306 samples)</w:t>
            </w:r>
          </w:p>
        </w:tc>
      </w:tr>
      <w:bookmarkEnd w:id="2"/>
    </w:tbl>
    <w:p w14:paraId="1168C772" w14:textId="77777777" w:rsidR="005B5AE7" w:rsidRDefault="005B5AE7" w:rsidP="005B5AE7"/>
    <w:p w14:paraId="6249E7B1" w14:textId="77777777" w:rsidR="005B5AE7" w:rsidRPr="005B5AE7" w:rsidRDefault="005B5AE7" w:rsidP="005B5AE7"/>
    <w:p w14:paraId="110FF017" w14:textId="671A8245" w:rsidR="00F82932" w:rsidRDefault="00351C67" w:rsidP="00922326">
      <w:r w:rsidRPr="003530C9">
        <w:lastRenderedPageBreak/>
        <w:t xml:space="preserve"> </w:t>
      </w:r>
    </w:p>
    <w:p w14:paraId="137A176F" w14:textId="7CB29BBE" w:rsidR="009879EA" w:rsidRPr="009879EA" w:rsidRDefault="009879EA" w:rsidP="009879EA">
      <w:pPr>
        <w:pStyle w:val="Caption"/>
        <w:keepNext/>
        <w:rPr>
          <w:i w:val="0"/>
          <w:iCs w:val="0"/>
          <w:color w:val="auto"/>
          <w:sz w:val="22"/>
          <w:szCs w:val="22"/>
        </w:rPr>
      </w:pPr>
      <w:r w:rsidRPr="009879EA">
        <w:rPr>
          <w:i w:val="0"/>
          <w:iCs w:val="0"/>
          <w:color w:val="auto"/>
          <w:sz w:val="22"/>
          <w:szCs w:val="22"/>
        </w:rPr>
        <w:t>Table S</w:t>
      </w:r>
      <w:r w:rsidRPr="009879EA">
        <w:rPr>
          <w:i w:val="0"/>
          <w:iCs w:val="0"/>
          <w:color w:val="auto"/>
          <w:sz w:val="22"/>
          <w:szCs w:val="22"/>
        </w:rPr>
        <w:fldChar w:fldCharType="begin"/>
      </w:r>
      <w:r w:rsidRPr="009879EA">
        <w:rPr>
          <w:i w:val="0"/>
          <w:iCs w:val="0"/>
          <w:color w:val="auto"/>
          <w:sz w:val="22"/>
          <w:szCs w:val="22"/>
        </w:rPr>
        <w:instrText xml:space="preserve"> SEQ Table \* ARABIC </w:instrText>
      </w:r>
      <w:r w:rsidRPr="009879EA">
        <w:rPr>
          <w:i w:val="0"/>
          <w:iCs w:val="0"/>
          <w:color w:val="auto"/>
          <w:sz w:val="22"/>
          <w:szCs w:val="22"/>
        </w:rPr>
        <w:fldChar w:fldCharType="separate"/>
      </w:r>
      <w:r>
        <w:rPr>
          <w:i w:val="0"/>
          <w:iCs w:val="0"/>
          <w:noProof/>
          <w:color w:val="auto"/>
          <w:sz w:val="22"/>
          <w:szCs w:val="22"/>
        </w:rPr>
        <w:t>5</w:t>
      </w:r>
      <w:r w:rsidRPr="009879EA">
        <w:rPr>
          <w:i w:val="0"/>
          <w:iCs w:val="0"/>
          <w:color w:val="auto"/>
          <w:sz w:val="22"/>
          <w:szCs w:val="22"/>
        </w:rPr>
        <w:fldChar w:fldCharType="end"/>
      </w:r>
      <w:r w:rsidRPr="009879EA">
        <w:rPr>
          <w:i w:val="0"/>
          <w:iCs w:val="0"/>
          <w:color w:val="auto"/>
          <w:sz w:val="22"/>
          <w:szCs w:val="22"/>
        </w:rPr>
        <w:t>: Example of ML training dataset. Only a subset of candidates is shown.</w:t>
      </w:r>
    </w:p>
    <w:tbl>
      <w:tblPr>
        <w:tblStyle w:val="PlainTable2"/>
        <w:tblpPr w:leftFromText="180" w:rightFromText="180" w:vertAnchor="text" w:horzAnchor="margin" w:tblpXSpec="center" w:tblpY="14"/>
        <w:tblW w:w="9990" w:type="dxa"/>
        <w:tblBorders>
          <w:top w:val="single" w:sz="4" w:space="0" w:color="auto"/>
          <w:bottom w:val="single" w:sz="4" w:space="0" w:color="auto"/>
        </w:tblBorders>
        <w:tblLook w:val="04A0" w:firstRow="1" w:lastRow="0" w:firstColumn="1" w:lastColumn="0" w:noHBand="0" w:noVBand="1"/>
      </w:tblPr>
      <w:tblGrid>
        <w:gridCol w:w="810"/>
        <w:gridCol w:w="2070"/>
        <w:gridCol w:w="2199"/>
        <w:gridCol w:w="2788"/>
        <w:gridCol w:w="2123"/>
      </w:tblGrid>
      <w:tr w:rsidR="00F16216" w14:paraId="7C5EACAB" w14:textId="77777777" w:rsidTr="00F16216">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810" w:type="dxa"/>
            <w:tcBorders>
              <w:top w:val="single" w:sz="4" w:space="0" w:color="auto"/>
              <w:bottom w:val="single" w:sz="4" w:space="0" w:color="auto"/>
            </w:tcBorders>
          </w:tcPr>
          <w:p w14:paraId="4438A4C8" w14:textId="77777777" w:rsidR="00F16216" w:rsidRPr="0026721C" w:rsidRDefault="00F16216" w:rsidP="00F16216">
            <w:pPr>
              <w:rPr>
                <w:rFonts w:eastAsiaTheme="minorEastAsia"/>
                <w:b w:val="0"/>
                <w:bCs w:val="0"/>
                <w:iCs/>
                <w:sz w:val="20"/>
                <w:szCs w:val="20"/>
              </w:rPr>
            </w:pPr>
            <w:r w:rsidRPr="0026721C">
              <w:rPr>
                <w:rFonts w:eastAsiaTheme="minorEastAsia"/>
                <w:b w:val="0"/>
                <w:bCs w:val="0"/>
                <w:iCs/>
                <w:sz w:val="20"/>
                <w:szCs w:val="20"/>
              </w:rPr>
              <w:t>ID</w:t>
            </w:r>
          </w:p>
        </w:tc>
        <w:tc>
          <w:tcPr>
            <w:tcW w:w="2070" w:type="dxa"/>
            <w:tcBorders>
              <w:top w:val="single" w:sz="4" w:space="0" w:color="auto"/>
              <w:bottom w:val="single" w:sz="4" w:space="0" w:color="auto"/>
            </w:tcBorders>
          </w:tcPr>
          <w:p w14:paraId="4C16606D" w14:textId="1846A989" w:rsidR="00F16216" w:rsidRPr="00C42E21" w:rsidRDefault="00F16216" w:rsidP="00F16216">
            <w:pPr>
              <w:cnfStyle w:val="100000000000" w:firstRow="1" w:lastRow="0" w:firstColumn="0" w:lastColumn="0" w:oddVBand="0" w:evenVBand="0" w:oddHBand="0" w:evenHBand="0" w:firstRowFirstColumn="0" w:firstRowLastColumn="0" w:lastRowFirstColumn="0" w:lastRowLastColumn="0"/>
              <w:rPr>
                <w:rFonts w:eastAsiaTheme="minorEastAsia"/>
                <w:b w:val="0"/>
                <w:bCs w:val="0"/>
                <w:iCs/>
                <w:sz w:val="20"/>
                <w:szCs w:val="20"/>
              </w:rPr>
            </w:pPr>
            <w:r w:rsidRPr="00C42E21">
              <w:rPr>
                <w:rFonts w:eastAsiaTheme="minorEastAsia"/>
                <w:b w:val="0"/>
                <w:bCs w:val="0"/>
                <w:iCs/>
                <w:sz w:val="20"/>
                <w:szCs w:val="20"/>
              </w:rPr>
              <w:t>Target baseline (</w:t>
            </w:r>
            <m:oMath>
              <m:sSub>
                <m:sSubPr>
                  <m:ctrlPr>
                    <w:rPr>
                      <w:rFonts w:ascii="Cambria Math" w:eastAsiaTheme="minorEastAsia" w:hAnsi="Cambria Math"/>
                      <w:b w:val="0"/>
                      <w:bCs w:val="0"/>
                      <w:iCs/>
                      <w:sz w:val="20"/>
                      <w:szCs w:val="20"/>
                    </w:rPr>
                  </m:ctrlPr>
                </m:sSubPr>
                <m:e>
                  <m:r>
                    <m:rPr>
                      <m:sty m:val="b"/>
                    </m:rPr>
                    <w:rPr>
                      <w:rFonts w:ascii="Cambria Math" w:eastAsiaTheme="minorEastAsia" w:hAnsi="Cambria Math"/>
                      <w:sz w:val="20"/>
                      <w:szCs w:val="20"/>
                    </w:rPr>
                    <m:t>T</m:t>
                  </m:r>
                </m:e>
                <m:sub>
                  <m:r>
                    <m:rPr>
                      <m:sty m:val="b"/>
                    </m:rPr>
                    <w:rPr>
                      <w:rFonts w:ascii="Cambria Math" w:eastAsiaTheme="minorEastAsia" w:hAnsi="Cambria Math"/>
                      <w:sz w:val="20"/>
                      <w:szCs w:val="20"/>
                    </w:rPr>
                    <m:t>0</m:t>
                  </m:r>
                </m:sub>
              </m:sSub>
            </m:oMath>
            <w:r w:rsidRPr="00C42E21">
              <w:rPr>
                <w:rFonts w:eastAsiaTheme="minorEastAsia"/>
                <w:b w:val="0"/>
                <w:bCs w:val="0"/>
                <w:iCs/>
                <w:sz w:val="20"/>
                <w:szCs w:val="20"/>
              </w:rPr>
              <w:t>)</w:t>
            </w:r>
          </w:p>
          <w:p w14:paraId="117E124A" w14:textId="77777777" w:rsidR="00F16216" w:rsidRPr="00C42E21" w:rsidRDefault="00F16216" w:rsidP="00F16216">
            <w:pPr>
              <w:cnfStyle w:val="100000000000" w:firstRow="1" w:lastRow="0" w:firstColumn="0" w:lastColumn="0" w:oddVBand="0" w:evenVBand="0" w:oddHBand="0" w:evenHBand="0" w:firstRowFirstColumn="0" w:firstRowLastColumn="0" w:lastRowFirstColumn="0" w:lastRowLastColumn="0"/>
              <w:rPr>
                <w:rFonts w:eastAsiaTheme="minorEastAsia"/>
                <w:b w:val="0"/>
                <w:bCs w:val="0"/>
                <w:iCs/>
                <w:sz w:val="20"/>
                <w:szCs w:val="20"/>
              </w:rPr>
            </w:pPr>
            <w:r w:rsidRPr="00C42E21">
              <w:rPr>
                <w:rFonts w:eastAsiaTheme="minorEastAsia"/>
                <w:b w:val="0"/>
                <w:bCs w:val="0"/>
                <w:iCs/>
                <w:sz w:val="20"/>
                <w:szCs w:val="20"/>
              </w:rPr>
              <w:t>[</w:t>
            </w:r>
            <w:proofErr w:type="spellStart"/>
            <w:r w:rsidRPr="00C42E21">
              <w:rPr>
                <w:rFonts w:eastAsiaTheme="minorEastAsia"/>
                <w:b w:val="0"/>
                <w:bCs w:val="0"/>
                <w:iCs/>
                <w:sz w:val="20"/>
                <w:szCs w:val="20"/>
              </w:rPr>
              <w:t>nM</w:t>
            </w:r>
            <w:proofErr w:type="spellEnd"/>
            <w:r w:rsidRPr="00C42E21">
              <w:rPr>
                <w:rFonts w:eastAsiaTheme="minorEastAsia"/>
                <w:b w:val="0"/>
                <w:bCs w:val="0"/>
                <w:iCs/>
                <w:sz w:val="20"/>
                <w:szCs w:val="20"/>
              </w:rPr>
              <w:t>]</w:t>
            </w:r>
          </w:p>
        </w:tc>
        <w:tc>
          <w:tcPr>
            <w:tcW w:w="2199" w:type="dxa"/>
            <w:tcBorders>
              <w:top w:val="single" w:sz="4" w:space="0" w:color="auto"/>
              <w:bottom w:val="single" w:sz="4" w:space="0" w:color="auto"/>
            </w:tcBorders>
          </w:tcPr>
          <w:p w14:paraId="2C904872" w14:textId="16323BEF" w:rsidR="00F16216" w:rsidRPr="00C42E21" w:rsidRDefault="00F16216" w:rsidP="00F16216">
            <w:pPr>
              <w:cnfStyle w:val="100000000000" w:firstRow="1" w:lastRow="0" w:firstColumn="0" w:lastColumn="0" w:oddVBand="0" w:evenVBand="0" w:oddHBand="0" w:evenHBand="0" w:firstRowFirstColumn="0" w:firstRowLastColumn="0" w:lastRowFirstColumn="0" w:lastRowLastColumn="0"/>
              <w:rPr>
                <w:rFonts w:eastAsiaTheme="minorEastAsia"/>
                <w:b w:val="0"/>
                <w:bCs w:val="0"/>
                <w:iCs/>
                <w:sz w:val="20"/>
                <w:szCs w:val="20"/>
              </w:rPr>
            </w:pPr>
            <w:r w:rsidRPr="00C42E21">
              <w:rPr>
                <w:rFonts w:eastAsiaTheme="minorEastAsia"/>
                <w:b w:val="0"/>
                <w:bCs w:val="0"/>
                <w:iCs/>
                <w:sz w:val="20"/>
                <w:szCs w:val="20"/>
              </w:rPr>
              <w:t>Target half-life (</w:t>
            </w:r>
            <m:oMath>
              <m:sSub>
                <m:sSubPr>
                  <m:ctrlPr>
                    <w:rPr>
                      <w:rFonts w:ascii="Cambria Math" w:eastAsiaTheme="minorEastAsia" w:hAnsi="Cambria Math"/>
                      <w:b w:val="0"/>
                      <w:bCs w:val="0"/>
                      <w:iCs/>
                      <w:sz w:val="20"/>
                      <w:szCs w:val="20"/>
                    </w:rPr>
                  </m:ctrlPr>
                </m:sSubPr>
                <m:e>
                  <m:r>
                    <m:rPr>
                      <m:sty m:val="b"/>
                    </m:rPr>
                    <w:rPr>
                      <w:rFonts w:ascii="Cambria Math" w:eastAsiaTheme="minorEastAsia" w:hAnsi="Cambria Math"/>
                      <w:sz w:val="20"/>
                      <w:szCs w:val="20"/>
                    </w:rPr>
                    <m:t>t</m:t>
                  </m:r>
                </m:e>
                <m:sub>
                  <m:r>
                    <m:rPr>
                      <m:sty m:val="b"/>
                    </m:rPr>
                    <w:rPr>
                      <w:rFonts w:ascii="Cambria Math" w:eastAsiaTheme="minorEastAsia" w:hAnsi="Cambria Math"/>
                      <w:sz w:val="20"/>
                      <w:szCs w:val="20"/>
                    </w:rPr>
                    <m:t>1/2</m:t>
                  </m:r>
                </m:sub>
              </m:sSub>
            </m:oMath>
            <w:r w:rsidRPr="00C42E21">
              <w:rPr>
                <w:rFonts w:eastAsiaTheme="minorEastAsia"/>
                <w:b w:val="0"/>
                <w:bCs w:val="0"/>
                <w:iCs/>
                <w:sz w:val="20"/>
                <w:szCs w:val="20"/>
              </w:rPr>
              <w:t>)</w:t>
            </w:r>
          </w:p>
          <w:p w14:paraId="363813A8" w14:textId="77777777" w:rsidR="00F16216" w:rsidRPr="00C42E21" w:rsidRDefault="00F16216" w:rsidP="00F16216">
            <w:pPr>
              <w:cnfStyle w:val="100000000000" w:firstRow="1" w:lastRow="0" w:firstColumn="0" w:lastColumn="0" w:oddVBand="0" w:evenVBand="0" w:oddHBand="0" w:evenHBand="0" w:firstRowFirstColumn="0" w:firstRowLastColumn="0" w:lastRowFirstColumn="0" w:lastRowLastColumn="0"/>
              <w:rPr>
                <w:rFonts w:eastAsiaTheme="minorEastAsia"/>
                <w:b w:val="0"/>
                <w:bCs w:val="0"/>
                <w:iCs/>
                <w:sz w:val="20"/>
                <w:szCs w:val="20"/>
              </w:rPr>
            </w:pPr>
            <w:r w:rsidRPr="00C42E21">
              <w:rPr>
                <w:rFonts w:eastAsiaTheme="minorEastAsia"/>
                <w:b w:val="0"/>
                <w:bCs w:val="0"/>
                <w:iCs/>
                <w:sz w:val="20"/>
                <w:szCs w:val="20"/>
              </w:rPr>
              <w:t>[</w:t>
            </w:r>
            <w:proofErr w:type="spellStart"/>
            <w:r w:rsidRPr="00C42E21">
              <w:rPr>
                <w:rFonts w:eastAsiaTheme="minorEastAsia"/>
                <w:b w:val="0"/>
                <w:bCs w:val="0"/>
                <w:iCs/>
                <w:sz w:val="20"/>
                <w:szCs w:val="20"/>
              </w:rPr>
              <w:t>hr</w:t>
            </w:r>
            <w:proofErr w:type="spellEnd"/>
            <w:r w:rsidRPr="00C42E21">
              <w:rPr>
                <w:rFonts w:eastAsiaTheme="minorEastAsia"/>
                <w:b w:val="0"/>
                <w:bCs w:val="0"/>
                <w:iCs/>
                <w:sz w:val="20"/>
                <w:szCs w:val="20"/>
              </w:rPr>
              <w:t>]</w:t>
            </w:r>
          </w:p>
        </w:tc>
        <w:tc>
          <w:tcPr>
            <w:tcW w:w="2788" w:type="dxa"/>
            <w:tcBorders>
              <w:top w:val="single" w:sz="4" w:space="0" w:color="auto"/>
              <w:bottom w:val="single" w:sz="4" w:space="0" w:color="auto"/>
            </w:tcBorders>
          </w:tcPr>
          <w:p w14:paraId="2056F07F" w14:textId="01CC393C" w:rsidR="00F16216" w:rsidRPr="00C42E21" w:rsidRDefault="00F16216" w:rsidP="00F16216">
            <w:pPr>
              <w:cnfStyle w:val="100000000000" w:firstRow="1" w:lastRow="0" w:firstColumn="0" w:lastColumn="0" w:oddVBand="0" w:evenVBand="0" w:oddHBand="0" w:evenHBand="0" w:firstRowFirstColumn="0" w:firstRowLastColumn="0" w:lastRowFirstColumn="0" w:lastRowLastColumn="0"/>
              <w:rPr>
                <w:rFonts w:eastAsiaTheme="minorEastAsia"/>
                <w:b w:val="0"/>
                <w:bCs w:val="0"/>
                <w:iCs/>
                <w:sz w:val="20"/>
                <w:szCs w:val="20"/>
              </w:rPr>
            </w:pPr>
            <w:r w:rsidRPr="00C42E21">
              <w:rPr>
                <w:rFonts w:eastAsiaTheme="minorEastAsia"/>
                <w:b w:val="0"/>
                <w:bCs w:val="0"/>
                <w:iCs/>
                <w:sz w:val="20"/>
                <w:szCs w:val="20"/>
              </w:rPr>
              <w:t>Drug’s binding constant (</w:t>
            </w:r>
            <m:oMath>
              <m:sSub>
                <m:sSubPr>
                  <m:ctrlPr>
                    <w:rPr>
                      <w:rFonts w:ascii="Cambria Math" w:eastAsiaTheme="minorEastAsia" w:hAnsi="Cambria Math"/>
                      <w:b w:val="0"/>
                      <w:bCs w:val="0"/>
                      <w:iCs/>
                      <w:sz w:val="20"/>
                      <w:szCs w:val="20"/>
                    </w:rPr>
                  </m:ctrlPr>
                </m:sSubPr>
                <m:e>
                  <m:r>
                    <m:rPr>
                      <m:sty m:val="b"/>
                    </m:rPr>
                    <w:rPr>
                      <w:rFonts w:ascii="Cambria Math" w:eastAsiaTheme="minorEastAsia" w:hAnsi="Cambria Math"/>
                      <w:sz w:val="20"/>
                      <w:szCs w:val="20"/>
                    </w:rPr>
                    <m:t>K</m:t>
                  </m:r>
                </m:e>
                <m:sub>
                  <m:r>
                    <m:rPr>
                      <m:sty m:val="b"/>
                    </m:rPr>
                    <w:rPr>
                      <w:rFonts w:ascii="Cambria Math" w:eastAsiaTheme="minorEastAsia" w:hAnsi="Cambria Math"/>
                      <w:sz w:val="20"/>
                      <w:szCs w:val="20"/>
                    </w:rPr>
                    <m:t>D</m:t>
                  </m:r>
                </m:sub>
              </m:sSub>
            </m:oMath>
            <w:r w:rsidRPr="00C42E21">
              <w:rPr>
                <w:rFonts w:eastAsiaTheme="minorEastAsia"/>
                <w:b w:val="0"/>
                <w:bCs w:val="0"/>
                <w:iCs/>
                <w:sz w:val="20"/>
                <w:szCs w:val="20"/>
              </w:rPr>
              <w:t>)</w:t>
            </w:r>
          </w:p>
          <w:p w14:paraId="4254F128" w14:textId="77777777" w:rsidR="00F16216" w:rsidRPr="00C42E21" w:rsidRDefault="00F16216" w:rsidP="00F16216">
            <w:pPr>
              <w:cnfStyle w:val="100000000000" w:firstRow="1" w:lastRow="0" w:firstColumn="0" w:lastColumn="0" w:oddVBand="0" w:evenVBand="0" w:oddHBand="0" w:evenHBand="0" w:firstRowFirstColumn="0" w:firstRowLastColumn="0" w:lastRowFirstColumn="0" w:lastRowLastColumn="0"/>
              <w:rPr>
                <w:rFonts w:eastAsiaTheme="minorEastAsia"/>
                <w:b w:val="0"/>
                <w:bCs w:val="0"/>
                <w:iCs/>
                <w:sz w:val="20"/>
                <w:szCs w:val="20"/>
              </w:rPr>
            </w:pPr>
            <w:r w:rsidRPr="00C42E21">
              <w:rPr>
                <w:rFonts w:eastAsiaTheme="minorEastAsia"/>
                <w:b w:val="0"/>
                <w:bCs w:val="0"/>
                <w:iCs/>
                <w:sz w:val="20"/>
                <w:szCs w:val="20"/>
              </w:rPr>
              <w:t>[</w:t>
            </w:r>
            <w:proofErr w:type="spellStart"/>
            <w:r w:rsidRPr="00C42E21">
              <w:rPr>
                <w:rFonts w:eastAsiaTheme="minorEastAsia"/>
                <w:b w:val="0"/>
                <w:bCs w:val="0"/>
                <w:iCs/>
                <w:sz w:val="20"/>
                <w:szCs w:val="20"/>
              </w:rPr>
              <w:t>nM</w:t>
            </w:r>
            <w:proofErr w:type="spellEnd"/>
            <w:r w:rsidRPr="00C42E21">
              <w:rPr>
                <w:rFonts w:eastAsiaTheme="minorEastAsia"/>
                <w:b w:val="0"/>
                <w:bCs w:val="0"/>
                <w:iCs/>
                <w:sz w:val="20"/>
                <w:szCs w:val="20"/>
              </w:rPr>
              <w:t>]</w:t>
            </w:r>
          </w:p>
        </w:tc>
        <w:tc>
          <w:tcPr>
            <w:tcW w:w="2123" w:type="dxa"/>
            <w:tcBorders>
              <w:top w:val="single" w:sz="4" w:space="0" w:color="auto"/>
              <w:bottom w:val="single" w:sz="4" w:space="0" w:color="auto"/>
            </w:tcBorders>
          </w:tcPr>
          <w:p w14:paraId="4FB46E23" w14:textId="77777777" w:rsidR="00F16216" w:rsidRPr="0026721C" w:rsidRDefault="00F16216" w:rsidP="00F16216">
            <w:pPr>
              <w:jc w:val="center"/>
              <w:cnfStyle w:val="100000000000" w:firstRow="1" w:lastRow="0" w:firstColumn="0" w:lastColumn="0" w:oddVBand="0" w:evenVBand="0" w:oddHBand="0" w:evenHBand="0" w:firstRowFirstColumn="0" w:firstRowLastColumn="0" w:lastRowFirstColumn="0" w:lastRowLastColumn="0"/>
              <w:rPr>
                <w:rFonts w:eastAsiaTheme="minorEastAsia"/>
                <w:b w:val="0"/>
                <w:bCs w:val="0"/>
                <w:iCs/>
                <w:sz w:val="20"/>
                <w:szCs w:val="20"/>
              </w:rPr>
            </w:pPr>
            <w:r w:rsidRPr="0026721C">
              <w:rPr>
                <w:rFonts w:eastAsiaTheme="minorEastAsia"/>
                <w:b w:val="0"/>
                <w:bCs w:val="0"/>
                <w:iCs/>
                <w:sz w:val="20"/>
                <w:szCs w:val="20"/>
              </w:rPr>
              <w:t>Target Occupancy (TO)</w:t>
            </w:r>
          </w:p>
          <w:p w14:paraId="57F2100D" w14:textId="391B57DF" w:rsidR="00F16216" w:rsidRPr="0026721C" w:rsidRDefault="00F16216" w:rsidP="00F16216">
            <w:pPr>
              <w:jc w:val="center"/>
              <w:cnfStyle w:val="100000000000" w:firstRow="1" w:lastRow="0" w:firstColumn="0" w:lastColumn="0" w:oddVBand="0" w:evenVBand="0" w:oddHBand="0" w:evenHBand="0" w:firstRowFirstColumn="0" w:firstRowLastColumn="0" w:lastRowFirstColumn="0" w:lastRowLastColumn="0"/>
              <w:rPr>
                <w:rFonts w:eastAsiaTheme="minorEastAsia"/>
                <w:b w:val="0"/>
                <w:bCs w:val="0"/>
                <w:iCs/>
                <w:sz w:val="20"/>
                <w:szCs w:val="20"/>
              </w:rPr>
            </w:pPr>
            <w:r w:rsidRPr="0026721C">
              <w:rPr>
                <w:rFonts w:eastAsiaTheme="minorEastAsia"/>
                <w:b w:val="0"/>
                <w:bCs w:val="0"/>
                <w:iCs/>
                <w:sz w:val="20"/>
                <w:szCs w:val="20"/>
              </w:rPr>
              <w:t xml:space="preserve">[1: </w:t>
            </w:r>
            <m:oMath>
              <m:r>
                <m:rPr>
                  <m:sty m:val="bi"/>
                </m:rPr>
                <w:rPr>
                  <w:rFonts w:ascii="Cambria Math" w:eastAsiaTheme="minorEastAsia" w:hAnsi="Cambria Math"/>
                  <w:sz w:val="20"/>
                  <w:szCs w:val="20"/>
                </w:rPr>
                <m:t>&gt;</m:t>
              </m:r>
            </m:oMath>
            <w:r w:rsidRPr="0026721C">
              <w:rPr>
                <w:rFonts w:eastAsiaTheme="minorEastAsia"/>
                <w:b w:val="0"/>
                <w:bCs w:val="0"/>
                <w:iCs/>
                <w:sz w:val="20"/>
                <w:szCs w:val="20"/>
              </w:rPr>
              <w:t xml:space="preserve">90%, 0: </w:t>
            </w:r>
            <m:oMath>
              <m:r>
                <m:rPr>
                  <m:sty m:val="bi"/>
                </m:rPr>
                <w:rPr>
                  <w:rFonts w:ascii="Cambria Math" w:eastAsiaTheme="minorEastAsia" w:hAnsi="Cambria Math"/>
                  <w:sz w:val="20"/>
                  <w:szCs w:val="20"/>
                </w:rPr>
                <m:t xml:space="preserve">≤ </m:t>
              </m:r>
            </m:oMath>
            <w:r w:rsidRPr="0026721C">
              <w:rPr>
                <w:rFonts w:eastAsiaTheme="minorEastAsia"/>
                <w:b w:val="0"/>
                <w:bCs w:val="0"/>
                <w:iCs/>
                <w:sz w:val="20"/>
                <w:szCs w:val="20"/>
              </w:rPr>
              <w:t>90%]</w:t>
            </w:r>
          </w:p>
        </w:tc>
      </w:tr>
      <w:tr w:rsidR="00F16216" w14:paraId="2C238AE3" w14:textId="77777777" w:rsidTr="00F16216">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810" w:type="dxa"/>
            <w:tcBorders>
              <w:top w:val="single" w:sz="4" w:space="0" w:color="auto"/>
              <w:bottom w:val="nil"/>
            </w:tcBorders>
          </w:tcPr>
          <w:p w14:paraId="5713162E" w14:textId="77777777" w:rsidR="00F16216" w:rsidRPr="0026721C" w:rsidRDefault="00F16216" w:rsidP="00F16216">
            <w:pPr>
              <w:rPr>
                <w:rFonts w:eastAsiaTheme="minorEastAsia"/>
                <w:b w:val="0"/>
                <w:bCs w:val="0"/>
                <w:iCs/>
                <w:sz w:val="20"/>
                <w:szCs w:val="20"/>
              </w:rPr>
            </w:pPr>
            <w:r w:rsidRPr="0026721C">
              <w:rPr>
                <w:rFonts w:eastAsiaTheme="minorEastAsia"/>
                <w:b w:val="0"/>
                <w:bCs w:val="0"/>
                <w:iCs/>
                <w:sz w:val="20"/>
                <w:szCs w:val="20"/>
              </w:rPr>
              <w:t>1</w:t>
            </w:r>
          </w:p>
        </w:tc>
        <w:tc>
          <w:tcPr>
            <w:tcW w:w="2070" w:type="dxa"/>
            <w:tcBorders>
              <w:top w:val="single" w:sz="4" w:space="0" w:color="auto"/>
              <w:bottom w:val="nil"/>
            </w:tcBorders>
            <w:vAlign w:val="bottom"/>
          </w:tcPr>
          <w:p w14:paraId="1246B882" w14:textId="77777777" w:rsidR="00F16216" w:rsidRPr="0026721C" w:rsidRDefault="00F16216" w:rsidP="00F16216">
            <w:pP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2.42</w:t>
            </w:r>
          </w:p>
        </w:tc>
        <w:tc>
          <w:tcPr>
            <w:tcW w:w="2199" w:type="dxa"/>
            <w:tcBorders>
              <w:top w:val="single" w:sz="4" w:space="0" w:color="auto"/>
              <w:bottom w:val="nil"/>
            </w:tcBorders>
            <w:vAlign w:val="bottom"/>
          </w:tcPr>
          <w:p w14:paraId="3E2105E1" w14:textId="77777777" w:rsidR="00F16216" w:rsidRPr="0026721C" w:rsidRDefault="00F16216" w:rsidP="00F16216">
            <w:pP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16.89</w:t>
            </w:r>
          </w:p>
        </w:tc>
        <w:tc>
          <w:tcPr>
            <w:tcW w:w="2788" w:type="dxa"/>
            <w:tcBorders>
              <w:top w:val="single" w:sz="4" w:space="0" w:color="auto"/>
              <w:bottom w:val="nil"/>
            </w:tcBorders>
            <w:vAlign w:val="bottom"/>
          </w:tcPr>
          <w:p w14:paraId="13EB5A7D" w14:textId="77777777" w:rsidR="00F16216" w:rsidRPr="0026721C" w:rsidRDefault="00F16216" w:rsidP="00F16216">
            <w:pP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0.005</w:t>
            </w:r>
          </w:p>
        </w:tc>
        <w:tc>
          <w:tcPr>
            <w:tcW w:w="2123" w:type="dxa"/>
            <w:tcBorders>
              <w:top w:val="single" w:sz="4" w:space="0" w:color="auto"/>
              <w:bottom w:val="nil"/>
            </w:tcBorders>
            <w:vAlign w:val="bottom"/>
          </w:tcPr>
          <w:p w14:paraId="46FB2768" w14:textId="77777777" w:rsidR="00F16216" w:rsidRPr="0026721C" w:rsidRDefault="00F16216" w:rsidP="00F16216">
            <w:pPr>
              <w:jc w:val="cente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1</w:t>
            </w:r>
          </w:p>
        </w:tc>
      </w:tr>
      <w:tr w:rsidR="00F16216" w14:paraId="7A83B155" w14:textId="77777777" w:rsidTr="00F16216">
        <w:trPr>
          <w:trHeight w:val="263"/>
        </w:trPr>
        <w:tc>
          <w:tcPr>
            <w:cnfStyle w:val="001000000000" w:firstRow="0" w:lastRow="0" w:firstColumn="1" w:lastColumn="0" w:oddVBand="0" w:evenVBand="0" w:oddHBand="0" w:evenHBand="0" w:firstRowFirstColumn="0" w:firstRowLastColumn="0" w:lastRowFirstColumn="0" w:lastRowLastColumn="0"/>
            <w:tcW w:w="810" w:type="dxa"/>
            <w:tcBorders>
              <w:top w:val="nil"/>
              <w:bottom w:val="nil"/>
            </w:tcBorders>
          </w:tcPr>
          <w:p w14:paraId="6A93F297" w14:textId="77777777" w:rsidR="00F16216" w:rsidRPr="0026721C" w:rsidRDefault="00F16216" w:rsidP="00F16216">
            <w:pPr>
              <w:rPr>
                <w:rFonts w:eastAsiaTheme="minorEastAsia"/>
                <w:b w:val="0"/>
                <w:bCs w:val="0"/>
                <w:iCs/>
                <w:sz w:val="20"/>
                <w:szCs w:val="20"/>
              </w:rPr>
            </w:pPr>
            <w:r w:rsidRPr="0026721C">
              <w:rPr>
                <w:rFonts w:eastAsiaTheme="minorEastAsia"/>
                <w:b w:val="0"/>
                <w:bCs w:val="0"/>
                <w:iCs/>
                <w:sz w:val="20"/>
                <w:szCs w:val="20"/>
              </w:rPr>
              <w:t>2</w:t>
            </w:r>
          </w:p>
        </w:tc>
        <w:tc>
          <w:tcPr>
            <w:tcW w:w="2070" w:type="dxa"/>
            <w:tcBorders>
              <w:top w:val="nil"/>
              <w:bottom w:val="nil"/>
            </w:tcBorders>
            <w:vAlign w:val="bottom"/>
          </w:tcPr>
          <w:p w14:paraId="48CE79AD" w14:textId="77777777" w:rsidR="00F16216" w:rsidRPr="0026721C" w:rsidRDefault="00F16216" w:rsidP="00F16216">
            <w:pPr>
              <w:cnfStyle w:val="000000000000" w:firstRow="0" w:lastRow="0" w:firstColumn="0" w:lastColumn="0" w:oddVBand="0" w:evenVBand="0" w:oddHBand="0" w:evenHBand="0" w:firstRowFirstColumn="0" w:firstRowLastColumn="0" w:lastRowFirstColumn="0" w:lastRowLastColumn="0"/>
              <w:rPr>
                <w:rFonts w:eastAsiaTheme="minorEastAsia"/>
                <w:iCs/>
                <w:sz w:val="20"/>
                <w:szCs w:val="20"/>
              </w:rPr>
            </w:pPr>
            <w:r w:rsidRPr="0026721C">
              <w:rPr>
                <w:rFonts w:ascii="Calibri" w:hAnsi="Calibri" w:cs="Calibri"/>
                <w:color w:val="000000"/>
              </w:rPr>
              <w:t>496.86</w:t>
            </w:r>
          </w:p>
        </w:tc>
        <w:tc>
          <w:tcPr>
            <w:tcW w:w="2199" w:type="dxa"/>
            <w:tcBorders>
              <w:top w:val="nil"/>
              <w:bottom w:val="nil"/>
            </w:tcBorders>
            <w:vAlign w:val="bottom"/>
          </w:tcPr>
          <w:p w14:paraId="341EAE20" w14:textId="77777777" w:rsidR="00F16216" w:rsidRPr="0026721C" w:rsidRDefault="00F16216" w:rsidP="00F16216">
            <w:pPr>
              <w:cnfStyle w:val="000000000000" w:firstRow="0" w:lastRow="0" w:firstColumn="0" w:lastColumn="0" w:oddVBand="0" w:evenVBand="0" w:oddHBand="0" w:evenHBand="0" w:firstRowFirstColumn="0" w:firstRowLastColumn="0" w:lastRowFirstColumn="0" w:lastRowLastColumn="0"/>
              <w:rPr>
                <w:rFonts w:eastAsiaTheme="minorEastAsia"/>
                <w:iCs/>
                <w:sz w:val="20"/>
                <w:szCs w:val="20"/>
              </w:rPr>
            </w:pPr>
            <w:r w:rsidRPr="0026721C">
              <w:rPr>
                <w:rFonts w:ascii="Calibri" w:hAnsi="Calibri" w:cs="Calibri"/>
                <w:color w:val="000000"/>
              </w:rPr>
              <w:t>0.07</w:t>
            </w:r>
          </w:p>
        </w:tc>
        <w:tc>
          <w:tcPr>
            <w:tcW w:w="2788" w:type="dxa"/>
            <w:tcBorders>
              <w:top w:val="nil"/>
              <w:bottom w:val="nil"/>
            </w:tcBorders>
            <w:vAlign w:val="bottom"/>
          </w:tcPr>
          <w:p w14:paraId="180AD805" w14:textId="77777777" w:rsidR="00F16216" w:rsidRPr="0026721C" w:rsidRDefault="00F16216" w:rsidP="00F16216">
            <w:pPr>
              <w:cnfStyle w:val="000000000000" w:firstRow="0" w:lastRow="0" w:firstColumn="0" w:lastColumn="0" w:oddVBand="0" w:evenVBand="0" w:oddHBand="0" w:evenHBand="0" w:firstRowFirstColumn="0" w:firstRowLastColumn="0" w:lastRowFirstColumn="0" w:lastRowLastColumn="0"/>
              <w:rPr>
                <w:rFonts w:eastAsiaTheme="minorEastAsia"/>
                <w:iCs/>
                <w:sz w:val="20"/>
                <w:szCs w:val="20"/>
              </w:rPr>
            </w:pPr>
            <w:r w:rsidRPr="0026721C">
              <w:rPr>
                <w:rFonts w:ascii="Calibri" w:hAnsi="Calibri" w:cs="Calibri"/>
                <w:color w:val="000000"/>
              </w:rPr>
              <w:t>0.11</w:t>
            </w:r>
          </w:p>
        </w:tc>
        <w:tc>
          <w:tcPr>
            <w:tcW w:w="2123" w:type="dxa"/>
            <w:tcBorders>
              <w:top w:val="nil"/>
              <w:bottom w:val="nil"/>
            </w:tcBorders>
            <w:vAlign w:val="bottom"/>
          </w:tcPr>
          <w:p w14:paraId="730DFBD9" w14:textId="77777777" w:rsidR="00F16216" w:rsidRPr="0026721C" w:rsidRDefault="00F16216" w:rsidP="00F16216">
            <w:pPr>
              <w:jc w:val="center"/>
              <w:cnfStyle w:val="000000000000" w:firstRow="0" w:lastRow="0" w:firstColumn="0" w:lastColumn="0" w:oddVBand="0" w:evenVBand="0" w:oddHBand="0" w:evenHBand="0" w:firstRowFirstColumn="0" w:firstRowLastColumn="0" w:lastRowFirstColumn="0" w:lastRowLastColumn="0"/>
              <w:rPr>
                <w:rFonts w:eastAsiaTheme="minorEastAsia"/>
                <w:iCs/>
                <w:sz w:val="20"/>
                <w:szCs w:val="20"/>
              </w:rPr>
            </w:pPr>
            <w:r w:rsidRPr="0026721C">
              <w:rPr>
                <w:rFonts w:ascii="Calibri" w:hAnsi="Calibri" w:cs="Calibri"/>
                <w:color w:val="000000"/>
              </w:rPr>
              <w:t>0</w:t>
            </w:r>
          </w:p>
        </w:tc>
      </w:tr>
      <w:tr w:rsidR="00F16216" w14:paraId="59C001D7" w14:textId="77777777" w:rsidTr="00F16216">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810" w:type="dxa"/>
            <w:tcBorders>
              <w:top w:val="nil"/>
              <w:bottom w:val="nil"/>
            </w:tcBorders>
          </w:tcPr>
          <w:p w14:paraId="293713AC" w14:textId="77777777" w:rsidR="00F16216" w:rsidRPr="0026721C" w:rsidRDefault="00F16216" w:rsidP="00F16216">
            <w:pPr>
              <w:rPr>
                <w:rFonts w:eastAsiaTheme="minorEastAsia"/>
                <w:b w:val="0"/>
                <w:bCs w:val="0"/>
                <w:iCs/>
                <w:sz w:val="20"/>
                <w:szCs w:val="20"/>
              </w:rPr>
            </w:pPr>
            <w:r w:rsidRPr="0026721C">
              <w:rPr>
                <w:rFonts w:eastAsiaTheme="minorEastAsia"/>
                <w:b w:val="0"/>
                <w:bCs w:val="0"/>
                <w:iCs/>
                <w:sz w:val="20"/>
                <w:szCs w:val="20"/>
              </w:rPr>
              <w:t>3</w:t>
            </w:r>
          </w:p>
        </w:tc>
        <w:tc>
          <w:tcPr>
            <w:tcW w:w="2070" w:type="dxa"/>
            <w:tcBorders>
              <w:top w:val="nil"/>
              <w:bottom w:val="nil"/>
            </w:tcBorders>
            <w:vAlign w:val="bottom"/>
          </w:tcPr>
          <w:p w14:paraId="40FA88D2" w14:textId="77777777" w:rsidR="00F16216" w:rsidRPr="0026721C" w:rsidRDefault="00F16216" w:rsidP="00F16216">
            <w:pP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55.77</w:t>
            </w:r>
          </w:p>
        </w:tc>
        <w:tc>
          <w:tcPr>
            <w:tcW w:w="2199" w:type="dxa"/>
            <w:tcBorders>
              <w:top w:val="nil"/>
              <w:bottom w:val="nil"/>
            </w:tcBorders>
            <w:vAlign w:val="bottom"/>
          </w:tcPr>
          <w:p w14:paraId="665FCA3C" w14:textId="77777777" w:rsidR="00F16216" w:rsidRPr="0026721C" w:rsidRDefault="00F16216" w:rsidP="00F16216">
            <w:pP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200.50</w:t>
            </w:r>
          </w:p>
        </w:tc>
        <w:tc>
          <w:tcPr>
            <w:tcW w:w="2788" w:type="dxa"/>
            <w:tcBorders>
              <w:top w:val="nil"/>
              <w:bottom w:val="nil"/>
            </w:tcBorders>
            <w:vAlign w:val="bottom"/>
          </w:tcPr>
          <w:p w14:paraId="03DE59DC" w14:textId="77777777" w:rsidR="00F16216" w:rsidRPr="0026721C" w:rsidRDefault="00F16216" w:rsidP="00F16216">
            <w:pP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15.34</w:t>
            </w:r>
          </w:p>
        </w:tc>
        <w:tc>
          <w:tcPr>
            <w:tcW w:w="2123" w:type="dxa"/>
            <w:tcBorders>
              <w:top w:val="nil"/>
              <w:bottom w:val="nil"/>
            </w:tcBorders>
            <w:vAlign w:val="bottom"/>
          </w:tcPr>
          <w:p w14:paraId="0429FC48" w14:textId="77777777" w:rsidR="00F16216" w:rsidRPr="0026721C" w:rsidRDefault="00F16216" w:rsidP="00F16216">
            <w:pPr>
              <w:jc w:val="cente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0</w:t>
            </w:r>
          </w:p>
        </w:tc>
      </w:tr>
      <w:tr w:rsidR="00F16216" w14:paraId="10238901" w14:textId="77777777" w:rsidTr="00F16216">
        <w:trPr>
          <w:trHeight w:val="279"/>
        </w:trPr>
        <w:tc>
          <w:tcPr>
            <w:cnfStyle w:val="001000000000" w:firstRow="0" w:lastRow="0" w:firstColumn="1" w:lastColumn="0" w:oddVBand="0" w:evenVBand="0" w:oddHBand="0" w:evenHBand="0" w:firstRowFirstColumn="0" w:firstRowLastColumn="0" w:lastRowFirstColumn="0" w:lastRowLastColumn="0"/>
            <w:tcW w:w="810" w:type="dxa"/>
            <w:tcBorders>
              <w:top w:val="nil"/>
              <w:bottom w:val="nil"/>
            </w:tcBorders>
          </w:tcPr>
          <w:p w14:paraId="36136AF9" w14:textId="77777777" w:rsidR="00F16216" w:rsidRPr="0026721C" w:rsidRDefault="00F16216" w:rsidP="00F16216">
            <w:pPr>
              <w:rPr>
                <w:rFonts w:eastAsiaTheme="minorEastAsia"/>
                <w:b w:val="0"/>
                <w:bCs w:val="0"/>
                <w:iCs/>
                <w:sz w:val="20"/>
                <w:szCs w:val="20"/>
              </w:rPr>
            </w:pPr>
            <w:r w:rsidRPr="0026721C">
              <w:rPr>
                <w:rFonts w:eastAsiaTheme="minorEastAsia"/>
                <w:b w:val="0"/>
                <w:bCs w:val="0"/>
                <w:iCs/>
                <w:sz w:val="20"/>
                <w:szCs w:val="20"/>
              </w:rPr>
              <w:t>4</w:t>
            </w:r>
          </w:p>
        </w:tc>
        <w:tc>
          <w:tcPr>
            <w:tcW w:w="2070" w:type="dxa"/>
            <w:tcBorders>
              <w:top w:val="nil"/>
              <w:bottom w:val="nil"/>
            </w:tcBorders>
            <w:vAlign w:val="bottom"/>
          </w:tcPr>
          <w:p w14:paraId="21FBB271" w14:textId="77777777" w:rsidR="00F16216" w:rsidRPr="0026721C" w:rsidRDefault="00F16216" w:rsidP="00F16216">
            <w:pPr>
              <w:cnfStyle w:val="000000000000" w:firstRow="0" w:lastRow="0" w:firstColumn="0" w:lastColumn="0" w:oddVBand="0" w:evenVBand="0" w:oddHBand="0" w:evenHBand="0" w:firstRowFirstColumn="0" w:firstRowLastColumn="0" w:lastRowFirstColumn="0" w:lastRowLastColumn="0"/>
              <w:rPr>
                <w:rFonts w:eastAsiaTheme="minorEastAsia"/>
                <w:iCs/>
                <w:sz w:val="20"/>
                <w:szCs w:val="20"/>
              </w:rPr>
            </w:pPr>
            <w:r w:rsidRPr="0026721C">
              <w:rPr>
                <w:rFonts w:ascii="Calibri" w:hAnsi="Calibri" w:cs="Calibri"/>
                <w:color w:val="000000"/>
              </w:rPr>
              <w:t>297.76</w:t>
            </w:r>
          </w:p>
        </w:tc>
        <w:tc>
          <w:tcPr>
            <w:tcW w:w="2199" w:type="dxa"/>
            <w:tcBorders>
              <w:top w:val="nil"/>
              <w:bottom w:val="nil"/>
            </w:tcBorders>
            <w:vAlign w:val="bottom"/>
          </w:tcPr>
          <w:p w14:paraId="4FF966AD" w14:textId="77777777" w:rsidR="00F16216" w:rsidRPr="0026721C" w:rsidRDefault="00F16216" w:rsidP="00F16216">
            <w:pPr>
              <w:cnfStyle w:val="000000000000" w:firstRow="0" w:lastRow="0" w:firstColumn="0" w:lastColumn="0" w:oddVBand="0" w:evenVBand="0" w:oddHBand="0" w:evenHBand="0" w:firstRowFirstColumn="0" w:firstRowLastColumn="0" w:lastRowFirstColumn="0" w:lastRowLastColumn="0"/>
              <w:rPr>
                <w:rFonts w:eastAsiaTheme="minorEastAsia"/>
                <w:iCs/>
                <w:sz w:val="20"/>
                <w:szCs w:val="20"/>
              </w:rPr>
            </w:pPr>
            <w:r w:rsidRPr="0026721C">
              <w:rPr>
                <w:rFonts w:ascii="Calibri" w:hAnsi="Calibri" w:cs="Calibri"/>
                <w:color w:val="000000"/>
              </w:rPr>
              <w:t>0.96</w:t>
            </w:r>
          </w:p>
        </w:tc>
        <w:tc>
          <w:tcPr>
            <w:tcW w:w="2788" w:type="dxa"/>
            <w:tcBorders>
              <w:top w:val="nil"/>
              <w:bottom w:val="nil"/>
            </w:tcBorders>
            <w:vAlign w:val="bottom"/>
          </w:tcPr>
          <w:p w14:paraId="2DE4DB95" w14:textId="77777777" w:rsidR="00F16216" w:rsidRPr="0026721C" w:rsidRDefault="00F16216" w:rsidP="00F16216">
            <w:pPr>
              <w:cnfStyle w:val="000000000000" w:firstRow="0" w:lastRow="0" w:firstColumn="0" w:lastColumn="0" w:oddVBand="0" w:evenVBand="0" w:oddHBand="0" w:evenHBand="0" w:firstRowFirstColumn="0" w:firstRowLastColumn="0" w:lastRowFirstColumn="0" w:lastRowLastColumn="0"/>
              <w:rPr>
                <w:rFonts w:eastAsiaTheme="minorEastAsia"/>
                <w:iCs/>
                <w:sz w:val="20"/>
                <w:szCs w:val="20"/>
              </w:rPr>
            </w:pPr>
            <w:r w:rsidRPr="0026721C">
              <w:rPr>
                <w:rFonts w:ascii="Calibri" w:hAnsi="Calibri" w:cs="Calibri"/>
                <w:color w:val="000000"/>
              </w:rPr>
              <w:t>1.27</w:t>
            </w:r>
          </w:p>
        </w:tc>
        <w:tc>
          <w:tcPr>
            <w:tcW w:w="2123" w:type="dxa"/>
            <w:tcBorders>
              <w:top w:val="nil"/>
              <w:bottom w:val="nil"/>
            </w:tcBorders>
            <w:vAlign w:val="bottom"/>
          </w:tcPr>
          <w:p w14:paraId="3FC8A9B6" w14:textId="77777777" w:rsidR="00F16216" w:rsidRPr="0026721C" w:rsidRDefault="00F16216" w:rsidP="00F16216">
            <w:pPr>
              <w:jc w:val="center"/>
              <w:cnfStyle w:val="000000000000" w:firstRow="0" w:lastRow="0" w:firstColumn="0" w:lastColumn="0" w:oddVBand="0" w:evenVBand="0" w:oddHBand="0" w:evenHBand="0" w:firstRowFirstColumn="0" w:firstRowLastColumn="0" w:lastRowFirstColumn="0" w:lastRowLastColumn="0"/>
              <w:rPr>
                <w:rFonts w:eastAsiaTheme="minorEastAsia"/>
                <w:iCs/>
                <w:sz w:val="20"/>
                <w:szCs w:val="20"/>
              </w:rPr>
            </w:pPr>
            <w:r w:rsidRPr="0026721C">
              <w:rPr>
                <w:rFonts w:ascii="Calibri" w:hAnsi="Calibri" w:cs="Calibri"/>
                <w:color w:val="000000"/>
              </w:rPr>
              <w:t>0</w:t>
            </w:r>
          </w:p>
        </w:tc>
      </w:tr>
      <w:tr w:rsidR="00F16216" w14:paraId="3D88704B" w14:textId="77777777" w:rsidTr="00F16216">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810" w:type="dxa"/>
            <w:tcBorders>
              <w:top w:val="nil"/>
            </w:tcBorders>
          </w:tcPr>
          <w:p w14:paraId="3E4BB5B1" w14:textId="77777777" w:rsidR="00F16216" w:rsidRPr="0026721C" w:rsidRDefault="00F16216" w:rsidP="00F16216">
            <w:pPr>
              <w:rPr>
                <w:rFonts w:eastAsiaTheme="minorEastAsia"/>
                <w:b w:val="0"/>
                <w:bCs w:val="0"/>
                <w:iCs/>
                <w:sz w:val="20"/>
                <w:szCs w:val="20"/>
              </w:rPr>
            </w:pPr>
            <w:r w:rsidRPr="0026721C">
              <w:rPr>
                <w:rFonts w:eastAsiaTheme="minorEastAsia"/>
                <w:b w:val="0"/>
                <w:bCs w:val="0"/>
                <w:iCs/>
                <w:sz w:val="20"/>
                <w:szCs w:val="20"/>
              </w:rPr>
              <w:t>5</w:t>
            </w:r>
          </w:p>
        </w:tc>
        <w:tc>
          <w:tcPr>
            <w:tcW w:w="2070" w:type="dxa"/>
            <w:tcBorders>
              <w:top w:val="nil"/>
            </w:tcBorders>
            <w:vAlign w:val="bottom"/>
          </w:tcPr>
          <w:p w14:paraId="79862854" w14:textId="77777777" w:rsidR="00F16216" w:rsidRPr="0026721C" w:rsidRDefault="00F16216" w:rsidP="00F16216">
            <w:pP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4.02</w:t>
            </w:r>
          </w:p>
        </w:tc>
        <w:tc>
          <w:tcPr>
            <w:tcW w:w="2199" w:type="dxa"/>
            <w:tcBorders>
              <w:top w:val="nil"/>
            </w:tcBorders>
            <w:vAlign w:val="bottom"/>
          </w:tcPr>
          <w:p w14:paraId="2AC62756" w14:textId="77777777" w:rsidR="00F16216" w:rsidRPr="0026721C" w:rsidRDefault="00F16216" w:rsidP="00F16216">
            <w:pP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5.08</w:t>
            </w:r>
          </w:p>
        </w:tc>
        <w:tc>
          <w:tcPr>
            <w:tcW w:w="2788" w:type="dxa"/>
            <w:tcBorders>
              <w:top w:val="nil"/>
            </w:tcBorders>
            <w:vAlign w:val="bottom"/>
          </w:tcPr>
          <w:p w14:paraId="0EDFDBCC" w14:textId="77777777" w:rsidR="00F16216" w:rsidRPr="0026721C" w:rsidRDefault="00F16216" w:rsidP="00F16216">
            <w:pP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0.005</w:t>
            </w:r>
          </w:p>
        </w:tc>
        <w:tc>
          <w:tcPr>
            <w:tcW w:w="2123" w:type="dxa"/>
            <w:tcBorders>
              <w:top w:val="nil"/>
            </w:tcBorders>
            <w:vAlign w:val="bottom"/>
          </w:tcPr>
          <w:p w14:paraId="3CFFD483" w14:textId="77777777" w:rsidR="00F16216" w:rsidRPr="0026721C" w:rsidRDefault="00F16216" w:rsidP="00F16216">
            <w:pPr>
              <w:jc w:val="center"/>
              <w:cnfStyle w:val="000000100000" w:firstRow="0" w:lastRow="0" w:firstColumn="0" w:lastColumn="0" w:oddVBand="0" w:evenVBand="0" w:oddHBand="1" w:evenHBand="0" w:firstRowFirstColumn="0" w:firstRowLastColumn="0" w:lastRowFirstColumn="0" w:lastRowLastColumn="0"/>
              <w:rPr>
                <w:rFonts w:eastAsiaTheme="minorEastAsia"/>
                <w:iCs/>
                <w:sz w:val="20"/>
                <w:szCs w:val="20"/>
              </w:rPr>
            </w:pPr>
            <w:r w:rsidRPr="0026721C">
              <w:rPr>
                <w:rFonts w:ascii="Calibri" w:hAnsi="Calibri" w:cs="Calibri"/>
                <w:color w:val="000000"/>
              </w:rPr>
              <w:t>1</w:t>
            </w:r>
          </w:p>
        </w:tc>
      </w:tr>
    </w:tbl>
    <w:p w14:paraId="09549A9D" w14:textId="75F271AE" w:rsidR="00C54507" w:rsidRPr="003530C9" w:rsidRDefault="00C54507" w:rsidP="00C54507"/>
    <w:p w14:paraId="3821BC14" w14:textId="25F2D64C" w:rsidR="009879EA" w:rsidRPr="009879EA" w:rsidRDefault="009879EA" w:rsidP="009879EA">
      <w:pPr>
        <w:pStyle w:val="Caption"/>
        <w:keepNext/>
        <w:rPr>
          <w:i w:val="0"/>
          <w:iCs w:val="0"/>
          <w:color w:val="auto"/>
          <w:sz w:val="22"/>
          <w:szCs w:val="22"/>
        </w:rPr>
      </w:pPr>
      <w:r w:rsidRPr="009879EA">
        <w:rPr>
          <w:i w:val="0"/>
          <w:iCs w:val="0"/>
          <w:color w:val="auto"/>
          <w:sz w:val="22"/>
          <w:szCs w:val="22"/>
        </w:rPr>
        <w:t>Table S</w:t>
      </w:r>
      <w:r w:rsidRPr="009879EA">
        <w:rPr>
          <w:i w:val="0"/>
          <w:iCs w:val="0"/>
          <w:color w:val="auto"/>
          <w:sz w:val="22"/>
          <w:szCs w:val="22"/>
        </w:rPr>
        <w:fldChar w:fldCharType="begin"/>
      </w:r>
      <w:r w:rsidRPr="009879EA">
        <w:rPr>
          <w:i w:val="0"/>
          <w:iCs w:val="0"/>
          <w:color w:val="auto"/>
          <w:sz w:val="22"/>
          <w:szCs w:val="22"/>
        </w:rPr>
        <w:instrText xml:space="preserve"> SEQ Table \* ARABIC </w:instrText>
      </w:r>
      <w:r w:rsidRPr="009879EA">
        <w:rPr>
          <w:i w:val="0"/>
          <w:iCs w:val="0"/>
          <w:color w:val="auto"/>
          <w:sz w:val="22"/>
          <w:szCs w:val="22"/>
        </w:rPr>
        <w:fldChar w:fldCharType="separate"/>
      </w:r>
      <w:r w:rsidRPr="009879EA">
        <w:rPr>
          <w:i w:val="0"/>
          <w:iCs w:val="0"/>
          <w:noProof/>
          <w:color w:val="auto"/>
          <w:sz w:val="22"/>
          <w:szCs w:val="22"/>
        </w:rPr>
        <w:t>6</w:t>
      </w:r>
      <w:r w:rsidRPr="009879EA">
        <w:rPr>
          <w:i w:val="0"/>
          <w:iCs w:val="0"/>
          <w:color w:val="auto"/>
          <w:sz w:val="22"/>
          <w:szCs w:val="22"/>
        </w:rPr>
        <w:fldChar w:fldCharType="end"/>
      </w:r>
      <w:r w:rsidRPr="009879EA">
        <w:rPr>
          <w:i w:val="0"/>
          <w:iCs w:val="0"/>
          <w:color w:val="auto"/>
          <w:sz w:val="22"/>
          <w:szCs w:val="22"/>
        </w:rPr>
        <w:t xml:space="preserve">: Model performance evaluation across decision tree, random forest, </w:t>
      </w:r>
      <w:r w:rsidR="00FA464C">
        <w:rPr>
          <w:i w:val="0"/>
          <w:iCs w:val="0"/>
          <w:color w:val="auto"/>
          <w:sz w:val="22"/>
          <w:szCs w:val="22"/>
        </w:rPr>
        <w:t xml:space="preserve">and </w:t>
      </w:r>
      <w:r w:rsidRPr="009879EA">
        <w:rPr>
          <w:i w:val="0"/>
          <w:iCs w:val="0"/>
          <w:color w:val="auto"/>
          <w:sz w:val="22"/>
          <w:szCs w:val="22"/>
        </w:rPr>
        <w:t xml:space="preserve">gradient boosting classifiers. Training </w:t>
      </w:r>
      <w:r w:rsidR="00FA464C">
        <w:rPr>
          <w:i w:val="0"/>
          <w:iCs w:val="0"/>
          <w:color w:val="auto"/>
          <w:sz w:val="22"/>
          <w:szCs w:val="22"/>
        </w:rPr>
        <w:t>metrics</w:t>
      </w:r>
      <w:r w:rsidRPr="009879EA">
        <w:rPr>
          <w:i w:val="0"/>
          <w:iCs w:val="0"/>
          <w:color w:val="auto"/>
          <w:sz w:val="22"/>
          <w:szCs w:val="22"/>
        </w:rPr>
        <w:t xml:space="preserve"> such as accuracy, precision, F1 score are mean % for 5-fold cross validation when training each algorithm. The standard deviation (SD) for each fold cross-validation is provided in braces. The testing metric evaluates model performance on test dataset.</w:t>
      </w:r>
    </w:p>
    <w:tbl>
      <w:tblPr>
        <w:tblStyle w:val="TableGrid"/>
        <w:tblW w:w="8820" w:type="dxa"/>
        <w:tblLook w:val="04A0" w:firstRow="1" w:lastRow="0" w:firstColumn="1" w:lastColumn="0" w:noHBand="0" w:noVBand="1"/>
      </w:tblPr>
      <w:tblGrid>
        <w:gridCol w:w="1912"/>
        <w:gridCol w:w="57"/>
        <w:gridCol w:w="1901"/>
        <w:gridCol w:w="2037"/>
        <w:gridCol w:w="1743"/>
        <w:gridCol w:w="1170"/>
      </w:tblGrid>
      <w:tr w:rsidR="00F16216" w:rsidRPr="00493B27" w14:paraId="74B4F15E" w14:textId="77777777" w:rsidTr="00E81036">
        <w:trPr>
          <w:trHeight w:val="449"/>
        </w:trPr>
        <w:tc>
          <w:tcPr>
            <w:tcW w:w="1969" w:type="dxa"/>
            <w:gridSpan w:val="2"/>
            <w:tcBorders>
              <w:top w:val="single" w:sz="4" w:space="0" w:color="auto"/>
              <w:left w:val="nil"/>
              <w:bottom w:val="single" w:sz="4" w:space="0" w:color="auto"/>
              <w:right w:val="nil"/>
            </w:tcBorders>
          </w:tcPr>
          <w:p w14:paraId="7D9E8842" w14:textId="77777777" w:rsidR="00F16216" w:rsidRPr="00493B27" w:rsidRDefault="00F16216" w:rsidP="00C34A02">
            <w:pPr>
              <w:rPr>
                <w:rFonts w:eastAsiaTheme="minorEastAsia"/>
                <w:b/>
                <w:bCs/>
                <w:iCs/>
                <w:sz w:val="20"/>
                <w:szCs w:val="20"/>
              </w:rPr>
            </w:pPr>
          </w:p>
        </w:tc>
        <w:tc>
          <w:tcPr>
            <w:tcW w:w="6851" w:type="dxa"/>
            <w:gridSpan w:val="4"/>
            <w:tcBorders>
              <w:top w:val="single" w:sz="4" w:space="0" w:color="auto"/>
              <w:left w:val="nil"/>
              <w:bottom w:val="single" w:sz="4" w:space="0" w:color="auto"/>
              <w:right w:val="nil"/>
            </w:tcBorders>
          </w:tcPr>
          <w:p w14:paraId="7569BE42" w14:textId="217A71E0" w:rsidR="00F16216" w:rsidRPr="00493B27" w:rsidRDefault="00F16216" w:rsidP="00F16216">
            <w:pPr>
              <w:jc w:val="center"/>
              <w:rPr>
                <w:rFonts w:eastAsiaTheme="minorEastAsia"/>
                <w:b/>
                <w:bCs/>
                <w:iCs/>
                <w:sz w:val="20"/>
                <w:szCs w:val="20"/>
              </w:rPr>
            </w:pPr>
            <w:r>
              <w:rPr>
                <w:rFonts w:eastAsiaTheme="minorEastAsia"/>
                <w:b/>
                <w:bCs/>
                <w:iCs/>
                <w:sz w:val="20"/>
                <w:szCs w:val="20"/>
              </w:rPr>
              <w:t>Training Metric</w:t>
            </w:r>
          </w:p>
        </w:tc>
      </w:tr>
      <w:tr w:rsidR="00C54507" w:rsidRPr="00493B27" w14:paraId="63B27B68" w14:textId="77777777" w:rsidTr="00C34A02">
        <w:trPr>
          <w:trHeight w:val="449"/>
        </w:trPr>
        <w:tc>
          <w:tcPr>
            <w:tcW w:w="1969" w:type="dxa"/>
            <w:gridSpan w:val="2"/>
            <w:tcBorders>
              <w:top w:val="single" w:sz="4" w:space="0" w:color="auto"/>
              <w:left w:val="nil"/>
              <w:bottom w:val="single" w:sz="4" w:space="0" w:color="auto"/>
              <w:right w:val="nil"/>
            </w:tcBorders>
            <w:hideMark/>
          </w:tcPr>
          <w:p w14:paraId="79550F23" w14:textId="77777777" w:rsidR="00C54507" w:rsidRPr="00493B27" w:rsidRDefault="00C54507" w:rsidP="00C34A02">
            <w:pPr>
              <w:rPr>
                <w:rFonts w:eastAsiaTheme="minorEastAsia"/>
                <w:iCs/>
                <w:sz w:val="20"/>
                <w:szCs w:val="20"/>
              </w:rPr>
            </w:pPr>
            <w:r w:rsidRPr="00493B27">
              <w:rPr>
                <w:rFonts w:eastAsiaTheme="minorEastAsia"/>
                <w:b/>
                <w:bCs/>
                <w:iCs/>
                <w:sz w:val="20"/>
                <w:szCs w:val="20"/>
              </w:rPr>
              <w:t>Algorithm</w:t>
            </w:r>
          </w:p>
        </w:tc>
        <w:tc>
          <w:tcPr>
            <w:tcW w:w="1901" w:type="dxa"/>
            <w:tcBorders>
              <w:top w:val="single" w:sz="4" w:space="0" w:color="auto"/>
              <w:left w:val="nil"/>
              <w:bottom w:val="single" w:sz="4" w:space="0" w:color="auto"/>
              <w:right w:val="nil"/>
            </w:tcBorders>
            <w:hideMark/>
          </w:tcPr>
          <w:p w14:paraId="4F32A7A7" w14:textId="77777777" w:rsidR="00C54507" w:rsidRPr="00493B27" w:rsidRDefault="00C54507" w:rsidP="00C34A02">
            <w:pPr>
              <w:rPr>
                <w:rFonts w:eastAsiaTheme="minorEastAsia"/>
                <w:iCs/>
                <w:sz w:val="20"/>
                <w:szCs w:val="20"/>
              </w:rPr>
            </w:pPr>
            <w:r w:rsidRPr="00493B27">
              <w:rPr>
                <w:rFonts w:eastAsiaTheme="minorEastAsia"/>
                <w:b/>
                <w:bCs/>
                <w:iCs/>
                <w:sz w:val="20"/>
                <w:szCs w:val="20"/>
              </w:rPr>
              <w:t>Accuracy</w:t>
            </w:r>
            <w:r>
              <w:rPr>
                <w:rFonts w:eastAsiaTheme="minorEastAsia"/>
                <w:b/>
                <w:bCs/>
                <w:iCs/>
                <w:sz w:val="20"/>
                <w:szCs w:val="20"/>
              </w:rPr>
              <w:t xml:space="preserve"> (SD)</w:t>
            </w:r>
          </w:p>
        </w:tc>
        <w:tc>
          <w:tcPr>
            <w:tcW w:w="2037" w:type="dxa"/>
            <w:tcBorders>
              <w:top w:val="single" w:sz="4" w:space="0" w:color="auto"/>
              <w:left w:val="nil"/>
              <w:bottom w:val="single" w:sz="4" w:space="0" w:color="auto"/>
              <w:right w:val="nil"/>
            </w:tcBorders>
            <w:hideMark/>
          </w:tcPr>
          <w:p w14:paraId="655687E9" w14:textId="77777777" w:rsidR="00C54507" w:rsidRPr="00493B27" w:rsidRDefault="00C54507" w:rsidP="00C34A02">
            <w:pPr>
              <w:rPr>
                <w:rFonts w:eastAsiaTheme="minorEastAsia"/>
                <w:iCs/>
                <w:sz w:val="20"/>
                <w:szCs w:val="20"/>
              </w:rPr>
            </w:pPr>
            <w:r w:rsidRPr="00493B27">
              <w:rPr>
                <w:rFonts w:eastAsiaTheme="minorEastAsia"/>
                <w:b/>
                <w:bCs/>
                <w:iCs/>
                <w:sz w:val="20"/>
                <w:szCs w:val="20"/>
              </w:rPr>
              <w:t>Precision</w:t>
            </w:r>
            <w:r>
              <w:rPr>
                <w:rFonts w:eastAsiaTheme="minorEastAsia"/>
                <w:b/>
                <w:bCs/>
                <w:iCs/>
                <w:sz w:val="20"/>
                <w:szCs w:val="20"/>
              </w:rPr>
              <w:t xml:space="preserve"> (SD)</w:t>
            </w:r>
          </w:p>
        </w:tc>
        <w:tc>
          <w:tcPr>
            <w:tcW w:w="1743" w:type="dxa"/>
            <w:tcBorders>
              <w:top w:val="single" w:sz="4" w:space="0" w:color="auto"/>
              <w:left w:val="nil"/>
              <w:bottom w:val="single" w:sz="4" w:space="0" w:color="auto"/>
              <w:right w:val="nil"/>
            </w:tcBorders>
            <w:hideMark/>
          </w:tcPr>
          <w:p w14:paraId="43A8D21B" w14:textId="77777777" w:rsidR="00C54507" w:rsidRPr="00493B27" w:rsidRDefault="00C54507" w:rsidP="00C34A02">
            <w:pPr>
              <w:rPr>
                <w:rFonts w:eastAsiaTheme="minorEastAsia"/>
                <w:iCs/>
                <w:sz w:val="20"/>
                <w:szCs w:val="20"/>
              </w:rPr>
            </w:pPr>
            <w:r w:rsidRPr="00493B27">
              <w:rPr>
                <w:rFonts w:eastAsiaTheme="minorEastAsia"/>
                <w:b/>
                <w:bCs/>
                <w:iCs/>
                <w:sz w:val="20"/>
                <w:szCs w:val="20"/>
              </w:rPr>
              <w:t>F1-score</w:t>
            </w:r>
            <w:r>
              <w:rPr>
                <w:rFonts w:eastAsiaTheme="minorEastAsia"/>
                <w:b/>
                <w:bCs/>
                <w:iCs/>
                <w:sz w:val="20"/>
                <w:szCs w:val="20"/>
              </w:rPr>
              <w:t xml:space="preserve"> (SD)</w:t>
            </w:r>
          </w:p>
        </w:tc>
        <w:tc>
          <w:tcPr>
            <w:tcW w:w="1170" w:type="dxa"/>
            <w:tcBorders>
              <w:top w:val="single" w:sz="4" w:space="0" w:color="auto"/>
              <w:left w:val="nil"/>
              <w:bottom w:val="single" w:sz="4" w:space="0" w:color="auto"/>
              <w:right w:val="nil"/>
            </w:tcBorders>
            <w:hideMark/>
          </w:tcPr>
          <w:p w14:paraId="3E913531" w14:textId="77777777" w:rsidR="00C54507" w:rsidRPr="00493B27" w:rsidRDefault="00C54507" w:rsidP="00C34A02">
            <w:pPr>
              <w:rPr>
                <w:rFonts w:eastAsiaTheme="minorEastAsia"/>
                <w:iCs/>
                <w:sz w:val="20"/>
                <w:szCs w:val="20"/>
              </w:rPr>
            </w:pPr>
            <w:r w:rsidRPr="00493B27">
              <w:rPr>
                <w:rFonts w:eastAsiaTheme="minorEastAsia"/>
                <w:b/>
                <w:bCs/>
                <w:iCs/>
                <w:sz w:val="20"/>
                <w:szCs w:val="20"/>
              </w:rPr>
              <w:t>Time (s)</w:t>
            </w:r>
          </w:p>
        </w:tc>
      </w:tr>
      <w:tr w:rsidR="00C54507" w:rsidRPr="00493B27" w14:paraId="535BB639" w14:textId="77777777" w:rsidTr="00C34A02">
        <w:trPr>
          <w:trHeight w:val="609"/>
        </w:trPr>
        <w:tc>
          <w:tcPr>
            <w:tcW w:w="1969" w:type="dxa"/>
            <w:gridSpan w:val="2"/>
            <w:tcBorders>
              <w:top w:val="single" w:sz="4" w:space="0" w:color="auto"/>
              <w:left w:val="nil"/>
              <w:bottom w:val="nil"/>
              <w:right w:val="nil"/>
            </w:tcBorders>
            <w:hideMark/>
          </w:tcPr>
          <w:p w14:paraId="5135201E" w14:textId="77777777" w:rsidR="00C54507" w:rsidRPr="00493B27" w:rsidRDefault="00C54507" w:rsidP="00C34A02">
            <w:pPr>
              <w:rPr>
                <w:rFonts w:eastAsiaTheme="minorEastAsia"/>
                <w:iCs/>
                <w:sz w:val="20"/>
                <w:szCs w:val="20"/>
              </w:rPr>
            </w:pPr>
            <w:r w:rsidRPr="00493B27">
              <w:rPr>
                <w:rFonts w:eastAsiaTheme="minorEastAsia"/>
                <w:iCs/>
                <w:sz w:val="20"/>
                <w:szCs w:val="20"/>
              </w:rPr>
              <w:t>Decision Trees</w:t>
            </w:r>
          </w:p>
        </w:tc>
        <w:tc>
          <w:tcPr>
            <w:tcW w:w="1901" w:type="dxa"/>
            <w:tcBorders>
              <w:top w:val="single" w:sz="4" w:space="0" w:color="auto"/>
              <w:left w:val="nil"/>
              <w:bottom w:val="nil"/>
              <w:right w:val="nil"/>
            </w:tcBorders>
            <w:hideMark/>
          </w:tcPr>
          <w:p w14:paraId="7E1E08D8" w14:textId="77777777" w:rsidR="00C54507" w:rsidRPr="00493B27" w:rsidRDefault="00C54507" w:rsidP="00C34A02">
            <w:pPr>
              <w:rPr>
                <w:rFonts w:eastAsiaTheme="minorEastAsia"/>
                <w:iCs/>
                <w:sz w:val="20"/>
                <w:szCs w:val="20"/>
              </w:rPr>
            </w:pPr>
            <w:r w:rsidRPr="00493B27">
              <w:rPr>
                <w:rFonts w:eastAsiaTheme="minorEastAsia"/>
                <w:iCs/>
                <w:sz w:val="20"/>
                <w:szCs w:val="20"/>
              </w:rPr>
              <w:t>98.8 (0.002)</w:t>
            </w:r>
          </w:p>
        </w:tc>
        <w:tc>
          <w:tcPr>
            <w:tcW w:w="2037" w:type="dxa"/>
            <w:tcBorders>
              <w:top w:val="single" w:sz="4" w:space="0" w:color="auto"/>
              <w:left w:val="nil"/>
              <w:bottom w:val="nil"/>
              <w:right w:val="nil"/>
            </w:tcBorders>
            <w:hideMark/>
          </w:tcPr>
          <w:p w14:paraId="61464086" w14:textId="77777777" w:rsidR="00C54507" w:rsidRPr="00493B27" w:rsidRDefault="00C54507" w:rsidP="00C34A02">
            <w:pPr>
              <w:rPr>
                <w:rFonts w:eastAsiaTheme="minorEastAsia"/>
                <w:iCs/>
                <w:sz w:val="20"/>
                <w:szCs w:val="20"/>
              </w:rPr>
            </w:pPr>
            <w:r w:rsidRPr="00493B27">
              <w:rPr>
                <w:rFonts w:eastAsiaTheme="minorEastAsia"/>
                <w:iCs/>
                <w:sz w:val="20"/>
                <w:szCs w:val="20"/>
              </w:rPr>
              <w:t>98.3 (0.0017)</w:t>
            </w:r>
          </w:p>
        </w:tc>
        <w:tc>
          <w:tcPr>
            <w:tcW w:w="1743" w:type="dxa"/>
            <w:tcBorders>
              <w:top w:val="single" w:sz="4" w:space="0" w:color="auto"/>
              <w:left w:val="nil"/>
              <w:bottom w:val="nil"/>
              <w:right w:val="nil"/>
            </w:tcBorders>
            <w:hideMark/>
          </w:tcPr>
          <w:p w14:paraId="5F2650D6" w14:textId="77777777" w:rsidR="00C54507" w:rsidRPr="00493B27" w:rsidRDefault="00C54507" w:rsidP="00C34A02">
            <w:pPr>
              <w:rPr>
                <w:rFonts w:eastAsiaTheme="minorEastAsia"/>
                <w:iCs/>
                <w:sz w:val="20"/>
                <w:szCs w:val="20"/>
              </w:rPr>
            </w:pPr>
            <w:r w:rsidRPr="00493B27">
              <w:rPr>
                <w:rFonts w:eastAsiaTheme="minorEastAsia"/>
                <w:iCs/>
                <w:sz w:val="20"/>
                <w:szCs w:val="20"/>
              </w:rPr>
              <w:t>98.8 (0.002)</w:t>
            </w:r>
          </w:p>
        </w:tc>
        <w:tc>
          <w:tcPr>
            <w:tcW w:w="1170" w:type="dxa"/>
            <w:tcBorders>
              <w:top w:val="single" w:sz="4" w:space="0" w:color="auto"/>
              <w:left w:val="nil"/>
              <w:bottom w:val="nil"/>
              <w:right w:val="nil"/>
            </w:tcBorders>
            <w:hideMark/>
          </w:tcPr>
          <w:p w14:paraId="5BF7FAC1" w14:textId="77777777" w:rsidR="00C54507" w:rsidRPr="00493B27" w:rsidRDefault="00C54507" w:rsidP="00C34A02">
            <w:pPr>
              <w:rPr>
                <w:rFonts w:eastAsiaTheme="minorEastAsia"/>
                <w:iCs/>
                <w:sz w:val="20"/>
                <w:szCs w:val="20"/>
              </w:rPr>
            </w:pPr>
            <w:r w:rsidRPr="00493B27">
              <w:rPr>
                <w:rFonts w:eastAsiaTheme="minorEastAsia"/>
                <w:iCs/>
                <w:sz w:val="20"/>
                <w:szCs w:val="20"/>
              </w:rPr>
              <w:t>0.0330</w:t>
            </w:r>
          </w:p>
        </w:tc>
      </w:tr>
      <w:tr w:rsidR="00C54507" w:rsidRPr="00493B27" w14:paraId="78F84BA0" w14:textId="77777777" w:rsidTr="00C34A02">
        <w:trPr>
          <w:trHeight w:val="609"/>
        </w:trPr>
        <w:tc>
          <w:tcPr>
            <w:tcW w:w="1969" w:type="dxa"/>
            <w:gridSpan w:val="2"/>
            <w:tcBorders>
              <w:top w:val="nil"/>
              <w:left w:val="nil"/>
              <w:bottom w:val="nil"/>
              <w:right w:val="nil"/>
            </w:tcBorders>
            <w:hideMark/>
          </w:tcPr>
          <w:p w14:paraId="006A8912" w14:textId="77777777" w:rsidR="00C54507" w:rsidRPr="00493B27" w:rsidRDefault="00C54507" w:rsidP="00C34A02">
            <w:pPr>
              <w:rPr>
                <w:rFonts w:eastAsiaTheme="minorEastAsia"/>
                <w:iCs/>
                <w:sz w:val="20"/>
                <w:szCs w:val="20"/>
              </w:rPr>
            </w:pPr>
            <w:r w:rsidRPr="00493B27">
              <w:rPr>
                <w:rFonts w:eastAsiaTheme="minorEastAsia"/>
                <w:iCs/>
                <w:sz w:val="20"/>
                <w:szCs w:val="20"/>
              </w:rPr>
              <w:t>Random Forest</w:t>
            </w:r>
          </w:p>
        </w:tc>
        <w:tc>
          <w:tcPr>
            <w:tcW w:w="1901" w:type="dxa"/>
            <w:tcBorders>
              <w:top w:val="nil"/>
              <w:left w:val="nil"/>
              <w:bottom w:val="nil"/>
              <w:right w:val="nil"/>
            </w:tcBorders>
            <w:hideMark/>
          </w:tcPr>
          <w:p w14:paraId="12191B48" w14:textId="77777777" w:rsidR="00C54507" w:rsidRPr="00493B27" w:rsidRDefault="00C54507" w:rsidP="00C34A02">
            <w:pPr>
              <w:rPr>
                <w:rFonts w:eastAsiaTheme="minorEastAsia"/>
                <w:iCs/>
                <w:sz w:val="20"/>
                <w:szCs w:val="20"/>
              </w:rPr>
            </w:pPr>
            <w:r w:rsidRPr="00493B27">
              <w:rPr>
                <w:rFonts w:eastAsiaTheme="minorEastAsia"/>
                <w:iCs/>
                <w:sz w:val="20"/>
                <w:szCs w:val="20"/>
              </w:rPr>
              <w:t>98.9 (0.002)</w:t>
            </w:r>
          </w:p>
        </w:tc>
        <w:tc>
          <w:tcPr>
            <w:tcW w:w="2037" w:type="dxa"/>
            <w:tcBorders>
              <w:top w:val="nil"/>
              <w:left w:val="nil"/>
              <w:bottom w:val="nil"/>
              <w:right w:val="nil"/>
            </w:tcBorders>
            <w:hideMark/>
          </w:tcPr>
          <w:p w14:paraId="68386548" w14:textId="77777777" w:rsidR="00C54507" w:rsidRPr="00493B27" w:rsidRDefault="00C54507" w:rsidP="00C34A02">
            <w:pPr>
              <w:rPr>
                <w:rFonts w:eastAsiaTheme="minorEastAsia"/>
                <w:iCs/>
                <w:sz w:val="20"/>
                <w:szCs w:val="20"/>
              </w:rPr>
            </w:pPr>
            <w:r w:rsidRPr="00493B27">
              <w:rPr>
                <w:rFonts w:eastAsiaTheme="minorEastAsia"/>
                <w:iCs/>
                <w:sz w:val="20"/>
                <w:szCs w:val="20"/>
              </w:rPr>
              <w:t>98.7 (0.0019)</w:t>
            </w:r>
          </w:p>
        </w:tc>
        <w:tc>
          <w:tcPr>
            <w:tcW w:w="1743" w:type="dxa"/>
            <w:tcBorders>
              <w:top w:val="nil"/>
              <w:left w:val="nil"/>
              <w:bottom w:val="nil"/>
              <w:right w:val="nil"/>
            </w:tcBorders>
            <w:hideMark/>
          </w:tcPr>
          <w:p w14:paraId="5692757A" w14:textId="77777777" w:rsidR="00C54507" w:rsidRPr="00493B27" w:rsidRDefault="00C54507" w:rsidP="00C34A02">
            <w:pPr>
              <w:rPr>
                <w:rFonts w:eastAsiaTheme="minorEastAsia"/>
                <w:iCs/>
                <w:sz w:val="20"/>
                <w:szCs w:val="20"/>
              </w:rPr>
            </w:pPr>
            <w:r w:rsidRPr="00493B27">
              <w:rPr>
                <w:rFonts w:eastAsiaTheme="minorEastAsia"/>
                <w:iCs/>
                <w:sz w:val="20"/>
                <w:szCs w:val="20"/>
              </w:rPr>
              <w:t>98.8 (0.002)</w:t>
            </w:r>
          </w:p>
        </w:tc>
        <w:tc>
          <w:tcPr>
            <w:tcW w:w="1170" w:type="dxa"/>
            <w:tcBorders>
              <w:top w:val="nil"/>
              <w:left w:val="nil"/>
              <w:bottom w:val="nil"/>
              <w:right w:val="nil"/>
            </w:tcBorders>
            <w:hideMark/>
          </w:tcPr>
          <w:p w14:paraId="4BB1A448" w14:textId="77777777" w:rsidR="00C54507" w:rsidRPr="00493B27" w:rsidRDefault="00C54507" w:rsidP="00C34A02">
            <w:pPr>
              <w:rPr>
                <w:rFonts w:eastAsiaTheme="minorEastAsia"/>
                <w:iCs/>
                <w:sz w:val="20"/>
                <w:szCs w:val="20"/>
              </w:rPr>
            </w:pPr>
            <w:r w:rsidRPr="00493B27">
              <w:rPr>
                <w:rFonts w:eastAsiaTheme="minorEastAsia"/>
                <w:iCs/>
                <w:sz w:val="20"/>
                <w:szCs w:val="20"/>
              </w:rPr>
              <w:t>1.3069</w:t>
            </w:r>
          </w:p>
        </w:tc>
      </w:tr>
      <w:tr w:rsidR="00C54507" w:rsidRPr="00493B27" w14:paraId="6C47589D" w14:textId="77777777" w:rsidTr="00C34A02">
        <w:trPr>
          <w:trHeight w:val="450"/>
        </w:trPr>
        <w:tc>
          <w:tcPr>
            <w:tcW w:w="1969" w:type="dxa"/>
            <w:gridSpan w:val="2"/>
            <w:tcBorders>
              <w:top w:val="nil"/>
              <w:left w:val="nil"/>
              <w:bottom w:val="single" w:sz="4" w:space="0" w:color="auto"/>
              <w:right w:val="nil"/>
            </w:tcBorders>
            <w:hideMark/>
          </w:tcPr>
          <w:p w14:paraId="687A216C" w14:textId="77777777" w:rsidR="00C54507" w:rsidRPr="00493B27" w:rsidRDefault="00C54507" w:rsidP="00C34A02">
            <w:pPr>
              <w:rPr>
                <w:rFonts w:eastAsiaTheme="minorEastAsia"/>
                <w:iCs/>
                <w:sz w:val="20"/>
                <w:szCs w:val="20"/>
              </w:rPr>
            </w:pPr>
            <w:r w:rsidRPr="00493B27">
              <w:rPr>
                <w:rFonts w:eastAsiaTheme="minorEastAsia"/>
                <w:iCs/>
                <w:sz w:val="20"/>
                <w:szCs w:val="20"/>
              </w:rPr>
              <w:t>Gradient</w:t>
            </w:r>
            <w:r>
              <w:rPr>
                <w:rFonts w:eastAsiaTheme="minorEastAsia"/>
                <w:iCs/>
                <w:sz w:val="20"/>
                <w:szCs w:val="20"/>
              </w:rPr>
              <w:t xml:space="preserve"> </w:t>
            </w:r>
            <w:r w:rsidRPr="00493B27">
              <w:rPr>
                <w:rFonts w:eastAsiaTheme="minorEastAsia"/>
                <w:iCs/>
                <w:sz w:val="20"/>
                <w:szCs w:val="20"/>
              </w:rPr>
              <w:t>Boosting</w:t>
            </w:r>
          </w:p>
        </w:tc>
        <w:tc>
          <w:tcPr>
            <w:tcW w:w="1901" w:type="dxa"/>
            <w:tcBorders>
              <w:top w:val="nil"/>
              <w:left w:val="nil"/>
              <w:bottom w:val="single" w:sz="4" w:space="0" w:color="auto"/>
              <w:right w:val="nil"/>
            </w:tcBorders>
            <w:hideMark/>
          </w:tcPr>
          <w:p w14:paraId="30612672" w14:textId="77777777" w:rsidR="00C54507" w:rsidRPr="00493B27" w:rsidRDefault="00C54507" w:rsidP="00C34A02">
            <w:pPr>
              <w:rPr>
                <w:rFonts w:eastAsiaTheme="minorEastAsia"/>
                <w:iCs/>
                <w:sz w:val="20"/>
                <w:szCs w:val="20"/>
              </w:rPr>
            </w:pPr>
            <w:r w:rsidRPr="00493B27">
              <w:rPr>
                <w:rFonts w:eastAsiaTheme="minorEastAsia"/>
                <w:iCs/>
                <w:sz w:val="20"/>
                <w:szCs w:val="20"/>
              </w:rPr>
              <w:t>99.2 (0.0018)</w:t>
            </w:r>
          </w:p>
        </w:tc>
        <w:tc>
          <w:tcPr>
            <w:tcW w:w="2037" w:type="dxa"/>
            <w:tcBorders>
              <w:top w:val="nil"/>
              <w:left w:val="nil"/>
              <w:bottom w:val="single" w:sz="4" w:space="0" w:color="auto"/>
              <w:right w:val="nil"/>
            </w:tcBorders>
            <w:hideMark/>
          </w:tcPr>
          <w:p w14:paraId="1A0CA0B5" w14:textId="77777777" w:rsidR="00C54507" w:rsidRPr="00493B27" w:rsidRDefault="00C54507" w:rsidP="00C34A02">
            <w:pPr>
              <w:rPr>
                <w:rFonts w:eastAsiaTheme="minorEastAsia"/>
                <w:iCs/>
                <w:sz w:val="20"/>
                <w:szCs w:val="20"/>
              </w:rPr>
            </w:pPr>
            <w:r w:rsidRPr="00493B27">
              <w:rPr>
                <w:rFonts w:eastAsiaTheme="minorEastAsia"/>
                <w:iCs/>
                <w:sz w:val="20"/>
                <w:szCs w:val="20"/>
              </w:rPr>
              <w:t>98.9 (0.003)</w:t>
            </w:r>
          </w:p>
        </w:tc>
        <w:tc>
          <w:tcPr>
            <w:tcW w:w="1743" w:type="dxa"/>
            <w:tcBorders>
              <w:top w:val="nil"/>
              <w:left w:val="nil"/>
              <w:bottom w:val="single" w:sz="4" w:space="0" w:color="auto"/>
              <w:right w:val="nil"/>
            </w:tcBorders>
            <w:hideMark/>
          </w:tcPr>
          <w:p w14:paraId="717E098E" w14:textId="77777777" w:rsidR="00C54507" w:rsidRPr="00493B27" w:rsidRDefault="00C54507" w:rsidP="00C34A02">
            <w:pPr>
              <w:rPr>
                <w:rFonts w:eastAsiaTheme="minorEastAsia"/>
                <w:iCs/>
                <w:sz w:val="20"/>
                <w:szCs w:val="20"/>
              </w:rPr>
            </w:pPr>
            <w:r w:rsidRPr="00493B27">
              <w:rPr>
                <w:rFonts w:eastAsiaTheme="minorEastAsia"/>
                <w:iCs/>
                <w:sz w:val="20"/>
                <w:szCs w:val="20"/>
              </w:rPr>
              <w:t>99.2 (0.002)</w:t>
            </w:r>
          </w:p>
        </w:tc>
        <w:tc>
          <w:tcPr>
            <w:tcW w:w="1170" w:type="dxa"/>
            <w:tcBorders>
              <w:top w:val="nil"/>
              <w:left w:val="nil"/>
              <w:bottom w:val="single" w:sz="4" w:space="0" w:color="auto"/>
              <w:right w:val="nil"/>
            </w:tcBorders>
            <w:hideMark/>
          </w:tcPr>
          <w:p w14:paraId="0B418992" w14:textId="77777777" w:rsidR="00C54507" w:rsidRPr="00493B27" w:rsidRDefault="00C54507" w:rsidP="00C34A02">
            <w:pPr>
              <w:rPr>
                <w:rFonts w:eastAsiaTheme="minorEastAsia"/>
                <w:iCs/>
                <w:sz w:val="20"/>
                <w:szCs w:val="20"/>
              </w:rPr>
            </w:pPr>
            <w:r w:rsidRPr="00493B27">
              <w:rPr>
                <w:rFonts w:eastAsiaTheme="minorEastAsia"/>
                <w:iCs/>
                <w:sz w:val="20"/>
                <w:szCs w:val="20"/>
              </w:rPr>
              <w:t>2.4278</w:t>
            </w:r>
          </w:p>
        </w:tc>
      </w:tr>
      <w:tr w:rsidR="00F16216" w14:paraId="1B1B3AD2" w14:textId="77777777" w:rsidTr="00F16216">
        <w:trPr>
          <w:trHeight w:val="467"/>
        </w:trPr>
        <w:tc>
          <w:tcPr>
            <w:tcW w:w="1912" w:type="dxa"/>
            <w:tcBorders>
              <w:top w:val="single" w:sz="4" w:space="0" w:color="auto"/>
              <w:left w:val="nil"/>
              <w:bottom w:val="single" w:sz="4" w:space="0" w:color="auto"/>
              <w:right w:val="nil"/>
            </w:tcBorders>
          </w:tcPr>
          <w:p w14:paraId="6736A261" w14:textId="47952CAD" w:rsidR="00F16216" w:rsidRPr="00107B41" w:rsidRDefault="00F16216" w:rsidP="00F16216">
            <w:pPr>
              <w:jc w:val="center"/>
              <w:rPr>
                <w:rFonts w:eastAsiaTheme="minorEastAsia"/>
                <w:b/>
                <w:bCs/>
                <w:iCs/>
                <w:sz w:val="20"/>
                <w:szCs w:val="20"/>
              </w:rPr>
            </w:pPr>
          </w:p>
        </w:tc>
        <w:tc>
          <w:tcPr>
            <w:tcW w:w="5738" w:type="dxa"/>
            <w:gridSpan w:val="4"/>
            <w:tcBorders>
              <w:top w:val="single" w:sz="4" w:space="0" w:color="auto"/>
              <w:left w:val="nil"/>
              <w:bottom w:val="single" w:sz="4" w:space="0" w:color="auto"/>
              <w:right w:val="nil"/>
            </w:tcBorders>
          </w:tcPr>
          <w:p w14:paraId="391F52FA" w14:textId="5964E5BB" w:rsidR="00F16216" w:rsidRPr="00107B41" w:rsidRDefault="00F16216" w:rsidP="00F16216">
            <w:pPr>
              <w:jc w:val="center"/>
              <w:rPr>
                <w:rFonts w:eastAsiaTheme="minorEastAsia"/>
                <w:b/>
                <w:bCs/>
                <w:iCs/>
                <w:sz w:val="20"/>
                <w:szCs w:val="20"/>
              </w:rPr>
            </w:pPr>
            <w:r w:rsidRPr="00107B41">
              <w:rPr>
                <w:rFonts w:eastAsiaTheme="minorEastAsia"/>
                <w:b/>
                <w:bCs/>
                <w:iCs/>
                <w:sz w:val="20"/>
                <w:szCs w:val="20"/>
              </w:rPr>
              <w:t>Testing Metric</w:t>
            </w:r>
          </w:p>
        </w:tc>
        <w:tc>
          <w:tcPr>
            <w:tcW w:w="1170" w:type="dxa"/>
            <w:tcBorders>
              <w:top w:val="single" w:sz="4" w:space="0" w:color="auto"/>
              <w:left w:val="nil"/>
              <w:bottom w:val="nil"/>
              <w:right w:val="nil"/>
            </w:tcBorders>
          </w:tcPr>
          <w:p w14:paraId="01BF187E" w14:textId="77777777" w:rsidR="00F16216" w:rsidRPr="00107B41" w:rsidRDefault="00F16216" w:rsidP="00F16216">
            <w:pPr>
              <w:rPr>
                <w:rFonts w:eastAsiaTheme="minorEastAsia"/>
                <w:b/>
                <w:bCs/>
                <w:iCs/>
                <w:sz w:val="20"/>
                <w:szCs w:val="20"/>
              </w:rPr>
            </w:pPr>
          </w:p>
        </w:tc>
      </w:tr>
      <w:tr w:rsidR="00F16216" w14:paraId="560BD42F" w14:textId="77777777" w:rsidTr="00C34A02">
        <w:trPr>
          <w:trHeight w:val="450"/>
        </w:trPr>
        <w:tc>
          <w:tcPr>
            <w:tcW w:w="1969" w:type="dxa"/>
            <w:gridSpan w:val="2"/>
            <w:tcBorders>
              <w:top w:val="single" w:sz="4" w:space="0" w:color="auto"/>
              <w:left w:val="nil"/>
              <w:bottom w:val="single" w:sz="4" w:space="0" w:color="auto"/>
              <w:right w:val="nil"/>
            </w:tcBorders>
          </w:tcPr>
          <w:p w14:paraId="7EAC41BC" w14:textId="77777777" w:rsidR="00F16216" w:rsidRDefault="00F16216" w:rsidP="00F16216">
            <w:pPr>
              <w:rPr>
                <w:rFonts w:eastAsiaTheme="minorEastAsia"/>
                <w:iCs/>
                <w:sz w:val="20"/>
                <w:szCs w:val="20"/>
              </w:rPr>
            </w:pPr>
            <w:r w:rsidRPr="00493B27">
              <w:rPr>
                <w:rFonts w:eastAsiaTheme="minorEastAsia"/>
                <w:b/>
                <w:bCs/>
                <w:iCs/>
                <w:sz w:val="20"/>
                <w:szCs w:val="20"/>
              </w:rPr>
              <w:t>Algorithm</w:t>
            </w:r>
          </w:p>
        </w:tc>
        <w:tc>
          <w:tcPr>
            <w:tcW w:w="1901" w:type="dxa"/>
            <w:tcBorders>
              <w:top w:val="single" w:sz="4" w:space="0" w:color="auto"/>
              <w:left w:val="nil"/>
              <w:bottom w:val="single" w:sz="4" w:space="0" w:color="auto"/>
              <w:right w:val="nil"/>
            </w:tcBorders>
          </w:tcPr>
          <w:p w14:paraId="3162CA06" w14:textId="77777777" w:rsidR="00F16216" w:rsidRDefault="00F16216" w:rsidP="00F16216">
            <w:pPr>
              <w:rPr>
                <w:rFonts w:eastAsiaTheme="minorEastAsia"/>
                <w:iCs/>
                <w:sz w:val="20"/>
                <w:szCs w:val="20"/>
              </w:rPr>
            </w:pPr>
            <w:r w:rsidRPr="00493B27">
              <w:rPr>
                <w:rFonts w:eastAsiaTheme="minorEastAsia"/>
                <w:b/>
                <w:bCs/>
                <w:iCs/>
                <w:sz w:val="20"/>
                <w:szCs w:val="20"/>
              </w:rPr>
              <w:t>Accuracy</w:t>
            </w:r>
            <w:r>
              <w:rPr>
                <w:rFonts w:eastAsiaTheme="minorEastAsia"/>
                <w:b/>
                <w:bCs/>
                <w:iCs/>
                <w:sz w:val="20"/>
                <w:szCs w:val="20"/>
              </w:rPr>
              <w:t xml:space="preserve"> (SD)</w:t>
            </w:r>
          </w:p>
        </w:tc>
        <w:tc>
          <w:tcPr>
            <w:tcW w:w="2037" w:type="dxa"/>
            <w:tcBorders>
              <w:top w:val="single" w:sz="4" w:space="0" w:color="auto"/>
              <w:left w:val="nil"/>
              <w:bottom w:val="single" w:sz="4" w:space="0" w:color="auto"/>
              <w:right w:val="nil"/>
            </w:tcBorders>
          </w:tcPr>
          <w:p w14:paraId="35ED246B" w14:textId="77777777" w:rsidR="00F16216" w:rsidRDefault="00F16216" w:rsidP="00F16216">
            <w:pPr>
              <w:rPr>
                <w:rFonts w:eastAsiaTheme="minorEastAsia"/>
                <w:iCs/>
                <w:sz w:val="20"/>
                <w:szCs w:val="20"/>
              </w:rPr>
            </w:pPr>
            <w:r w:rsidRPr="00493B27">
              <w:rPr>
                <w:rFonts w:eastAsiaTheme="minorEastAsia"/>
                <w:b/>
                <w:bCs/>
                <w:iCs/>
                <w:sz w:val="20"/>
                <w:szCs w:val="20"/>
              </w:rPr>
              <w:t>Precision</w:t>
            </w:r>
            <w:r>
              <w:rPr>
                <w:rFonts w:eastAsiaTheme="minorEastAsia"/>
                <w:b/>
                <w:bCs/>
                <w:iCs/>
                <w:sz w:val="20"/>
                <w:szCs w:val="20"/>
              </w:rPr>
              <w:t xml:space="preserve"> (SD)</w:t>
            </w:r>
          </w:p>
        </w:tc>
        <w:tc>
          <w:tcPr>
            <w:tcW w:w="1743" w:type="dxa"/>
            <w:tcBorders>
              <w:top w:val="single" w:sz="4" w:space="0" w:color="auto"/>
              <w:left w:val="nil"/>
              <w:bottom w:val="single" w:sz="4" w:space="0" w:color="auto"/>
              <w:right w:val="nil"/>
            </w:tcBorders>
          </w:tcPr>
          <w:p w14:paraId="659AE759" w14:textId="77777777" w:rsidR="00F16216" w:rsidRDefault="00F16216" w:rsidP="00F16216">
            <w:pPr>
              <w:rPr>
                <w:rFonts w:eastAsiaTheme="minorEastAsia"/>
                <w:iCs/>
                <w:sz w:val="20"/>
                <w:szCs w:val="20"/>
              </w:rPr>
            </w:pPr>
            <w:r w:rsidRPr="00493B27">
              <w:rPr>
                <w:rFonts w:eastAsiaTheme="minorEastAsia"/>
                <w:b/>
                <w:bCs/>
                <w:iCs/>
                <w:sz w:val="20"/>
                <w:szCs w:val="20"/>
              </w:rPr>
              <w:t>F1-score</w:t>
            </w:r>
            <w:r>
              <w:rPr>
                <w:rFonts w:eastAsiaTheme="minorEastAsia"/>
                <w:b/>
                <w:bCs/>
                <w:iCs/>
                <w:sz w:val="20"/>
                <w:szCs w:val="20"/>
              </w:rPr>
              <w:t xml:space="preserve"> (SD)</w:t>
            </w:r>
          </w:p>
        </w:tc>
        <w:tc>
          <w:tcPr>
            <w:tcW w:w="1170" w:type="dxa"/>
            <w:vMerge w:val="restart"/>
            <w:tcBorders>
              <w:top w:val="nil"/>
              <w:left w:val="nil"/>
              <w:bottom w:val="single" w:sz="4" w:space="0" w:color="auto"/>
              <w:right w:val="nil"/>
            </w:tcBorders>
          </w:tcPr>
          <w:p w14:paraId="02AA304E" w14:textId="77777777" w:rsidR="00F16216" w:rsidRDefault="00F16216" w:rsidP="00F16216">
            <w:pPr>
              <w:rPr>
                <w:rFonts w:eastAsiaTheme="minorEastAsia"/>
                <w:iCs/>
                <w:sz w:val="20"/>
                <w:szCs w:val="20"/>
              </w:rPr>
            </w:pPr>
          </w:p>
        </w:tc>
      </w:tr>
      <w:tr w:rsidR="00F16216" w14:paraId="546DBE9C" w14:textId="77777777" w:rsidTr="00C34A02">
        <w:trPr>
          <w:trHeight w:val="593"/>
        </w:trPr>
        <w:tc>
          <w:tcPr>
            <w:tcW w:w="1969" w:type="dxa"/>
            <w:gridSpan w:val="2"/>
            <w:tcBorders>
              <w:top w:val="single" w:sz="4" w:space="0" w:color="auto"/>
              <w:left w:val="nil"/>
              <w:bottom w:val="nil"/>
              <w:right w:val="nil"/>
            </w:tcBorders>
          </w:tcPr>
          <w:p w14:paraId="1ED80398" w14:textId="77777777" w:rsidR="00F16216" w:rsidRDefault="00F16216" w:rsidP="00F16216">
            <w:pPr>
              <w:rPr>
                <w:rFonts w:eastAsiaTheme="minorEastAsia"/>
                <w:iCs/>
                <w:sz w:val="20"/>
                <w:szCs w:val="20"/>
              </w:rPr>
            </w:pPr>
            <w:r w:rsidRPr="00493B27">
              <w:rPr>
                <w:rFonts w:eastAsiaTheme="minorEastAsia"/>
                <w:iCs/>
                <w:sz w:val="20"/>
                <w:szCs w:val="20"/>
              </w:rPr>
              <w:t>Decision Trees</w:t>
            </w:r>
          </w:p>
        </w:tc>
        <w:tc>
          <w:tcPr>
            <w:tcW w:w="1901" w:type="dxa"/>
            <w:tcBorders>
              <w:top w:val="single" w:sz="4" w:space="0" w:color="auto"/>
              <w:left w:val="nil"/>
              <w:bottom w:val="nil"/>
              <w:right w:val="nil"/>
            </w:tcBorders>
          </w:tcPr>
          <w:p w14:paraId="600E93A4" w14:textId="77777777" w:rsidR="00F16216" w:rsidRDefault="00F16216" w:rsidP="00F16216">
            <w:pPr>
              <w:rPr>
                <w:rFonts w:eastAsiaTheme="minorEastAsia"/>
                <w:iCs/>
                <w:sz w:val="20"/>
                <w:szCs w:val="20"/>
              </w:rPr>
            </w:pPr>
            <w:r>
              <w:rPr>
                <w:rFonts w:eastAsiaTheme="minorEastAsia"/>
                <w:iCs/>
                <w:sz w:val="20"/>
                <w:szCs w:val="20"/>
              </w:rPr>
              <w:t>98.7</w:t>
            </w:r>
          </w:p>
        </w:tc>
        <w:tc>
          <w:tcPr>
            <w:tcW w:w="2037" w:type="dxa"/>
            <w:tcBorders>
              <w:top w:val="single" w:sz="4" w:space="0" w:color="auto"/>
              <w:left w:val="nil"/>
              <w:bottom w:val="nil"/>
              <w:right w:val="nil"/>
            </w:tcBorders>
          </w:tcPr>
          <w:p w14:paraId="2A42E7FA" w14:textId="77777777" w:rsidR="00F16216" w:rsidRDefault="00F16216" w:rsidP="00F16216">
            <w:pPr>
              <w:rPr>
                <w:rFonts w:eastAsiaTheme="minorEastAsia"/>
                <w:iCs/>
                <w:sz w:val="20"/>
                <w:szCs w:val="20"/>
              </w:rPr>
            </w:pPr>
            <w:r>
              <w:rPr>
                <w:rFonts w:eastAsiaTheme="minorEastAsia"/>
                <w:iCs/>
                <w:sz w:val="20"/>
                <w:szCs w:val="20"/>
              </w:rPr>
              <w:t>98.7</w:t>
            </w:r>
          </w:p>
        </w:tc>
        <w:tc>
          <w:tcPr>
            <w:tcW w:w="1743" w:type="dxa"/>
            <w:tcBorders>
              <w:top w:val="single" w:sz="4" w:space="0" w:color="auto"/>
              <w:left w:val="nil"/>
              <w:bottom w:val="nil"/>
              <w:right w:val="nil"/>
            </w:tcBorders>
          </w:tcPr>
          <w:p w14:paraId="63CA1CC9" w14:textId="77777777" w:rsidR="00F16216" w:rsidRDefault="00F16216" w:rsidP="00F16216">
            <w:pPr>
              <w:rPr>
                <w:rFonts w:eastAsiaTheme="minorEastAsia"/>
                <w:iCs/>
                <w:sz w:val="20"/>
                <w:szCs w:val="20"/>
              </w:rPr>
            </w:pPr>
            <w:r>
              <w:rPr>
                <w:rFonts w:eastAsiaTheme="minorEastAsia"/>
                <w:iCs/>
                <w:sz w:val="20"/>
                <w:szCs w:val="20"/>
              </w:rPr>
              <w:t>98.4</w:t>
            </w:r>
          </w:p>
        </w:tc>
        <w:tc>
          <w:tcPr>
            <w:tcW w:w="1170" w:type="dxa"/>
            <w:vMerge/>
            <w:tcBorders>
              <w:top w:val="single" w:sz="4" w:space="0" w:color="auto"/>
              <w:left w:val="nil"/>
              <w:bottom w:val="nil"/>
              <w:right w:val="nil"/>
            </w:tcBorders>
          </w:tcPr>
          <w:p w14:paraId="5BBF4959" w14:textId="77777777" w:rsidR="00F16216" w:rsidRDefault="00F16216" w:rsidP="00F16216">
            <w:pPr>
              <w:rPr>
                <w:rFonts w:eastAsiaTheme="minorEastAsia"/>
                <w:iCs/>
                <w:sz w:val="20"/>
                <w:szCs w:val="20"/>
              </w:rPr>
            </w:pPr>
          </w:p>
        </w:tc>
      </w:tr>
      <w:tr w:rsidR="00F16216" w14:paraId="2E5CE0C9" w14:textId="77777777" w:rsidTr="00C34A02">
        <w:trPr>
          <w:trHeight w:val="620"/>
        </w:trPr>
        <w:tc>
          <w:tcPr>
            <w:tcW w:w="1969" w:type="dxa"/>
            <w:gridSpan w:val="2"/>
            <w:tcBorders>
              <w:top w:val="nil"/>
              <w:left w:val="nil"/>
              <w:bottom w:val="nil"/>
              <w:right w:val="nil"/>
            </w:tcBorders>
          </w:tcPr>
          <w:p w14:paraId="11365A5D" w14:textId="77777777" w:rsidR="00F16216" w:rsidRDefault="00F16216" w:rsidP="00F16216">
            <w:pPr>
              <w:rPr>
                <w:rFonts w:eastAsiaTheme="minorEastAsia"/>
                <w:iCs/>
                <w:sz w:val="20"/>
                <w:szCs w:val="20"/>
              </w:rPr>
            </w:pPr>
            <w:r w:rsidRPr="00493B27">
              <w:rPr>
                <w:rFonts w:eastAsiaTheme="minorEastAsia"/>
                <w:iCs/>
                <w:sz w:val="20"/>
                <w:szCs w:val="20"/>
              </w:rPr>
              <w:t>Random Forest</w:t>
            </w:r>
          </w:p>
        </w:tc>
        <w:tc>
          <w:tcPr>
            <w:tcW w:w="1901" w:type="dxa"/>
            <w:tcBorders>
              <w:top w:val="nil"/>
              <w:left w:val="nil"/>
              <w:bottom w:val="nil"/>
              <w:right w:val="nil"/>
            </w:tcBorders>
          </w:tcPr>
          <w:p w14:paraId="6D3566A4" w14:textId="77777777" w:rsidR="00F16216" w:rsidRDefault="00F16216" w:rsidP="00F16216">
            <w:pPr>
              <w:rPr>
                <w:rFonts w:eastAsiaTheme="minorEastAsia"/>
                <w:iCs/>
                <w:sz w:val="20"/>
                <w:szCs w:val="20"/>
              </w:rPr>
            </w:pPr>
            <w:r>
              <w:rPr>
                <w:rFonts w:eastAsiaTheme="minorEastAsia"/>
                <w:iCs/>
                <w:sz w:val="20"/>
                <w:szCs w:val="20"/>
              </w:rPr>
              <w:t>97</w:t>
            </w:r>
          </w:p>
        </w:tc>
        <w:tc>
          <w:tcPr>
            <w:tcW w:w="2037" w:type="dxa"/>
            <w:tcBorders>
              <w:top w:val="nil"/>
              <w:left w:val="nil"/>
              <w:bottom w:val="nil"/>
              <w:right w:val="nil"/>
            </w:tcBorders>
          </w:tcPr>
          <w:p w14:paraId="34AF9F02" w14:textId="77777777" w:rsidR="00F16216" w:rsidRDefault="00F16216" w:rsidP="00F16216">
            <w:pPr>
              <w:rPr>
                <w:rFonts w:eastAsiaTheme="minorEastAsia"/>
                <w:iCs/>
                <w:sz w:val="20"/>
                <w:szCs w:val="20"/>
              </w:rPr>
            </w:pPr>
            <w:r>
              <w:rPr>
                <w:rFonts w:eastAsiaTheme="minorEastAsia"/>
                <w:iCs/>
                <w:sz w:val="20"/>
                <w:szCs w:val="20"/>
              </w:rPr>
              <w:t>97.1</w:t>
            </w:r>
          </w:p>
        </w:tc>
        <w:tc>
          <w:tcPr>
            <w:tcW w:w="1743" w:type="dxa"/>
            <w:tcBorders>
              <w:top w:val="nil"/>
              <w:left w:val="nil"/>
              <w:bottom w:val="nil"/>
              <w:right w:val="nil"/>
            </w:tcBorders>
          </w:tcPr>
          <w:p w14:paraId="5073EC43" w14:textId="77777777" w:rsidR="00F16216" w:rsidRDefault="00F16216" w:rsidP="00F16216">
            <w:pPr>
              <w:rPr>
                <w:rFonts w:eastAsiaTheme="minorEastAsia"/>
                <w:iCs/>
                <w:sz w:val="20"/>
                <w:szCs w:val="20"/>
              </w:rPr>
            </w:pPr>
            <w:r>
              <w:rPr>
                <w:rFonts w:eastAsiaTheme="minorEastAsia"/>
                <w:iCs/>
                <w:sz w:val="20"/>
                <w:szCs w:val="20"/>
              </w:rPr>
              <w:t>95.1</w:t>
            </w:r>
          </w:p>
        </w:tc>
        <w:tc>
          <w:tcPr>
            <w:tcW w:w="1170" w:type="dxa"/>
            <w:vMerge/>
            <w:tcBorders>
              <w:top w:val="nil"/>
              <w:left w:val="nil"/>
              <w:bottom w:val="nil"/>
              <w:right w:val="nil"/>
            </w:tcBorders>
          </w:tcPr>
          <w:p w14:paraId="0A3BACB2" w14:textId="77777777" w:rsidR="00F16216" w:rsidRDefault="00F16216" w:rsidP="00F16216">
            <w:pPr>
              <w:rPr>
                <w:rFonts w:eastAsiaTheme="minorEastAsia"/>
                <w:iCs/>
                <w:sz w:val="20"/>
                <w:szCs w:val="20"/>
              </w:rPr>
            </w:pPr>
          </w:p>
        </w:tc>
      </w:tr>
      <w:tr w:rsidR="00F16216" w14:paraId="6009251E" w14:textId="77777777" w:rsidTr="00C34A02">
        <w:trPr>
          <w:trHeight w:val="396"/>
        </w:trPr>
        <w:tc>
          <w:tcPr>
            <w:tcW w:w="1969" w:type="dxa"/>
            <w:gridSpan w:val="2"/>
            <w:tcBorders>
              <w:top w:val="nil"/>
              <w:left w:val="nil"/>
              <w:bottom w:val="single" w:sz="4" w:space="0" w:color="auto"/>
              <w:right w:val="nil"/>
            </w:tcBorders>
          </w:tcPr>
          <w:p w14:paraId="3C285ABB" w14:textId="77777777" w:rsidR="00F16216" w:rsidRDefault="00F16216" w:rsidP="00F16216">
            <w:pPr>
              <w:rPr>
                <w:rFonts w:eastAsiaTheme="minorEastAsia"/>
                <w:iCs/>
                <w:sz w:val="20"/>
                <w:szCs w:val="20"/>
              </w:rPr>
            </w:pPr>
            <w:r w:rsidRPr="00493B27">
              <w:rPr>
                <w:rFonts w:eastAsiaTheme="minorEastAsia"/>
                <w:iCs/>
                <w:sz w:val="20"/>
                <w:szCs w:val="20"/>
              </w:rPr>
              <w:t>Gradient</w:t>
            </w:r>
            <w:r>
              <w:rPr>
                <w:rFonts w:eastAsiaTheme="minorEastAsia"/>
                <w:iCs/>
                <w:sz w:val="20"/>
                <w:szCs w:val="20"/>
              </w:rPr>
              <w:t xml:space="preserve"> </w:t>
            </w:r>
            <w:r w:rsidRPr="00493B27">
              <w:rPr>
                <w:rFonts w:eastAsiaTheme="minorEastAsia"/>
                <w:iCs/>
                <w:sz w:val="20"/>
                <w:szCs w:val="20"/>
              </w:rPr>
              <w:t>Boosting</w:t>
            </w:r>
          </w:p>
        </w:tc>
        <w:tc>
          <w:tcPr>
            <w:tcW w:w="1901" w:type="dxa"/>
            <w:tcBorders>
              <w:top w:val="nil"/>
              <w:left w:val="nil"/>
              <w:bottom w:val="single" w:sz="4" w:space="0" w:color="auto"/>
              <w:right w:val="nil"/>
            </w:tcBorders>
          </w:tcPr>
          <w:p w14:paraId="732D9E5C" w14:textId="77777777" w:rsidR="00F16216" w:rsidRDefault="00F16216" w:rsidP="00F16216">
            <w:pPr>
              <w:rPr>
                <w:rFonts w:eastAsiaTheme="minorEastAsia"/>
                <w:iCs/>
                <w:sz w:val="20"/>
                <w:szCs w:val="20"/>
              </w:rPr>
            </w:pPr>
            <w:r>
              <w:rPr>
                <w:rFonts w:eastAsiaTheme="minorEastAsia"/>
                <w:iCs/>
                <w:sz w:val="20"/>
                <w:szCs w:val="20"/>
              </w:rPr>
              <w:t>99</w:t>
            </w:r>
          </w:p>
        </w:tc>
        <w:tc>
          <w:tcPr>
            <w:tcW w:w="2037" w:type="dxa"/>
            <w:tcBorders>
              <w:top w:val="nil"/>
              <w:left w:val="nil"/>
              <w:bottom w:val="single" w:sz="4" w:space="0" w:color="auto"/>
              <w:right w:val="nil"/>
            </w:tcBorders>
          </w:tcPr>
          <w:p w14:paraId="382114E0" w14:textId="77777777" w:rsidR="00F16216" w:rsidRDefault="00F16216" w:rsidP="00F16216">
            <w:pPr>
              <w:rPr>
                <w:rFonts w:eastAsiaTheme="minorEastAsia"/>
                <w:iCs/>
                <w:sz w:val="20"/>
                <w:szCs w:val="20"/>
              </w:rPr>
            </w:pPr>
            <w:r>
              <w:rPr>
                <w:rFonts w:eastAsiaTheme="minorEastAsia"/>
                <w:iCs/>
                <w:sz w:val="20"/>
                <w:szCs w:val="20"/>
              </w:rPr>
              <w:t>99</w:t>
            </w:r>
          </w:p>
        </w:tc>
        <w:tc>
          <w:tcPr>
            <w:tcW w:w="1743" w:type="dxa"/>
            <w:tcBorders>
              <w:top w:val="nil"/>
              <w:left w:val="nil"/>
              <w:bottom w:val="single" w:sz="4" w:space="0" w:color="auto"/>
              <w:right w:val="nil"/>
            </w:tcBorders>
          </w:tcPr>
          <w:p w14:paraId="682AAD1D" w14:textId="77777777" w:rsidR="00F16216" w:rsidRDefault="00F16216" w:rsidP="00F16216">
            <w:pPr>
              <w:rPr>
                <w:rFonts w:eastAsiaTheme="minorEastAsia"/>
                <w:iCs/>
                <w:sz w:val="20"/>
                <w:szCs w:val="20"/>
              </w:rPr>
            </w:pPr>
            <w:r>
              <w:rPr>
                <w:rFonts w:eastAsiaTheme="minorEastAsia"/>
                <w:iCs/>
                <w:sz w:val="20"/>
                <w:szCs w:val="20"/>
              </w:rPr>
              <w:t>98.9</w:t>
            </w:r>
          </w:p>
        </w:tc>
        <w:tc>
          <w:tcPr>
            <w:tcW w:w="1170" w:type="dxa"/>
            <w:vMerge/>
            <w:tcBorders>
              <w:top w:val="nil"/>
              <w:left w:val="nil"/>
              <w:bottom w:val="nil"/>
              <w:right w:val="nil"/>
            </w:tcBorders>
          </w:tcPr>
          <w:p w14:paraId="48402646" w14:textId="77777777" w:rsidR="00F16216" w:rsidRDefault="00F16216" w:rsidP="00F16216">
            <w:pPr>
              <w:rPr>
                <w:rFonts w:eastAsiaTheme="minorEastAsia"/>
                <w:iCs/>
                <w:sz w:val="20"/>
                <w:szCs w:val="20"/>
              </w:rPr>
            </w:pPr>
          </w:p>
        </w:tc>
      </w:tr>
    </w:tbl>
    <w:p w14:paraId="59E1D9FF" w14:textId="77777777" w:rsidR="00C54507" w:rsidRDefault="00C54507" w:rsidP="00C54507">
      <w:pPr>
        <w:rPr>
          <w:rFonts w:eastAsiaTheme="minorEastAsia"/>
          <w:iCs/>
          <w:sz w:val="20"/>
          <w:szCs w:val="20"/>
        </w:rPr>
      </w:pPr>
    </w:p>
    <w:p w14:paraId="08D0CF2A" w14:textId="77777777" w:rsidR="00F16216" w:rsidRDefault="00F16216" w:rsidP="00C54507">
      <w:pPr>
        <w:rPr>
          <w:rFonts w:eastAsiaTheme="minorEastAsia"/>
          <w:b/>
          <w:bCs/>
          <w:iCs/>
          <w:sz w:val="28"/>
          <w:szCs w:val="28"/>
        </w:rPr>
      </w:pPr>
    </w:p>
    <w:p w14:paraId="0E34D0DC" w14:textId="77777777" w:rsidR="008F26DE" w:rsidRPr="008F26DE" w:rsidRDefault="008F26DE" w:rsidP="00C54507">
      <w:pPr>
        <w:rPr>
          <w:rFonts w:eastAsiaTheme="minorEastAsia"/>
          <w:b/>
          <w:bCs/>
          <w:iCs/>
          <w:sz w:val="28"/>
          <w:szCs w:val="28"/>
        </w:rPr>
      </w:pPr>
    </w:p>
    <w:p w14:paraId="1B93530F" w14:textId="3B3F30C0" w:rsidR="00880331" w:rsidRPr="008F26DE" w:rsidRDefault="008F26DE" w:rsidP="00C54507">
      <w:pPr>
        <w:rPr>
          <w:rFonts w:eastAsiaTheme="minorEastAsia"/>
          <w:b/>
          <w:bCs/>
          <w:iCs/>
          <w:sz w:val="28"/>
          <w:szCs w:val="28"/>
        </w:rPr>
      </w:pPr>
      <w:r w:rsidRPr="008F26DE">
        <w:rPr>
          <w:rFonts w:eastAsiaTheme="minorEastAsia"/>
          <w:b/>
          <w:bCs/>
          <w:iCs/>
          <w:sz w:val="28"/>
          <w:szCs w:val="28"/>
        </w:rPr>
        <w:t>Supplementary</w:t>
      </w:r>
      <w:r w:rsidR="004E201A">
        <w:rPr>
          <w:rFonts w:eastAsiaTheme="minorEastAsia"/>
          <w:b/>
          <w:bCs/>
          <w:iCs/>
          <w:sz w:val="28"/>
          <w:szCs w:val="28"/>
        </w:rPr>
        <w:t xml:space="preserve"> Figures/Data</w:t>
      </w:r>
    </w:p>
    <w:p w14:paraId="0E6451DF" w14:textId="77777777" w:rsidR="008F26DE" w:rsidRDefault="008F26DE" w:rsidP="008F26DE">
      <w:pPr>
        <w:rPr>
          <w:b/>
          <w:bCs/>
        </w:rPr>
      </w:pPr>
      <w:r>
        <w:rPr>
          <w:noProof/>
        </w:rPr>
        <w:lastRenderedPageBreak/>
        <mc:AlternateContent>
          <mc:Choice Requires="wps">
            <w:drawing>
              <wp:anchor distT="0" distB="0" distL="114300" distR="114300" simplePos="0" relativeHeight="251663360" behindDoc="0" locked="0" layoutInCell="1" allowOverlap="1" wp14:anchorId="10E89544" wp14:editId="45B31118">
                <wp:simplePos x="0" y="0"/>
                <wp:positionH relativeFrom="column">
                  <wp:posOffset>-336608</wp:posOffset>
                </wp:positionH>
                <wp:positionV relativeFrom="paragraph">
                  <wp:posOffset>4471670</wp:posOffset>
                </wp:positionV>
                <wp:extent cx="6552565" cy="635"/>
                <wp:effectExtent l="0" t="0" r="635" b="0"/>
                <wp:wrapTopAndBottom/>
                <wp:docPr id="1393796721" name="Text Box 1"/>
                <wp:cNvGraphicFramePr/>
                <a:graphic xmlns:a="http://schemas.openxmlformats.org/drawingml/2006/main">
                  <a:graphicData uri="http://schemas.microsoft.com/office/word/2010/wordprocessingShape">
                    <wps:wsp>
                      <wps:cNvSpPr txBox="1"/>
                      <wps:spPr>
                        <a:xfrm>
                          <a:off x="0" y="0"/>
                          <a:ext cx="6552565" cy="635"/>
                        </a:xfrm>
                        <a:prstGeom prst="rect">
                          <a:avLst/>
                        </a:prstGeom>
                        <a:solidFill>
                          <a:prstClr val="white"/>
                        </a:solidFill>
                        <a:ln>
                          <a:noFill/>
                        </a:ln>
                      </wps:spPr>
                      <wps:txbx>
                        <w:txbxContent>
                          <w:p w14:paraId="139746D2" w14:textId="77777777" w:rsidR="008F26DE" w:rsidRPr="00F06C16" w:rsidRDefault="008F26DE" w:rsidP="008F26DE">
                            <w:pPr>
                              <w:pStyle w:val="Caption"/>
                              <w:rPr>
                                <w:noProof/>
                                <w:sz w:val="22"/>
                                <w:szCs w:val="22"/>
                              </w:rPr>
                            </w:pPr>
                            <w:r w:rsidRPr="009879EA">
                              <w:rPr>
                                <w:i w:val="0"/>
                                <w:iCs w:val="0"/>
                                <w:color w:val="auto"/>
                                <w:sz w:val="20"/>
                                <w:szCs w:val="20"/>
                              </w:rPr>
                              <w:t>Fig</w:t>
                            </w:r>
                            <w:r>
                              <w:rPr>
                                <w:i w:val="0"/>
                                <w:iCs w:val="0"/>
                                <w:color w:val="auto"/>
                                <w:sz w:val="20"/>
                                <w:szCs w:val="20"/>
                              </w:rPr>
                              <w:t>ure</w:t>
                            </w:r>
                            <w:r w:rsidRPr="009879EA">
                              <w:rPr>
                                <w:i w:val="0"/>
                                <w:iCs w:val="0"/>
                                <w:color w:val="auto"/>
                                <w:sz w:val="20"/>
                                <w:szCs w:val="20"/>
                              </w:rPr>
                              <w:t xml:space="preserve"> S</w:t>
                            </w:r>
                            <w:r w:rsidRPr="009879EA">
                              <w:rPr>
                                <w:i w:val="0"/>
                                <w:iCs w:val="0"/>
                                <w:color w:val="auto"/>
                                <w:sz w:val="20"/>
                                <w:szCs w:val="20"/>
                              </w:rPr>
                              <w:fldChar w:fldCharType="begin"/>
                            </w:r>
                            <w:r w:rsidRPr="009879EA">
                              <w:rPr>
                                <w:i w:val="0"/>
                                <w:iCs w:val="0"/>
                                <w:color w:val="auto"/>
                                <w:sz w:val="20"/>
                                <w:szCs w:val="20"/>
                              </w:rPr>
                              <w:instrText xml:space="preserve"> SEQ Fig. \* ARABIC </w:instrText>
                            </w:r>
                            <w:r w:rsidRPr="009879EA">
                              <w:rPr>
                                <w:i w:val="0"/>
                                <w:iCs w:val="0"/>
                                <w:color w:val="auto"/>
                                <w:sz w:val="20"/>
                                <w:szCs w:val="20"/>
                              </w:rPr>
                              <w:fldChar w:fldCharType="separate"/>
                            </w:r>
                            <w:r>
                              <w:rPr>
                                <w:i w:val="0"/>
                                <w:iCs w:val="0"/>
                                <w:noProof/>
                                <w:color w:val="auto"/>
                                <w:sz w:val="20"/>
                                <w:szCs w:val="20"/>
                              </w:rPr>
                              <w:t>2</w:t>
                            </w:r>
                            <w:r w:rsidRPr="009879EA">
                              <w:rPr>
                                <w:i w:val="0"/>
                                <w:iCs w:val="0"/>
                                <w:color w:val="auto"/>
                                <w:sz w:val="20"/>
                                <w:szCs w:val="20"/>
                              </w:rPr>
                              <w:fldChar w:fldCharType="end"/>
                            </w:r>
                            <w:r w:rsidRPr="009879EA">
                              <w:rPr>
                                <w:i w:val="0"/>
                                <w:iCs w:val="0"/>
                                <w:color w:val="auto"/>
                                <w:sz w:val="20"/>
                                <w:szCs w:val="20"/>
                              </w:rPr>
                              <w:t>:</w:t>
                            </w:r>
                            <w:r w:rsidRPr="009879EA">
                              <w:rPr>
                                <w:color w:val="auto"/>
                              </w:rPr>
                              <w:t xml:space="preserve"> </w:t>
                            </w:r>
                            <w:r w:rsidRPr="009879EA">
                              <w:rPr>
                                <w:i w:val="0"/>
                                <w:iCs w:val="0"/>
                                <w:color w:val="auto"/>
                                <w:sz w:val="20"/>
                                <w:szCs w:val="20"/>
                              </w:rPr>
                              <w:t>Summary of results for scenario 1. Antibody is administered at 1 mg/kg through IV route once every two weeks. Target Occupancy (TO %) is measured in plasma for drug and soluble target interaction. Decision tree classifier is trained for this scenario (top right). Classification report presents the precision, recall, F1-score, and accuracy of non-optimal and optimal class prediction. Receiver operating curve (ROC) and Confusion matrix (bottom right) depicts the model performance of the classifier.</w:t>
                            </w:r>
                            <w:r w:rsidRPr="009879EA">
                              <w:rPr>
                                <w:sz w:val="20"/>
                                <w:szCs w:val="20"/>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0E89544" id="_x0000_t202" coordsize="21600,21600" o:spt="202" path="m,l,21600r21600,l21600,xe">
                <v:stroke joinstyle="miter"/>
                <v:path gradientshapeok="t" o:connecttype="rect"/>
              </v:shapetype>
              <v:shape id="Text Box 1" o:spid="_x0000_s1026" type="#_x0000_t202" style="position:absolute;margin-left:-26.5pt;margin-top:352.1pt;width:515.9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" stroked="f">
                <v:textbox style="mso-fit-shape-to-text:t" inset="0,0,0,0">
                  <w:txbxContent>
                    <w:p w14:paraId="139746D2" w14:textId="77777777" w:rsidR="008F26DE" w:rsidRPr="00F06C16" w:rsidRDefault="008F26DE" w:rsidP="008F26DE">
                      <w:pPr>
                        <w:pStyle w:val="Caption"/>
                        <w:rPr>
                          <w:noProof/>
                          <w:sz w:val="22"/>
                          <w:szCs w:val="22"/>
                        </w:rPr>
                      </w:pPr>
                      <w:r w:rsidRPr="009879EA">
                        <w:rPr>
                          <w:i w:val="0"/>
                          <w:iCs w:val="0"/>
                          <w:color w:val="auto"/>
                          <w:sz w:val="20"/>
                          <w:szCs w:val="20"/>
                        </w:rPr>
                        <w:t>Fig</w:t>
                      </w:r>
                      <w:r>
                        <w:rPr>
                          <w:i w:val="0"/>
                          <w:iCs w:val="0"/>
                          <w:color w:val="auto"/>
                          <w:sz w:val="20"/>
                          <w:szCs w:val="20"/>
                        </w:rPr>
                        <w:t>ure</w:t>
                      </w:r>
                      <w:r w:rsidRPr="009879EA">
                        <w:rPr>
                          <w:i w:val="0"/>
                          <w:iCs w:val="0"/>
                          <w:color w:val="auto"/>
                          <w:sz w:val="20"/>
                          <w:szCs w:val="20"/>
                        </w:rPr>
                        <w:t xml:space="preserve"> S</w:t>
                      </w:r>
                      <w:r w:rsidRPr="009879EA">
                        <w:rPr>
                          <w:i w:val="0"/>
                          <w:iCs w:val="0"/>
                          <w:color w:val="auto"/>
                          <w:sz w:val="20"/>
                          <w:szCs w:val="20"/>
                        </w:rPr>
                        <w:fldChar w:fldCharType="begin"/>
                      </w:r>
                      <w:r w:rsidRPr="009879EA">
                        <w:rPr>
                          <w:i w:val="0"/>
                          <w:iCs w:val="0"/>
                          <w:color w:val="auto"/>
                          <w:sz w:val="20"/>
                          <w:szCs w:val="20"/>
                        </w:rPr>
                        <w:instrText xml:space="preserve"> SEQ Fig. \* ARABIC </w:instrText>
                      </w:r>
                      <w:r w:rsidRPr="009879EA">
                        <w:rPr>
                          <w:i w:val="0"/>
                          <w:iCs w:val="0"/>
                          <w:color w:val="auto"/>
                          <w:sz w:val="20"/>
                          <w:szCs w:val="20"/>
                        </w:rPr>
                        <w:fldChar w:fldCharType="separate"/>
                      </w:r>
                      <w:r>
                        <w:rPr>
                          <w:i w:val="0"/>
                          <w:iCs w:val="0"/>
                          <w:noProof/>
                          <w:color w:val="auto"/>
                          <w:sz w:val="20"/>
                          <w:szCs w:val="20"/>
                        </w:rPr>
                        <w:t>2</w:t>
                      </w:r>
                      <w:r w:rsidRPr="009879EA">
                        <w:rPr>
                          <w:i w:val="0"/>
                          <w:iCs w:val="0"/>
                          <w:color w:val="auto"/>
                          <w:sz w:val="20"/>
                          <w:szCs w:val="20"/>
                        </w:rPr>
                        <w:fldChar w:fldCharType="end"/>
                      </w:r>
                      <w:r w:rsidRPr="009879EA">
                        <w:rPr>
                          <w:i w:val="0"/>
                          <w:iCs w:val="0"/>
                          <w:color w:val="auto"/>
                          <w:sz w:val="20"/>
                          <w:szCs w:val="20"/>
                        </w:rPr>
                        <w:t>:</w:t>
                      </w:r>
                      <w:r w:rsidRPr="009879EA">
                        <w:rPr>
                          <w:color w:val="auto"/>
                        </w:rPr>
                        <w:t xml:space="preserve"> </w:t>
                      </w:r>
                      <w:r w:rsidRPr="009879EA">
                        <w:rPr>
                          <w:i w:val="0"/>
                          <w:iCs w:val="0"/>
                          <w:color w:val="auto"/>
                          <w:sz w:val="20"/>
                          <w:szCs w:val="20"/>
                        </w:rPr>
                        <w:t>Summary of results for scenario 1. Antibody is administered at 1 mg/kg through IV route once every two weeks. Target Occupancy (TO %) is measured in plasma for drug and soluble target interaction. Decision tree classifier is trained for this scenario (top right). Classification report presents the precision, recall, F1-score, and accuracy of non-optimal and optimal class prediction. Receiver operating curve (ROC) and Confusion matrix (bottom right) depicts the model performance of the classifier.</w:t>
                      </w:r>
                      <w:r w:rsidRPr="009879EA">
                        <w:rPr>
                          <w:sz w:val="20"/>
                          <w:szCs w:val="20"/>
                        </w:rPr>
                        <w:t xml:space="preserve"> </w:t>
                      </w:r>
                    </w:p>
                  </w:txbxContent>
                </v:textbox>
                <w10:wrap type="topAndBottom"/>
              </v:shape>
            </w:pict>
          </mc:Fallback>
        </mc:AlternateContent>
      </w:r>
      <w:r>
        <w:rPr>
          <w:noProof/>
        </w:rPr>
        <mc:AlternateContent>
          <mc:Choice Requires="wps">
            <w:drawing>
              <wp:anchor distT="0" distB="0" distL="114300" distR="114300" simplePos="0" relativeHeight="251662336" behindDoc="0" locked="0" layoutInCell="1" allowOverlap="1" wp14:anchorId="01A392D3" wp14:editId="7B44589A">
                <wp:simplePos x="0" y="0"/>
                <wp:positionH relativeFrom="column">
                  <wp:posOffset>-353695</wp:posOffset>
                </wp:positionH>
                <wp:positionV relativeFrom="paragraph">
                  <wp:posOffset>4474845</wp:posOffset>
                </wp:positionV>
                <wp:extent cx="6552565" cy="713105"/>
                <wp:effectExtent l="0" t="0" r="635" b="0"/>
                <wp:wrapTopAndBottom/>
                <wp:docPr id="64827127" name="Text Box 1"/>
                <wp:cNvGraphicFramePr/>
                <a:graphic xmlns:a="http://schemas.openxmlformats.org/drawingml/2006/main">
                  <a:graphicData uri="http://schemas.microsoft.com/office/word/2010/wordprocessingShape">
                    <wps:wsp>
                      <wps:cNvSpPr txBox="1"/>
                      <wps:spPr>
                        <a:xfrm>
                          <a:off x="0" y="0"/>
                          <a:ext cx="6552565" cy="713105"/>
                        </a:xfrm>
                        <a:prstGeom prst="rect">
                          <a:avLst/>
                        </a:prstGeom>
                        <a:solidFill>
                          <a:prstClr val="white"/>
                        </a:solidFill>
                        <a:ln>
                          <a:noFill/>
                        </a:ln>
                      </wps:spPr>
                      <wps:txbx>
                        <w:txbxContent>
                          <w:p w14:paraId="2D848FF3" w14:textId="77777777" w:rsidR="008F26DE" w:rsidRPr="009879EA" w:rsidRDefault="008F26DE" w:rsidP="008F26DE">
                            <w:pPr>
                              <w:pStyle w:val="Caption"/>
                              <w:rPr>
                                <w:b/>
                                <w:bCs/>
                                <w:noProof/>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A392D3" id="_x0000_s1027" type="#_x0000_t202" style="position:absolute;margin-left:-27.85pt;margin-top:352.35pt;width:515.95pt;height:56.1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" stroked="f">
                <v:textbox inset="0,0,0,0">
                  <w:txbxContent>
                    <w:p w14:paraId="2D848FF3" w14:textId="77777777" w:rsidR="008F26DE" w:rsidRPr="009879EA" w:rsidRDefault="008F26DE" w:rsidP="008F26DE">
                      <w:pPr>
                        <w:pStyle w:val="Caption"/>
                        <w:rPr>
                          <w:b/>
                          <w:bCs/>
                          <w:noProof/>
                          <w:sz w:val="20"/>
                          <w:szCs w:val="20"/>
                        </w:rPr>
                      </w:pPr>
                    </w:p>
                  </w:txbxContent>
                </v:textbox>
                <w10:wrap type="topAndBottom"/>
              </v:shape>
            </w:pict>
          </mc:Fallback>
        </mc:AlternateContent>
      </w:r>
      <w:r>
        <w:rPr>
          <w:noProof/>
        </w:rPr>
        <mc:AlternateContent>
          <mc:Choice Requires="wps">
            <w:drawing>
              <wp:anchor distT="0" distB="0" distL="114300" distR="114300" simplePos="0" relativeHeight="251664384" behindDoc="0" locked="0" layoutInCell="1" allowOverlap="1" wp14:anchorId="080815BE" wp14:editId="3936DA8A">
                <wp:simplePos x="0" y="0"/>
                <wp:positionH relativeFrom="column">
                  <wp:posOffset>0</wp:posOffset>
                </wp:positionH>
                <wp:positionV relativeFrom="paragraph">
                  <wp:posOffset>7671435</wp:posOffset>
                </wp:positionV>
                <wp:extent cx="5939155" cy="635"/>
                <wp:effectExtent l="0" t="0" r="0" b="0"/>
                <wp:wrapTopAndBottom/>
                <wp:docPr id="628357457" name="Text Box 1"/>
                <wp:cNvGraphicFramePr/>
                <a:graphic xmlns:a="http://schemas.openxmlformats.org/drawingml/2006/main">
                  <a:graphicData uri="http://schemas.microsoft.com/office/word/2010/wordprocessingShape">
                    <wps:wsp>
                      <wps:cNvSpPr txBox="1"/>
                      <wps:spPr>
                        <a:xfrm>
                          <a:off x="0" y="0"/>
                          <a:ext cx="5939155" cy="635"/>
                        </a:xfrm>
                        <a:prstGeom prst="rect">
                          <a:avLst/>
                        </a:prstGeom>
                        <a:solidFill>
                          <a:prstClr val="white"/>
                        </a:solidFill>
                        <a:ln>
                          <a:noFill/>
                        </a:ln>
                      </wps:spPr>
                      <wps:txbx>
                        <w:txbxContent>
                          <w:p w14:paraId="519336D1" w14:textId="77777777" w:rsidR="008F26DE" w:rsidRPr="002B323E" w:rsidRDefault="008F26DE" w:rsidP="008F26DE">
                            <w:pPr>
                              <w:pStyle w:val="Caption"/>
                              <w:rPr>
                                <w:noProof/>
                                <w:sz w:val="22"/>
                                <w:szCs w:val="22"/>
                              </w:rPr>
                            </w:pPr>
                            <w:r w:rsidRPr="009879EA">
                              <w:rPr>
                                <w:i w:val="0"/>
                                <w:iCs w:val="0"/>
                                <w:color w:val="auto"/>
                                <w:sz w:val="20"/>
                                <w:szCs w:val="20"/>
                              </w:rPr>
                              <w:t>Fig</w:t>
                            </w:r>
                            <w:r>
                              <w:rPr>
                                <w:i w:val="0"/>
                                <w:iCs w:val="0"/>
                                <w:color w:val="auto"/>
                                <w:sz w:val="20"/>
                                <w:szCs w:val="20"/>
                              </w:rPr>
                              <w:t>ure</w:t>
                            </w:r>
                            <w:r w:rsidRPr="009879EA">
                              <w:rPr>
                                <w:i w:val="0"/>
                                <w:iCs w:val="0"/>
                                <w:color w:val="auto"/>
                                <w:sz w:val="20"/>
                                <w:szCs w:val="20"/>
                              </w:rPr>
                              <w:t xml:space="preserve"> S</w:t>
                            </w:r>
                            <w:r w:rsidRPr="009879EA">
                              <w:rPr>
                                <w:i w:val="0"/>
                                <w:iCs w:val="0"/>
                                <w:color w:val="auto"/>
                                <w:sz w:val="20"/>
                                <w:szCs w:val="20"/>
                              </w:rPr>
                              <w:fldChar w:fldCharType="begin"/>
                            </w:r>
                            <w:r w:rsidRPr="009879EA">
                              <w:rPr>
                                <w:i w:val="0"/>
                                <w:iCs w:val="0"/>
                                <w:color w:val="auto"/>
                                <w:sz w:val="20"/>
                                <w:szCs w:val="20"/>
                              </w:rPr>
                              <w:instrText xml:space="preserve"> SEQ Fig. \* ARABIC </w:instrText>
                            </w:r>
                            <w:r w:rsidRPr="009879EA">
                              <w:rPr>
                                <w:i w:val="0"/>
                                <w:iCs w:val="0"/>
                                <w:color w:val="auto"/>
                                <w:sz w:val="20"/>
                                <w:szCs w:val="20"/>
                              </w:rPr>
                              <w:fldChar w:fldCharType="separate"/>
                            </w:r>
                            <w:r>
                              <w:rPr>
                                <w:i w:val="0"/>
                                <w:iCs w:val="0"/>
                                <w:noProof/>
                                <w:color w:val="auto"/>
                                <w:sz w:val="20"/>
                                <w:szCs w:val="20"/>
                              </w:rPr>
                              <w:t>3</w:t>
                            </w:r>
                            <w:r w:rsidRPr="009879EA">
                              <w:rPr>
                                <w:i w:val="0"/>
                                <w:iCs w:val="0"/>
                                <w:color w:val="auto"/>
                                <w:sz w:val="20"/>
                                <w:szCs w:val="20"/>
                              </w:rPr>
                              <w:fldChar w:fldCharType="end"/>
                            </w:r>
                            <w:r w:rsidRPr="009879EA">
                              <w:rPr>
                                <w:i w:val="0"/>
                                <w:iCs w:val="0"/>
                                <w:color w:val="auto"/>
                                <w:sz w:val="20"/>
                                <w:szCs w:val="20"/>
                              </w:rPr>
                              <w:t>: Pairwise scatter plot shows the effect of charge on optimal properties needed for greater than 90% target occupancy</w:t>
                            </w:r>
                            <w:r>
                              <w:rPr>
                                <w:i w:val="0"/>
                                <w:iCs w:val="0"/>
                                <w:color w:val="auto"/>
                                <w:sz w:val="20"/>
                                <w:szCs w:val="2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80815BE" id="_x0000_s1028" type="#_x0000_t202" style="position:absolute;margin-left:0;margin-top:604.05pt;width:467.65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" stroked="f">
                <v:textbox style="mso-fit-shape-to-text:t" inset="0,0,0,0">
                  <w:txbxContent>
                    <w:p w14:paraId="519336D1" w14:textId="77777777" w:rsidR="008F26DE" w:rsidRPr="002B323E" w:rsidRDefault="008F26DE" w:rsidP="008F26DE">
                      <w:pPr>
                        <w:pStyle w:val="Caption"/>
                        <w:rPr>
                          <w:noProof/>
                          <w:sz w:val="22"/>
                          <w:szCs w:val="22"/>
                        </w:rPr>
                      </w:pPr>
                      <w:r w:rsidRPr="009879EA">
                        <w:rPr>
                          <w:i w:val="0"/>
                          <w:iCs w:val="0"/>
                          <w:color w:val="auto"/>
                          <w:sz w:val="20"/>
                          <w:szCs w:val="20"/>
                        </w:rPr>
                        <w:t>Fig</w:t>
                      </w:r>
                      <w:r>
                        <w:rPr>
                          <w:i w:val="0"/>
                          <w:iCs w:val="0"/>
                          <w:color w:val="auto"/>
                          <w:sz w:val="20"/>
                          <w:szCs w:val="20"/>
                        </w:rPr>
                        <w:t>ure</w:t>
                      </w:r>
                      <w:r w:rsidRPr="009879EA">
                        <w:rPr>
                          <w:i w:val="0"/>
                          <w:iCs w:val="0"/>
                          <w:color w:val="auto"/>
                          <w:sz w:val="20"/>
                          <w:szCs w:val="20"/>
                        </w:rPr>
                        <w:t xml:space="preserve"> S</w:t>
                      </w:r>
                      <w:r w:rsidRPr="009879EA">
                        <w:rPr>
                          <w:i w:val="0"/>
                          <w:iCs w:val="0"/>
                          <w:color w:val="auto"/>
                          <w:sz w:val="20"/>
                          <w:szCs w:val="20"/>
                        </w:rPr>
                        <w:fldChar w:fldCharType="begin"/>
                      </w:r>
                      <w:r w:rsidRPr="009879EA">
                        <w:rPr>
                          <w:i w:val="0"/>
                          <w:iCs w:val="0"/>
                          <w:color w:val="auto"/>
                          <w:sz w:val="20"/>
                          <w:szCs w:val="20"/>
                        </w:rPr>
                        <w:instrText xml:space="preserve"> SEQ Fig. \* ARABIC </w:instrText>
                      </w:r>
                      <w:r w:rsidRPr="009879EA">
                        <w:rPr>
                          <w:i w:val="0"/>
                          <w:iCs w:val="0"/>
                          <w:color w:val="auto"/>
                          <w:sz w:val="20"/>
                          <w:szCs w:val="20"/>
                        </w:rPr>
                        <w:fldChar w:fldCharType="separate"/>
                      </w:r>
                      <w:r>
                        <w:rPr>
                          <w:i w:val="0"/>
                          <w:iCs w:val="0"/>
                          <w:noProof/>
                          <w:color w:val="auto"/>
                          <w:sz w:val="20"/>
                          <w:szCs w:val="20"/>
                        </w:rPr>
                        <w:t>3</w:t>
                      </w:r>
                      <w:r w:rsidRPr="009879EA">
                        <w:rPr>
                          <w:i w:val="0"/>
                          <w:iCs w:val="0"/>
                          <w:color w:val="auto"/>
                          <w:sz w:val="20"/>
                          <w:szCs w:val="20"/>
                        </w:rPr>
                        <w:fldChar w:fldCharType="end"/>
                      </w:r>
                      <w:r w:rsidRPr="009879EA">
                        <w:rPr>
                          <w:i w:val="0"/>
                          <w:iCs w:val="0"/>
                          <w:color w:val="auto"/>
                          <w:sz w:val="20"/>
                          <w:szCs w:val="20"/>
                        </w:rPr>
                        <w:t>: Pairwise scatter plot shows the effect of charge on optimal properties needed for greater than 90% target occupancy</w:t>
                      </w:r>
                      <w:r>
                        <w:rPr>
                          <w:i w:val="0"/>
                          <w:iCs w:val="0"/>
                          <w:color w:val="auto"/>
                          <w:sz w:val="20"/>
                          <w:szCs w:val="20"/>
                        </w:rPr>
                        <w:t>.</w:t>
                      </w:r>
                    </w:p>
                  </w:txbxContent>
                </v:textbox>
                <w10:wrap type="topAndBottom"/>
              </v:shape>
            </w:pict>
          </mc:Fallback>
        </mc:AlternateContent>
      </w:r>
      <w:r>
        <w:rPr>
          <w:noProof/>
        </w:rPr>
        <w:drawing>
          <wp:anchor distT="0" distB="0" distL="114300" distR="114300" simplePos="0" relativeHeight="251661312" behindDoc="0" locked="0" layoutInCell="1" allowOverlap="1" wp14:anchorId="086AA2AC" wp14:editId="7DEF5F59">
            <wp:simplePos x="0" y="0"/>
            <wp:positionH relativeFrom="margin">
              <wp:align>right</wp:align>
            </wp:positionH>
            <wp:positionV relativeFrom="paragraph">
              <wp:posOffset>5466850</wp:posOffset>
            </wp:positionV>
            <wp:extent cx="5939155" cy="2147570"/>
            <wp:effectExtent l="0" t="0" r="4445" b="5080"/>
            <wp:wrapTopAndBottom/>
            <wp:docPr id="5" name="Picture 5"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iagram of a graph&#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939155" cy="2147570"/>
                    </a:xfrm>
                    <a:prstGeom prst="rect">
                      <a:avLst/>
                    </a:prstGeom>
                    <a:noFill/>
                    <a:ln>
                      <a:noFill/>
                    </a:ln>
                  </pic:spPr>
                </pic:pic>
              </a:graphicData>
            </a:graphic>
          </wp:anchor>
        </w:drawing>
      </w:r>
      <w:r>
        <w:rPr>
          <w:noProof/>
        </w:rPr>
        <w:drawing>
          <wp:anchor distT="0" distB="0" distL="114300" distR="114300" simplePos="0" relativeHeight="251659264" behindDoc="0" locked="0" layoutInCell="1" allowOverlap="1" wp14:anchorId="6329C261" wp14:editId="5412F68D">
            <wp:simplePos x="0" y="0"/>
            <wp:positionH relativeFrom="margin">
              <wp:posOffset>-350115</wp:posOffset>
            </wp:positionH>
            <wp:positionV relativeFrom="paragraph">
              <wp:posOffset>121</wp:posOffset>
            </wp:positionV>
            <wp:extent cx="6552565" cy="4414520"/>
            <wp:effectExtent l="0" t="0" r="635" b="5080"/>
            <wp:wrapTopAndBottom/>
            <wp:docPr id="2" name="Picture 2"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omputer screen shot of a diagram&#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6552565" cy="44145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A57E60" w14:textId="039AA73F" w:rsidR="008F26DE" w:rsidRDefault="008F26DE" w:rsidP="008F26DE">
      <w:pPr>
        <w:rPr>
          <w:b/>
          <w:bCs/>
        </w:rPr>
      </w:pPr>
      <w:r>
        <w:rPr>
          <w:noProof/>
        </w:rPr>
        <w:lastRenderedPageBreak/>
        <mc:AlternateContent>
          <mc:Choice Requires="wps">
            <w:drawing>
              <wp:anchor distT="0" distB="0" distL="114300" distR="114300" simplePos="0" relativeHeight="251665408" behindDoc="0" locked="0" layoutInCell="1" allowOverlap="1" wp14:anchorId="76896DF7" wp14:editId="114C8868">
                <wp:simplePos x="0" y="0"/>
                <wp:positionH relativeFrom="column">
                  <wp:posOffset>-222885</wp:posOffset>
                </wp:positionH>
                <wp:positionV relativeFrom="paragraph">
                  <wp:posOffset>1753235</wp:posOffset>
                </wp:positionV>
                <wp:extent cx="6393180" cy="635"/>
                <wp:effectExtent l="0" t="0" r="0" b="0"/>
                <wp:wrapTopAndBottom/>
                <wp:docPr id="1969407616" name="Text Box 1"/>
                <wp:cNvGraphicFramePr/>
                <a:graphic xmlns:a="http://schemas.openxmlformats.org/drawingml/2006/main">
                  <a:graphicData uri="http://schemas.microsoft.com/office/word/2010/wordprocessingShape">
                    <wps:wsp>
                      <wps:cNvSpPr txBox="1"/>
                      <wps:spPr>
                        <a:xfrm>
                          <a:off x="0" y="0"/>
                          <a:ext cx="6393180" cy="635"/>
                        </a:xfrm>
                        <a:prstGeom prst="rect">
                          <a:avLst/>
                        </a:prstGeom>
                        <a:solidFill>
                          <a:prstClr val="white"/>
                        </a:solidFill>
                        <a:ln>
                          <a:noFill/>
                        </a:ln>
                      </wps:spPr>
                      <wps:txbx>
                        <w:txbxContent>
                          <w:p w14:paraId="17AACC17" w14:textId="77777777" w:rsidR="008F26DE" w:rsidRPr="009879EA" w:rsidRDefault="008F26DE" w:rsidP="008F26DE">
                            <w:pPr>
                              <w:pStyle w:val="Caption"/>
                              <w:rPr>
                                <w:i w:val="0"/>
                                <w:iCs w:val="0"/>
                                <w:noProof/>
                                <w:color w:val="auto"/>
                                <w:sz w:val="20"/>
                                <w:szCs w:val="20"/>
                              </w:rPr>
                            </w:pPr>
                            <w:r w:rsidRPr="009879EA">
                              <w:rPr>
                                <w:i w:val="0"/>
                                <w:iCs w:val="0"/>
                                <w:color w:val="auto"/>
                                <w:sz w:val="20"/>
                                <w:szCs w:val="20"/>
                              </w:rPr>
                              <w:t>Fig</w:t>
                            </w:r>
                            <w:r>
                              <w:rPr>
                                <w:i w:val="0"/>
                                <w:iCs w:val="0"/>
                                <w:color w:val="auto"/>
                                <w:sz w:val="20"/>
                                <w:szCs w:val="20"/>
                              </w:rPr>
                              <w:t>ure</w:t>
                            </w:r>
                            <w:r w:rsidRPr="009879EA">
                              <w:rPr>
                                <w:i w:val="0"/>
                                <w:iCs w:val="0"/>
                                <w:color w:val="auto"/>
                                <w:sz w:val="20"/>
                                <w:szCs w:val="20"/>
                              </w:rPr>
                              <w:t xml:space="preserve"> S</w:t>
                            </w:r>
                            <w:r w:rsidRPr="009879EA">
                              <w:rPr>
                                <w:i w:val="0"/>
                                <w:iCs w:val="0"/>
                                <w:color w:val="auto"/>
                                <w:sz w:val="20"/>
                                <w:szCs w:val="20"/>
                              </w:rPr>
                              <w:fldChar w:fldCharType="begin"/>
                            </w:r>
                            <w:r w:rsidRPr="009879EA">
                              <w:rPr>
                                <w:i w:val="0"/>
                                <w:iCs w:val="0"/>
                                <w:color w:val="auto"/>
                                <w:sz w:val="20"/>
                                <w:szCs w:val="20"/>
                              </w:rPr>
                              <w:instrText xml:space="preserve"> SEQ Fig. \* ARABIC </w:instrText>
                            </w:r>
                            <w:r w:rsidRPr="009879EA">
                              <w:rPr>
                                <w:i w:val="0"/>
                                <w:iCs w:val="0"/>
                                <w:color w:val="auto"/>
                                <w:sz w:val="20"/>
                                <w:szCs w:val="20"/>
                              </w:rPr>
                              <w:fldChar w:fldCharType="separate"/>
                            </w:r>
                            <w:r w:rsidRPr="009879EA">
                              <w:rPr>
                                <w:i w:val="0"/>
                                <w:iCs w:val="0"/>
                                <w:noProof/>
                                <w:color w:val="auto"/>
                                <w:sz w:val="20"/>
                                <w:szCs w:val="20"/>
                              </w:rPr>
                              <w:t>4</w:t>
                            </w:r>
                            <w:r w:rsidRPr="009879EA">
                              <w:rPr>
                                <w:i w:val="0"/>
                                <w:iCs w:val="0"/>
                                <w:color w:val="auto"/>
                                <w:sz w:val="20"/>
                                <w:szCs w:val="20"/>
                              </w:rPr>
                              <w:fldChar w:fldCharType="end"/>
                            </w:r>
                            <w:r w:rsidRPr="009879EA">
                              <w:rPr>
                                <w:i w:val="0"/>
                                <w:iCs w:val="0"/>
                                <w:color w:val="auto"/>
                                <w:sz w:val="20"/>
                                <w:szCs w:val="20"/>
                              </w:rPr>
                              <w:t>: Summary of results for multi-label classification. Antibody is administered at 1 mg/kg through IV route once every two weeks. Target Occupancy (TO %) is measured in plasma for drug and soluble target interaction. Classification report (middle) presents the precision, recall, F1-score, and accuracy of low TO%, medium TO%, and high TO% class prediction. Confusion matrix (right) depicts the model performance of the classifier</w:t>
                            </w:r>
                            <w:r>
                              <w:rPr>
                                <w:i w:val="0"/>
                                <w:iCs w:val="0"/>
                                <w:color w:val="auto"/>
                                <w:sz w:val="20"/>
                                <w:szCs w:val="2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6896DF7" id="_x0000_s1029" type="#_x0000_t202" style="position:absolute;margin-left:-17.55pt;margin-top:138.05pt;width:503.4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" stroked="f">
                <v:textbox style="mso-fit-shape-to-text:t" inset="0,0,0,0">
                  <w:txbxContent>
                    <w:p w14:paraId="17AACC17" w14:textId="77777777" w:rsidR="008F26DE" w:rsidRPr="009879EA" w:rsidRDefault="008F26DE" w:rsidP="008F26DE">
                      <w:pPr>
                        <w:pStyle w:val="Caption"/>
                        <w:rPr>
                          <w:i w:val="0"/>
                          <w:iCs w:val="0"/>
                          <w:noProof/>
                          <w:color w:val="auto"/>
                          <w:sz w:val="20"/>
                          <w:szCs w:val="20"/>
                        </w:rPr>
                      </w:pPr>
                      <w:r w:rsidRPr="009879EA">
                        <w:rPr>
                          <w:i w:val="0"/>
                          <w:iCs w:val="0"/>
                          <w:color w:val="auto"/>
                          <w:sz w:val="20"/>
                          <w:szCs w:val="20"/>
                        </w:rPr>
                        <w:t>Fig</w:t>
                      </w:r>
                      <w:r>
                        <w:rPr>
                          <w:i w:val="0"/>
                          <w:iCs w:val="0"/>
                          <w:color w:val="auto"/>
                          <w:sz w:val="20"/>
                          <w:szCs w:val="20"/>
                        </w:rPr>
                        <w:t>ure</w:t>
                      </w:r>
                      <w:r w:rsidRPr="009879EA">
                        <w:rPr>
                          <w:i w:val="0"/>
                          <w:iCs w:val="0"/>
                          <w:color w:val="auto"/>
                          <w:sz w:val="20"/>
                          <w:szCs w:val="20"/>
                        </w:rPr>
                        <w:t xml:space="preserve"> S</w:t>
                      </w:r>
                      <w:r w:rsidRPr="009879EA">
                        <w:rPr>
                          <w:i w:val="0"/>
                          <w:iCs w:val="0"/>
                          <w:color w:val="auto"/>
                          <w:sz w:val="20"/>
                          <w:szCs w:val="20"/>
                        </w:rPr>
                        <w:fldChar w:fldCharType="begin"/>
                      </w:r>
                      <w:r w:rsidRPr="009879EA">
                        <w:rPr>
                          <w:i w:val="0"/>
                          <w:iCs w:val="0"/>
                          <w:color w:val="auto"/>
                          <w:sz w:val="20"/>
                          <w:szCs w:val="20"/>
                        </w:rPr>
                        <w:instrText xml:space="preserve"> SEQ Fig. \* ARABIC </w:instrText>
                      </w:r>
                      <w:r w:rsidRPr="009879EA">
                        <w:rPr>
                          <w:i w:val="0"/>
                          <w:iCs w:val="0"/>
                          <w:color w:val="auto"/>
                          <w:sz w:val="20"/>
                          <w:szCs w:val="20"/>
                        </w:rPr>
                        <w:fldChar w:fldCharType="separate"/>
                      </w:r>
                      <w:r w:rsidRPr="009879EA">
                        <w:rPr>
                          <w:i w:val="0"/>
                          <w:iCs w:val="0"/>
                          <w:noProof/>
                          <w:color w:val="auto"/>
                          <w:sz w:val="20"/>
                          <w:szCs w:val="20"/>
                        </w:rPr>
                        <w:t>4</w:t>
                      </w:r>
                      <w:r w:rsidRPr="009879EA">
                        <w:rPr>
                          <w:i w:val="0"/>
                          <w:iCs w:val="0"/>
                          <w:color w:val="auto"/>
                          <w:sz w:val="20"/>
                          <w:szCs w:val="20"/>
                        </w:rPr>
                        <w:fldChar w:fldCharType="end"/>
                      </w:r>
                      <w:r w:rsidRPr="009879EA">
                        <w:rPr>
                          <w:i w:val="0"/>
                          <w:iCs w:val="0"/>
                          <w:color w:val="auto"/>
                          <w:sz w:val="20"/>
                          <w:szCs w:val="20"/>
                        </w:rPr>
                        <w:t>: Summary of results for multi-label classification. Antibody is administered at 1 mg/kg through IV route once every two weeks. Target Occupancy (TO %) is measured in plasma for drug and soluble target interaction. Classification report (middle) presents the precision, recall, F1-score, and accuracy of low TO%, medium TO%, and high TO% class prediction. Confusion matrix (right) depicts the model performance of the classifier</w:t>
                      </w:r>
                      <w:r>
                        <w:rPr>
                          <w:i w:val="0"/>
                          <w:iCs w:val="0"/>
                          <w:color w:val="auto"/>
                          <w:sz w:val="20"/>
                          <w:szCs w:val="20"/>
                        </w:rPr>
                        <w:t>.</w:t>
                      </w:r>
                    </w:p>
                  </w:txbxContent>
                </v:textbox>
                <w10:wrap type="topAndBottom"/>
              </v:shape>
            </w:pict>
          </mc:Fallback>
        </mc:AlternateContent>
      </w:r>
      <w:r>
        <w:rPr>
          <w:noProof/>
        </w:rPr>
        <w:drawing>
          <wp:anchor distT="0" distB="0" distL="114300" distR="114300" simplePos="0" relativeHeight="251660288" behindDoc="0" locked="0" layoutInCell="1" allowOverlap="1" wp14:anchorId="4019B202" wp14:editId="34CEC15B">
            <wp:simplePos x="0" y="0"/>
            <wp:positionH relativeFrom="margin">
              <wp:posOffset>-223111</wp:posOffset>
            </wp:positionH>
            <wp:positionV relativeFrom="paragraph">
              <wp:posOffset>0</wp:posOffset>
            </wp:positionV>
            <wp:extent cx="6393199" cy="1696085"/>
            <wp:effectExtent l="0" t="0" r="7620" b="0"/>
            <wp:wrapTopAndBottom/>
            <wp:docPr id="3" name="Picture 3" descr="A black background with colorful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background with colorful text&#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6393199" cy="16960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EE02B7" w14:textId="5A49DAE5" w:rsidR="008F26DE" w:rsidRPr="00794024" w:rsidRDefault="008F26DE" w:rsidP="008F26DE">
      <w:pPr>
        <w:rPr>
          <w:b/>
          <w:bCs/>
          <w:u w:val="single"/>
        </w:rPr>
      </w:pPr>
      <w:r w:rsidRPr="00794024">
        <w:rPr>
          <w:b/>
          <w:bCs/>
          <w:u w:val="single"/>
        </w:rPr>
        <w:t xml:space="preserve">Optimal rules derived from ML based on </w:t>
      </w:r>
      <w:r w:rsidR="005165B0">
        <w:rPr>
          <w:b/>
          <w:bCs/>
          <w:u w:val="single"/>
        </w:rPr>
        <w:t xml:space="preserve">the </w:t>
      </w:r>
      <w:r w:rsidRPr="00794024">
        <w:rPr>
          <w:b/>
          <w:bCs/>
          <w:u w:val="single"/>
        </w:rPr>
        <w:t>scenario shown in Fig S2</w:t>
      </w:r>
    </w:p>
    <w:p w14:paraId="71EAF826" w14:textId="77777777" w:rsidR="008F26DE" w:rsidRDefault="008F26DE" w:rsidP="008F26DE">
      <w:r>
        <w:br/>
        <w:t>if (KD &lt;= 8.965) and (T0 &lt;= 4.047) and (T0 &lt;= 2.261) and (KD &lt;= 8.503) and (KD &lt;= 7.943) then class: optimal (</w:t>
      </w:r>
      <w:proofErr w:type="spellStart"/>
      <w:r>
        <w:t>proba</w:t>
      </w:r>
      <w:proofErr w:type="spellEnd"/>
      <w:r>
        <w:t>: 99.94%) | based on 3,605 samples</w:t>
      </w:r>
    </w:p>
    <w:p w14:paraId="5E3EC98E" w14:textId="77777777" w:rsidR="008F26DE" w:rsidRDefault="008F26DE" w:rsidP="008F26DE">
      <w:r>
        <w:t>if (KD &gt; 8.965) and (KD &gt; 8.988) then class: non-optimal (</w:t>
      </w:r>
      <w:proofErr w:type="spellStart"/>
      <w:r>
        <w:t>proba</w:t>
      </w:r>
      <w:proofErr w:type="spellEnd"/>
      <w:r>
        <w:t xml:space="preserve">: 100.0%) | based on 2,481 </w:t>
      </w:r>
      <w:proofErr w:type="gramStart"/>
      <w:r>
        <w:t>samples</w:t>
      </w:r>
      <w:proofErr w:type="gramEnd"/>
    </w:p>
    <w:p w14:paraId="29C74140" w14:textId="77777777" w:rsidR="008F26DE" w:rsidRDefault="008F26DE" w:rsidP="008F26DE">
      <w:r>
        <w:t>if (KD &lt;= 8.965) and (T0 &gt; 4.047) and (</w:t>
      </w:r>
      <w:proofErr w:type="spellStart"/>
      <w:r>
        <w:t>thalf</w:t>
      </w:r>
      <w:proofErr w:type="spellEnd"/>
      <w:r>
        <w:t xml:space="preserve"> &lt;= 19.916) and (T0 &gt; 9.114) and (</w:t>
      </w:r>
      <w:proofErr w:type="spellStart"/>
      <w:r>
        <w:t>thalf</w:t>
      </w:r>
      <w:proofErr w:type="spellEnd"/>
      <w:r>
        <w:t xml:space="preserve"> &lt;= 14.208) then class: non-optimal (</w:t>
      </w:r>
      <w:proofErr w:type="spellStart"/>
      <w:r>
        <w:t>proba</w:t>
      </w:r>
      <w:proofErr w:type="spellEnd"/>
      <w:r>
        <w:t>: 100.0%) | based on 1,152 samples</w:t>
      </w:r>
    </w:p>
    <w:p w14:paraId="5C1F06F8" w14:textId="77777777" w:rsidR="008F26DE" w:rsidRDefault="008F26DE" w:rsidP="008F26DE">
      <w:r>
        <w:t>if (KD &lt;= 8.965) and (T0 &gt; 4.047) and (</w:t>
      </w:r>
      <w:proofErr w:type="spellStart"/>
      <w:r>
        <w:t>thalf</w:t>
      </w:r>
      <w:proofErr w:type="spellEnd"/>
      <w:r>
        <w:t xml:space="preserve"> &gt; 19.916) and (T0 &lt;= 92.58) and (</w:t>
      </w:r>
      <w:proofErr w:type="spellStart"/>
      <w:r>
        <w:t>thalf</w:t>
      </w:r>
      <w:proofErr w:type="spellEnd"/>
      <w:r>
        <w:t xml:space="preserve"> &gt; 40.74) then class: optimal (</w:t>
      </w:r>
      <w:proofErr w:type="spellStart"/>
      <w:r>
        <w:t>proba</w:t>
      </w:r>
      <w:proofErr w:type="spellEnd"/>
      <w:r>
        <w:t>: 96.02%) | based on 251 samples</w:t>
      </w:r>
    </w:p>
    <w:p w14:paraId="2D5B4651" w14:textId="77777777" w:rsidR="008F26DE" w:rsidRDefault="008F26DE" w:rsidP="008F26DE">
      <w:r>
        <w:t>if (KD &lt;= 8.965) and (T0 &gt; 4.047) and (</w:t>
      </w:r>
      <w:proofErr w:type="spellStart"/>
      <w:r>
        <w:t>thalf</w:t>
      </w:r>
      <w:proofErr w:type="spellEnd"/>
      <w:r>
        <w:t xml:space="preserve"> &lt;= 19.916) and (T0 &lt;= 9.114) and (</w:t>
      </w:r>
      <w:proofErr w:type="spellStart"/>
      <w:r>
        <w:t>thalf</w:t>
      </w:r>
      <w:proofErr w:type="spellEnd"/>
      <w:r>
        <w:t xml:space="preserve"> &lt;= 5.457) then class: non-optimal (</w:t>
      </w:r>
      <w:proofErr w:type="spellStart"/>
      <w:r>
        <w:t>proba</w:t>
      </w:r>
      <w:proofErr w:type="spellEnd"/>
      <w:r>
        <w:t>: 97.14%) | based on 175 samples</w:t>
      </w:r>
    </w:p>
    <w:p w14:paraId="21A54C52" w14:textId="77777777" w:rsidR="008F26DE" w:rsidRDefault="008F26DE" w:rsidP="008F26DE">
      <w:r>
        <w:t>if (KD &lt;= 8.965) and (T0 &gt; 4.047) and (</w:t>
      </w:r>
      <w:proofErr w:type="spellStart"/>
      <w:r>
        <w:t>thalf</w:t>
      </w:r>
      <w:proofErr w:type="spellEnd"/>
      <w:r>
        <w:t xml:space="preserve"> &gt; 19.916) and (T0 &gt; 92.58) and (</w:t>
      </w:r>
      <w:proofErr w:type="spellStart"/>
      <w:r>
        <w:t>thalf</w:t>
      </w:r>
      <w:proofErr w:type="spellEnd"/>
      <w:r>
        <w:t xml:space="preserve"> &lt;= 137.423) then class: non-optimal (</w:t>
      </w:r>
      <w:proofErr w:type="spellStart"/>
      <w:r>
        <w:t>proba</w:t>
      </w:r>
      <w:proofErr w:type="spellEnd"/>
      <w:r>
        <w:t>: 100.0%) | based on 151 samples</w:t>
      </w:r>
    </w:p>
    <w:p w14:paraId="5D6DB6C9" w14:textId="77777777" w:rsidR="008F26DE" w:rsidRDefault="008F26DE" w:rsidP="008F26DE">
      <w:r>
        <w:t>if (KD &lt;= 8.965) and (T0 &lt;= 4.047) and (T0 &gt; 2.261) and (</w:t>
      </w:r>
      <w:proofErr w:type="spellStart"/>
      <w:r>
        <w:t>thalf</w:t>
      </w:r>
      <w:proofErr w:type="spellEnd"/>
      <w:r>
        <w:t xml:space="preserve"> &gt; 2.182) and (KD &lt;= 7.626) then class: optimal (</w:t>
      </w:r>
      <w:proofErr w:type="spellStart"/>
      <w:r>
        <w:t>proba</w:t>
      </w:r>
      <w:proofErr w:type="spellEnd"/>
      <w:r>
        <w:t>: 100.0%) | based on 136 samples</w:t>
      </w:r>
    </w:p>
    <w:p w14:paraId="550A246B" w14:textId="77777777" w:rsidR="008F26DE" w:rsidRDefault="008F26DE" w:rsidP="008F26DE">
      <w:r>
        <w:t>if (KD &lt;= 8.965) and (T0 &gt; 4.047) and (</w:t>
      </w:r>
      <w:proofErr w:type="spellStart"/>
      <w:r>
        <w:t>thalf</w:t>
      </w:r>
      <w:proofErr w:type="spellEnd"/>
      <w:r>
        <w:t xml:space="preserve"> &gt; 19.916) and (T0 &lt;= 92.58) and (</w:t>
      </w:r>
      <w:proofErr w:type="spellStart"/>
      <w:r>
        <w:t>thalf</w:t>
      </w:r>
      <w:proofErr w:type="spellEnd"/>
      <w:r>
        <w:t xml:space="preserve"> &lt;= 40.74) then class: optimal (</w:t>
      </w:r>
      <w:proofErr w:type="spellStart"/>
      <w:r>
        <w:t>proba</w:t>
      </w:r>
      <w:proofErr w:type="spellEnd"/>
      <w:r>
        <w:t>: 68.76%) | based on 80 samples</w:t>
      </w:r>
    </w:p>
    <w:p w14:paraId="01241031" w14:textId="77777777" w:rsidR="008F26DE" w:rsidRDefault="008F26DE" w:rsidP="008F26DE">
      <w:r>
        <w:t>if (KD &lt;= 8.965) and (T0 &gt; 4.047) and (</w:t>
      </w:r>
      <w:proofErr w:type="spellStart"/>
      <w:r>
        <w:t>thalf</w:t>
      </w:r>
      <w:proofErr w:type="spellEnd"/>
      <w:r>
        <w:t xml:space="preserve"> &lt;= 19.916) and (T0 &gt; 9.114) and (</w:t>
      </w:r>
      <w:proofErr w:type="spellStart"/>
      <w:r>
        <w:t>thalf</w:t>
      </w:r>
      <w:proofErr w:type="spellEnd"/>
      <w:r>
        <w:t xml:space="preserve"> &gt; 14.208) then class: non-optimal (</w:t>
      </w:r>
      <w:proofErr w:type="spellStart"/>
      <w:r>
        <w:t>proba</w:t>
      </w:r>
      <w:proofErr w:type="spellEnd"/>
      <w:r>
        <w:t>: 94.12%) | based on 68 samples</w:t>
      </w:r>
    </w:p>
    <w:p w14:paraId="5F8DC9D1" w14:textId="77777777" w:rsidR="008F26DE" w:rsidRDefault="008F26DE" w:rsidP="008F26DE">
      <w:r>
        <w:t>if (KD &lt;= 8.965) and (T0 &lt;= 4.047) and (T0 &gt; 2.261) and (</w:t>
      </w:r>
      <w:proofErr w:type="spellStart"/>
      <w:r>
        <w:t>thalf</w:t>
      </w:r>
      <w:proofErr w:type="spellEnd"/>
      <w:r>
        <w:t xml:space="preserve"> &lt;= 2.182) and (T0 &gt; 2.628) then class: non-optimal (</w:t>
      </w:r>
      <w:proofErr w:type="spellStart"/>
      <w:r>
        <w:t>proba</w:t>
      </w:r>
      <w:proofErr w:type="spellEnd"/>
      <w:r>
        <w:t>: 88.23%) | based on 68 samples</w:t>
      </w:r>
    </w:p>
    <w:p w14:paraId="5D844299" w14:textId="77777777" w:rsidR="008F26DE" w:rsidRDefault="008F26DE" w:rsidP="008F26DE">
      <w:r>
        <w:t>if (KD &lt;= 8.965) and (T0 &gt; 4.047) and (</w:t>
      </w:r>
      <w:proofErr w:type="spellStart"/>
      <w:r>
        <w:t>thalf</w:t>
      </w:r>
      <w:proofErr w:type="spellEnd"/>
      <w:r>
        <w:t xml:space="preserve"> &gt; 19.916) and (T0 &gt; 92.58) and (</w:t>
      </w:r>
      <w:proofErr w:type="spellStart"/>
      <w:r>
        <w:t>thalf</w:t>
      </w:r>
      <w:proofErr w:type="spellEnd"/>
      <w:r>
        <w:t xml:space="preserve"> &gt; 137.423) then class: non-optimal (</w:t>
      </w:r>
      <w:proofErr w:type="spellStart"/>
      <w:r>
        <w:t>proba</w:t>
      </w:r>
      <w:proofErr w:type="spellEnd"/>
      <w:r>
        <w:t>: 64.99%) | based on 60 samples</w:t>
      </w:r>
    </w:p>
    <w:p w14:paraId="35FBCD8F" w14:textId="369B13DC" w:rsidR="008F26DE" w:rsidRDefault="008F26DE" w:rsidP="008F26DE">
      <w:r>
        <w:lastRenderedPageBreak/>
        <w:t>if (KD 8.965) and (T0 &lt;= 4.047) and (T0 &gt; 2.261) and (</w:t>
      </w:r>
      <w:proofErr w:type="spellStart"/>
      <w:r>
        <w:t>thalf</w:t>
      </w:r>
      <w:proofErr w:type="spellEnd"/>
      <w:r>
        <w:t xml:space="preserve"> &lt;= 2.182) and (T0 &lt;= 2.628) then class: optimal (</w:t>
      </w:r>
      <w:proofErr w:type="spellStart"/>
      <w:r>
        <w:t>proba</w:t>
      </w:r>
      <w:proofErr w:type="spellEnd"/>
      <w:r>
        <w:t>: 64.45%) | based on 45 samples</w:t>
      </w:r>
    </w:p>
    <w:p w14:paraId="1809C8F5" w14:textId="77777777" w:rsidR="008F26DE" w:rsidRDefault="008F26DE" w:rsidP="008F26DE">
      <w:r>
        <w:t>if (KD &lt;= 8.965) and (T0 &gt; 4.047) and (</w:t>
      </w:r>
      <w:proofErr w:type="spellStart"/>
      <w:r>
        <w:t>thalf</w:t>
      </w:r>
      <w:proofErr w:type="spellEnd"/>
      <w:r>
        <w:t xml:space="preserve"> &lt;= 19.916) and (T0 &lt;= 9.114) and (</w:t>
      </w:r>
      <w:proofErr w:type="spellStart"/>
      <w:r>
        <w:t>thalf</w:t>
      </w:r>
      <w:proofErr w:type="spellEnd"/>
      <w:r>
        <w:t xml:space="preserve"> &gt; 5.457) then class: optimal (</w:t>
      </w:r>
      <w:proofErr w:type="spellStart"/>
      <w:r>
        <w:t>proba</w:t>
      </w:r>
      <w:proofErr w:type="spellEnd"/>
      <w:r>
        <w:t>: 90.7%) | based on 43 samples</w:t>
      </w:r>
    </w:p>
    <w:p w14:paraId="4A6F28F5" w14:textId="76559D7C" w:rsidR="008F26DE" w:rsidRDefault="008F26DE" w:rsidP="008F26DE">
      <w:r>
        <w:t xml:space="preserve">if (KD &lt;= 8.965) and (T0 &lt;= 4.047) and (T0 &lt;= 2.261) and (KD &lt;= 8.503) and (KD &gt; 7.943) then class: </w:t>
      </w:r>
      <w:proofErr w:type="spellStart"/>
      <w:r>
        <w:t>opti</w:t>
      </w:r>
      <w:proofErr w:type="spellEnd"/>
      <w:r w:rsidR="00363C05">
        <w:t xml:space="preserve">&lt;= </w:t>
      </w:r>
      <w:r>
        <w:t>mal (</w:t>
      </w:r>
      <w:proofErr w:type="spellStart"/>
      <w:r>
        <w:t>proba</w:t>
      </w:r>
      <w:proofErr w:type="spellEnd"/>
      <w:r>
        <w:t>: 92.0%) | based on 25 samples</w:t>
      </w:r>
    </w:p>
    <w:p w14:paraId="2583238F" w14:textId="77777777" w:rsidR="008F26DE" w:rsidRDefault="008F26DE" w:rsidP="008F26DE">
      <w:r>
        <w:t>if (KD &lt;= 8.965) and (T0 &lt;= 4.047) and (T0 &lt;= 2.261) and (KD &gt; 8.503) and (T0 &lt;= 0.28) then class: optimal (</w:t>
      </w:r>
      <w:proofErr w:type="spellStart"/>
      <w:r>
        <w:t>proba</w:t>
      </w:r>
      <w:proofErr w:type="spellEnd"/>
      <w:r>
        <w:t>: 100.0%) | based on 18 samples</w:t>
      </w:r>
    </w:p>
    <w:p w14:paraId="32F7F5A6" w14:textId="77777777" w:rsidR="008F26DE" w:rsidRDefault="008F26DE" w:rsidP="008F26DE">
      <w:r>
        <w:t>if (KD &lt;= 8.965) and (T0 &lt;= 4.047) and (T0 &lt;= 2.261) and (KD &gt; 8.503) and (T0 &gt; 0.28) then class: non-optimal (</w:t>
      </w:r>
      <w:proofErr w:type="spellStart"/>
      <w:r>
        <w:t>proba</w:t>
      </w:r>
      <w:proofErr w:type="spellEnd"/>
      <w:r>
        <w:t>: 100.0%) | based on 6 samples</w:t>
      </w:r>
    </w:p>
    <w:p w14:paraId="6D97ACD4" w14:textId="77777777" w:rsidR="008F26DE" w:rsidRDefault="008F26DE" w:rsidP="008F26DE">
      <w:r>
        <w:t>if (KD &lt;= 8.965) and (T0 &lt;= 4.047) and (T0 &gt; 2.261) and (</w:t>
      </w:r>
      <w:proofErr w:type="spellStart"/>
      <w:r>
        <w:t>thalf</w:t>
      </w:r>
      <w:proofErr w:type="spellEnd"/>
      <w:r>
        <w:t xml:space="preserve"> &gt; 2.182) and (KD &gt; 7.626) then class: optimal (</w:t>
      </w:r>
      <w:proofErr w:type="spellStart"/>
      <w:r>
        <w:t>proba</w:t>
      </w:r>
      <w:proofErr w:type="spellEnd"/>
      <w:r>
        <w:t>: 50.01%) | based on 2 samples</w:t>
      </w:r>
    </w:p>
    <w:p w14:paraId="6ECE44D0" w14:textId="77777777" w:rsidR="008F26DE" w:rsidRPr="00794024" w:rsidRDefault="008F26DE" w:rsidP="008F26DE">
      <w:pPr>
        <w:rPr>
          <w:b/>
          <w:bCs/>
          <w:u w:val="single"/>
        </w:rPr>
      </w:pPr>
      <w:r w:rsidRPr="00794024">
        <w:rPr>
          <w:b/>
          <w:bCs/>
          <w:u w:val="single"/>
        </w:rPr>
        <w:t>Calculation of target occupancy (TO%)</w:t>
      </w:r>
    </w:p>
    <w:p w14:paraId="7A32CCE1" w14:textId="77777777" w:rsidR="008F26DE" w:rsidRDefault="00000000" w:rsidP="008F26DE">
      <w:pPr>
        <w:rPr>
          <w:rFonts w:eastAsiaTheme="minorEastAsia"/>
          <w:iCs/>
          <w:sz w:val="20"/>
          <w:szCs w:val="20"/>
        </w:rPr>
      </w:pPr>
      <m:oMath>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TO</m:t>
            </m:r>
          </m:e>
          <m:sub>
            <m:r>
              <m:rPr>
                <m:sty m:val="p"/>
              </m:rPr>
              <w:rPr>
                <w:rFonts w:ascii="Cambria Math" w:eastAsiaTheme="minorEastAsia" w:hAnsi="Cambria Math"/>
                <w:sz w:val="24"/>
                <w:szCs w:val="24"/>
              </w:rPr>
              <m:t>p</m:t>
            </m:r>
          </m:sub>
        </m:sSub>
        <m:r>
          <m:rPr>
            <m:sty m:val="p"/>
          </m:rPr>
          <w:rPr>
            <w:rFonts w:ascii="Cambria Math" w:eastAsiaTheme="minorEastAsia" w:hAnsi="Cambria Math"/>
            <w:sz w:val="24"/>
            <w:szCs w:val="24"/>
          </w:rPr>
          <m:t xml:space="preserve"> </m:t>
        </m:r>
        <m:d>
          <m:dPr>
            <m:ctrlPr>
              <w:rPr>
                <w:rFonts w:ascii="Cambria Math" w:eastAsiaTheme="minorEastAsia" w:hAnsi="Cambria Math"/>
                <w:sz w:val="24"/>
                <w:szCs w:val="24"/>
              </w:rPr>
            </m:ctrlPr>
          </m:dPr>
          <m:e>
            <m:r>
              <m:rPr>
                <m:sty m:val="p"/>
              </m:rPr>
              <w:rPr>
                <w:rFonts w:ascii="Cambria Math" w:eastAsiaTheme="minorEastAsia" w:hAnsi="Cambria Math"/>
                <w:sz w:val="24"/>
                <w:szCs w:val="24"/>
              </w:rPr>
              <m:t>%</m:t>
            </m:r>
          </m:e>
        </m:d>
        <m:r>
          <m:rPr>
            <m:sty m:val="p"/>
          </m:rPr>
          <w:rPr>
            <w:rFonts w:ascii="Cambria Math" w:eastAsiaTheme="minorEastAsia" w:hAnsi="Cambria Math"/>
            <w:sz w:val="24"/>
            <w:szCs w:val="24"/>
          </w:rPr>
          <m:t>=</m:t>
        </m:r>
        <m:f>
          <m:fPr>
            <m:ctrlPr>
              <w:rPr>
                <w:rFonts w:ascii="Cambria Math" w:eastAsiaTheme="minorEastAsia" w:hAnsi="Cambria Math"/>
                <w:sz w:val="24"/>
                <w:szCs w:val="24"/>
              </w:rPr>
            </m:ctrlPr>
          </m:fPr>
          <m:num>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C</m:t>
                </m:r>
              </m:e>
              <m:sub>
                <m:r>
                  <m:rPr>
                    <m:sty m:val="p"/>
                  </m:rPr>
                  <w:rPr>
                    <w:rFonts w:ascii="Cambria Math" w:eastAsiaTheme="minorEastAsia" w:hAnsi="Cambria Math"/>
                    <w:sz w:val="24"/>
                    <w:szCs w:val="24"/>
                  </w:rPr>
                  <m:t>p,ATC</m:t>
                </m:r>
              </m:sub>
            </m:sSub>
          </m:num>
          <m:den>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C</m:t>
                </m:r>
              </m:e>
              <m:sub>
                <m:r>
                  <m:rPr>
                    <m:sty m:val="p"/>
                  </m:rPr>
                  <w:rPr>
                    <w:rFonts w:ascii="Cambria Math" w:eastAsiaTheme="minorEastAsia" w:hAnsi="Cambria Math"/>
                    <w:sz w:val="24"/>
                    <w:szCs w:val="24"/>
                  </w:rPr>
                  <m:t>p,ATC</m:t>
                </m:r>
              </m:sub>
            </m:sSub>
            <m:r>
              <m:rPr>
                <m:sty m:val="p"/>
              </m:rPr>
              <w:rPr>
                <w:rFonts w:ascii="Cambria Math" w:eastAsiaTheme="minorEastAsia" w:hAnsi="Cambria Math"/>
                <w:sz w:val="24"/>
                <w:szCs w:val="24"/>
              </w:rPr>
              <m:t>+</m:t>
            </m:r>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C</m:t>
                </m:r>
              </m:e>
              <m:sub>
                <m:r>
                  <m:rPr>
                    <m:sty m:val="p"/>
                  </m:rPr>
                  <w:rPr>
                    <w:rFonts w:ascii="Cambria Math" w:eastAsiaTheme="minorEastAsia" w:hAnsi="Cambria Math"/>
                    <w:sz w:val="24"/>
                    <w:szCs w:val="24"/>
                  </w:rPr>
                  <m:t>p,T</m:t>
                </m:r>
              </m:sub>
            </m:sSub>
          </m:den>
        </m:f>
      </m:oMath>
      <w:r w:rsidR="008F26DE" w:rsidRPr="00783A56">
        <w:rPr>
          <w:rFonts w:eastAsiaTheme="minorEastAsia"/>
          <w:iCs/>
          <w:sz w:val="24"/>
          <w:szCs w:val="24"/>
        </w:rPr>
        <w:tab/>
      </w:r>
      <w:r w:rsidR="008F26DE">
        <w:rPr>
          <w:rFonts w:eastAsiaTheme="minorEastAsia"/>
          <w:iCs/>
          <w:sz w:val="20"/>
          <w:szCs w:val="20"/>
        </w:rPr>
        <w:tab/>
      </w:r>
      <w:r w:rsidR="008F26DE">
        <w:rPr>
          <w:rFonts w:eastAsiaTheme="minorEastAsia"/>
          <w:iCs/>
          <w:sz w:val="20"/>
          <w:szCs w:val="20"/>
        </w:rPr>
        <w:tab/>
      </w:r>
      <w:r w:rsidR="008F26DE">
        <w:rPr>
          <w:rFonts w:eastAsiaTheme="minorEastAsia"/>
          <w:iCs/>
          <w:sz w:val="20"/>
          <w:szCs w:val="20"/>
        </w:rPr>
        <w:tab/>
      </w:r>
      <w:r w:rsidR="008F26DE">
        <w:rPr>
          <w:rFonts w:eastAsiaTheme="minorEastAsia"/>
          <w:iCs/>
          <w:sz w:val="20"/>
          <w:szCs w:val="20"/>
        </w:rPr>
        <w:tab/>
      </w:r>
      <w:r w:rsidR="008F26DE">
        <w:rPr>
          <w:rFonts w:eastAsiaTheme="minorEastAsia"/>
          <w:iCs/>
          <w:sz w:val="20"/>
          <w:szCs w:val="20"/>
        </w:rPr>
        <w:tab/>
      </w:r>
      <w:r w:rsidR="008F26DE">
        <w:rPr>
          <w:rFonts w:eastAsiaTheme="minorEastAsia"/>
          <w:iCs/>
          <w:sz w:val="20"/>
          <w:szCs w:val="20"/>
        </w:rPr>
        <w:tab/>
      </w:r>
      <w:r w:rsidR="008F26DE">
        <w:rPr>
          <w:rFonts w:eastAsiaTheme="minorEastAsia"/>
          <w:iCs/>
          <w:sz w:val="20"/>
          <w:szCs w:val="20"/>
        </w:rPr>
        <w:tab/>
      </w:r>
      <w:r w:rsidR="008F26DE">
        <w:rPr>
          <w:rFonts w:eastAsiaTheme="minorEastAsia"/>
          <w:iCs/>
          <w:sz w:val="20"/>
          <w:szCs w:val="20"/>
        </w:rPr>
        <w:tab/>
      </w:r>
      <w:r w:rsidR="008F26DE" w:rsidRPr="00EA22DC">
        <w:rPr>
          <w:rFonts w:eastAsiaTheme="minorEastAsia"/>
          <w:iCs/>
        </w:rPr>
        <w:t>(S1)</w:t>
      </w:r>
    </w:p>
    <w:p w14:paraId="09EAD48B" w14:textId="467D6958" w:rsidR="008F26DE" w:rsidRPr="00C0064E" w:rsidRDefault="005165B0" w:rsidP="008F26DE">
      <w:pPr>
        <w:rPr>
          <w:rFonts w:eastAsiaTheme="minorEastAsia"/>
        </w:rPr>
      </w:pPr>
      <w:r w:rsidRPr="00C0064E">
        <w:rPr>
          <w:rFonts w:eastAsiaTheme="minorEastAsia"/>
          <w:iCs/>
        </w:rPr>
        <w:t>w</w:t>
      </w:r>
      <w:r w:rsidR="008F26DE" w:rsidRPr="00C0064E">
        <w:rPr>
          <w:rFonts w:eastAsiaTheme="minorEastAsia"/>
          <w:iCs/>
        </w:rPr>
        <w:t xml:space="preserve">here </w:t>
      </w:r>
      <m:oMath>
        <m:r>
          <m:rPr>
            <m:sty m:val="p"/>
          </m:rPr>
          <w:rPr>
            <w:rFonts w:ascii="Cambria Math" w:eastAsiaTheme="minorEastAsia" w:hAnsi="Cambria Math"/>
          </w:rPr>
          <m:t xml:space="preserve">TO </m:t>
        </m:r>
        <m:d>
          <m:dPr>
            <m:ctrlPr>
              <w:rPr>
                <w:rFonts w:ascii="Cambria Math" w:eastAsiaTheme="minorEastAsia" w:hAnsi="Cambria Math"/>
              </w:rPr>
            </m:ctrlPr>
          </m:dPr>
          <m:e>
            <m:r>
              <m:rPr>
                <m:sty m:val="p"/>
              </m:rPr>
              <w:rPr>
                <w:rFonts w:ascii="Cambria Math" w:eastAsiaTheme="minorEastAsia" w:hAnsi="Cambria Math"/>
              </w:rPr>
              <m:t>%</m:t>
            </m:r>
          </m:e>
        </m:d>
      </m:oMath>
      <w:r w:rsidR="008F26DE" w:rsidRPr="00C0064E">
        <w:rPr>
          <w:rFonts w:eastAsiaTheme="minorEastAsia"/>
        </w:rPr>
        <w:t xml:space="preserve"> is the target occupancy % in plasma, </w:t>
      </w:r>
      <m:oMath>
        <m:sSub>
          <m:sSubPr>
            <m:ctrlPr>
              <w:rPr>
                <w:rFonts w:ascii="Cambria Math" w:eastAsiaTheme="minorEastAsia" w:hAnsi="Cambria Math"/>
              </w:rPr>
            </m:ctrlPr>
          </m:sSubPr>
          <m:e>
            <m:r>
              <m:rPr>
                <m:sty m:val="p"/>
              </m:rPr>
              <w:rPr>
                <w:rFonts w:ascii="Cambria Math" w:eastAsiaTheme="minorEastAsia" w:hAnsi="Cambria Math"/>
              </w:rPr>
              <m:t>C</m:t>
            </m:r>
          </m:e>
          <m:sub>
            <m:r>
              <m:rPr>
                <m:sty m:val="p"/>
              </m:rPr>
              <w:rPr>
                <w:rFonts w:ascii="Cambria Math" w:eastAsiaTheme="minorEastAsia" w:hAnsi="Cambria Math"/>
              </w:rPr>
              <m:t>ATC</m:t>
            </m:r>
          </m:sub>
        </m:sSub>
      </m:oMath>
      <w:r w:rsidR="008F26DE" w:rsidRPr="00C0064E">
        <w:rPr>
          <w:rFonts w:eastAsiaTheme="minorEastAsia"/>
        </w:rPr>
        <w:t xml:space="preserve"> is </w:t>
      </w:r>
      <w:r w:rsidR="00C0064E" w:rsidRPr="00C0064E">
        <w:rPr>
          <w:rFonts w:eastAsiaTheme="minorEastAsia"/>
        </w:rPr>
        <w:t xml:space="preserve">the </w:t>
      </w:r>
      <w:r w:rsidR="008F26DE" w:rsidRPr="00C0064E">
        <w:rPr>
          <w:rFonts w:eastAsiaTheme="minorEastAsia"/>
        </w:rPr>
        <w:t xml:space="preserve">concentration of drug-target complex in plasma and </w:t>
      </w:r>
      <m:oMath>
        <m:sSub>
          <m:sSubPr>
            <m:ctrlPr>
              <w:rPr>
                <w:rFonts w:ascii="Cambria Math" w:eastAsiaTheme="minorEastAsia" w:hAnsi="Cambria Math"/>
              </w:rPr>
            </m:ctrlPr>
          </m:sSubPr>
          <m:e>
            <m:r>
              <m:rPr>
                <m:sty m:val="p"/>
              </m:rPr>
              <w:rPr>
                <w:rFonts w:ascii="Cambria Math" w:eastAsiaTheme="minorEastAsia" w:hAnsi="Cambria Math"/>
              </w:rPr>
              <m:t>C</m:t>
            </m:r>
          </m:e>
          <m:sub>
            <m:r>
              <m:rPr>
                <m:sty m:val="p"/>
              </m:rPr>
              <w:rPr>
                <w:rFonts w:ascii="Cambria Math" w:eastAsiaTheme="minorEastAsia" w:hAnsi="Cambria Math"/>
              </w:rPr>
              <m:t>p,T</m:t>
            </m:r>
          </m:sub>
        </m:sSub>
      </m:oMath>
      <w:r w:rsidR="008F26DE" w:rsidRPr="00C0064E">
        <w:rPr>
          <w:rFonts w:eastAsiaTheme="minorEastAsia"/>
        </w:rPr>
        <w:t xml:space="preserve"> is the concentration of target in plasma.</w:t>
      </w:r>
    </w:p>
    <w:p w14:paraId="506ADA09" w14:textId="77777777" w:rsidR="00880331" w:rsidRDefault="00880331" w:rsidP="00C54507">
      <w:pPr>
        <w:rPr>
          <w:rFonts w:eastAsiaTheme="minorEastAsia"/>
          <w:iCs/>
          <w:sz w:val="20"/>
          <w:szCs w:val="20"/>
        </w:rPr>
      </w:pPr>
    </w:p>
    <w:p w14:paraId="166D16E2" w14:textId="77777777" w:rsidR="008F26DE" w:rsidRDefault="008F26DE" w:rsidP="00C54507">
      <w:pPr>
        <w:rPr>
          <w:rFonts w:eastAsiaTheme="minorEastAsia"/>
          <w:iCs/>
          <w:sz w:val="20"/>
          <w:szCs w:val="20"/>
        </w:rPr>
      </w:pPr>
    </w:p>
    <w:p w14:paraId="72A61BE0" w14:textId="77777777" w:rsidR="008F26DE" w:rsidRDefault="008F26DE" w:rsidP="00C54507">
      <w:pPr>
        <w:rPr>
          <w:rFonts w:eastAsiaTheme="minorEastAsia"/>
          <w:iCs/>
          <w:sz w:val="20"/>
          <w:szCs w:val="20"/>
        </w:rPr>
      </w:pPr>
    </w:p>
    <w:p w14:paraId="2EF6AAA3" w14:textId="77777777" w:rsidR="008F26DE" w:rsidRDefault="008F26DE" w:rsidP="00C54507">
      <w:pPr>
        <w:rPr>
          <w:rFonts w:eastAsiaTheme="minorEastAsia"/>
          <w:iCs/>
          <w:sz w:val="20"/>
          <w:szCs w:val="20"/>
        </w:rPr>
      </w:pPr>
    </w:p>
    <w:p w14:paraId="4DEA36F1" w14:textId="77777777" w:rsidR="008F26DE" w:rsidRDefault="008F26DE" w:rsidP="00C54507">
      <w:pPr>
        <w:rPr>
          <w:rFonts w:eastAsiaTheme="minorEastAsia"/>
          <w:iCs/>
          <w:sz w:val="20"/>
          <w:szCs w:val="20"/>
        </w:rPr>
      </w:pPr>
    </w:p>
    <w:p w14:paraId="24686B70" w14:textId="77777777" w:rsidR="008F26DE" w:rsidRDefault="008F26DE" w:rsidP="00C54507">
      <w:pPr>
        <w:rPr>
          <w:rFonts w:eastAsiaTheme="minorEastAsia"/>
          <w:iCs/>
          <w:sz w:val="20"/>
          <w:szCs w:val="20"/>
        </w:rPr>
      </w:pPr>
    </w:p>
    <w:p w14:paraId="59BE6E50" w14:textId="77777777" w:rsidR="008F26DE" w:rsidRDefault="008F26DE" w:rsidP="00C54507">
      <w:pPr>
        <w:rPr>
          <w:rFonts w:eastAsiaTheme="minorEastAsia"/>
          <w:iCs/>
          <w:sz w:val="20"/>
          <w:szCs w:val="20"/>
        </w:rPr>
      </w:pPr>
    </w:p>
    <w:p w14:paraId="36E51462" w14:textId="77777777" w:rsidR="00880331" w:rsidRDefault="00880331" w:rsidP="00C54507">
      <w:pPr>
        <w:rPr>
          <w:rFonts w:eastAsiaTheme="minorEastAsia"/>
          <w:iCs/>
          <w:sz w:val="20"/>
          <w:szCs w:val="20"/>
        </w:rPr>
      </w:pPr>
    </w:p>
    <w:p w14:paraId="2F2C6433" w14:textId="77777777" w:rsidR="00880331" w:rsidRDefault="00880331" w:rsidP="00C54507">
      <w:pPr>
        <w:rPr>
          <w:rFonts w:eastAsiaTheme="minorEastAsia"/>
          <w:iCs/>
          <w:sz w:val="20"/>
          <w:szCs w:val="20"/>
        </w:rPr>
      </w:pPr>
    </w:p>
    <w:p w14:paraId="66262662" w14:textId="77777777" w:rsidR="00880331" w:rsidRDefault="00880331" w:rsidP="00C54507">
      <w:pPr>
        <w:rPr>
          <w:rFonts w:eastAsiaTheme="minorEastAsia"/>
          <w:iCs/>
          <w:sz w:val="20"/>
          <w:szCs w:val="20"/>
        </w:rPr>
      </w:pPr>
    </w:p>
    <w:p w14:paraId="42DAF732" w14:textId="77777777" w:rsidR="00880331" w:rsidRDefault="00880331" w:rsidP="00C54507">
      <w:pPr>
        <w:rPr>
          <w:rFonts w:eastAsiaTheme="minorEastAsia"/>
          <w:iCs/>
          <w:sz w:val="20"/>
          <w:szCs w:val="20"/>
        </w:rPr>
      </w:pPr>
    </w:p>
    <w:p w14:paraId="67182FE7" w14:textId="77777777" w:rsidR="00880331" w:rsidRDefault="00880331" w:rsidP="00C54507">
      <w:pPr>
        <w:rPr>
          <w:rFonts w:eastAsiaTheme="minorEastAsia"/>
          <w:iCs/>
          <w:sz w:val="20"/>
          <w:szCs w:val="20"/>
        </w:rPr>
      </w:pPr>
    </w:p>
    <w:p w14:paraId="672C0A57" w14:textId="77777777" w:rsidR="00880331" w:rsidRDefault="00880331" w:rsidP="00C54507">
      <w:pPr>
        <w:rPr>
          <w:rFonts w:eastAsiaTheme="minorEastAsia"/>
          <w:iCs/>
          <w:sz w:val="20"/>
          <w:szCs w:val="20"/>
        </w:rPr>
      </w:pPr>
    </w:p>
    <w:p w14:paraId="46D3F59F" w14:textId="77777777" w:rsidR="00F16216" w:rsidRDefault="00F16216" w:rsidP="00C54507">
      <w:pPr>
        <w:rPr>
          <w:rFonts w:eastAsiaTheme="minorEastAsia"/>
          <w:iCs/>
          <w:sz w:val="20"/>
          <w:szCs w:val="20"/>
        </w:rPr>
      </w:pPr>
    </w:p>
    <w:p w14:paraId="4A9C90B2" w14:textId="77777777" w:rsidR="00F16216" w:rsidRDefault="00F16216" w:rsidP="00C54507">
      <w:pPr>
        <w:rPr>
          <w:rFonts w:eastAsiaTheme="minorEastAsia"/>
          <w:iCs/>
          <w:sz w:val="20"/>
          <w:szCs w:val="20"/>
        </w:rPr>
      </w:pPr>
    </w:p>
    <w:sdt>
      <w:sdtPr>
        <w:rPr>
          <w:rFonts w:asciiTheme="minorHAnsi" w:eastAsiaTheme="minorHAnsi" w:hAnsiTheme="minorHAnsi" w:cstheme="minorBidi"/>
          <w:color w:val="auto"/>
          <w:sz w:val="28"/>
          <w:szCs w:val="28"/>
        </w:rPr>
        <w:id w:val="-26875672"/>
        <w:docPartObj>
          <w:docPartGallery w:val="Bibliographies"/>
          <w:docPartUnique/>
        </w:docPartObj>
      </w:sdtPr>
      <w:sdtEndPr>
        <w:rPr>
          <w:sz w:val="22"/>
          <w:szCs w:val="22"/>
        </w:rPr>
      </w:sdtEndPr>
      <w:sdtContent>
        <w:p w14:paraId="0359348D" w14:textId="2B052399" w:rsidR="0029140E" w:rsidRPr="00363C05" w:rsidRDefault="0029140E">
          <w:pPr>
            <w:pStyle w:val="Heading1"/>
            <w:rPr>
              <w:color w:val="auto"/>
              <w:sz w:val="28"/>
              <w:szCs w:val="28"/>
            </w:rPr>
          </w:pPr>
          <w:r w:rsidRPr="00363C05">
            <w:rPr>
              <w:color w:val="auto"/>
              <w:sz w:val="28"/>
              <w:szCs w:val="28"/>
            </w:rPr>
            <w:t>References</w:t>
          </w:r>
        </w:p>
        <w:sdt>
          <w:sdtPr>
            <w:id w:val="-573587230"/>
            <w:bibliography/>
          </w:sdtPr>
          <w:sdtContent>
            <w:p w14:paraId="1923EB91" w14:textId="77777777" w:rsidR="009A6058" w:rsidRDefault="0029140E">
              <w:pPr>
                <w:rPr>
                  <w:noProof/>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33"/>
                <w:gridCol w:w="8927"/>
              </w:tblGrid>
              <w:tr w:rsidR="009A6058" w14:paraId="094B072B" w14:textId="77777777">
                <w:trPr>
                  <w:divId w:val="1495100962"/>
                  <w:tblCellSpacing w:w="15" w:type="dxa"/>
                </w:trPr>
                <w:tc>
                  <w:tcPr>
                    <w:tcW w:w="50" w:type="pct"/>
                    <w:hideMark/>
                  </w:tcPr>
                  <w:p w14:paraId="2DDC8534" w14:textId="3C796BA8" w:rsidR="009A6058" w:rsidRDefault="009A6058">
                    <w:pPr>
                      <w:pStyle w:val="Bibliography"/>
                      <w:rPr>
                        <w:noProof/>
                        <w:sz w:val="24"/>
                        <w:szCs w:val="24"/>
                      </w:rPr>
                    </w:pPr>
                    <w:r>
                      <w:rPr>
                        <w:noProof/>
                      </w:rPr>
                      <w:t xml:space="preserve">[1] </w:t>
                    </w:r>
                  </w:p>
                </w:tc>
                <w:tc>
                  <w:tcPr>
                    <w:tcW w:w="0" w:type="auto"/>
                    <w:hideMark/>
                  </w:tcPr>
                  <w:p w14:paraId="7FEEDAC0" w14:textId="77777777" w:rsidR="009A6058" w:rsidRDefault="009A6058">
                    <w:pPr>
                      <w:pStyle w:val="Bibliography"/>
                      <w:rPr>
                        <w:noProof/>
                      </w:rPr>
                    </w:pPr>
                    <w:r>
                      <w:rPr>
                        <w:noProof/>
                      </w:rPr>
                      <w:t xml:space="preserve">K. Patidar, N. Pillai, S. Dhakal , L. B. Avery and P. D. Mavroudis, "A minimal physiologically based pharmacokinetic model to study the combined effect of antibody size, charge, and binding affinity to FcRn/antigen on antibody pharmacokinetics.," </w:t>
                    </w:r>
                    <w:r>
                      <w:rPr>
                        <w:i/>
                        <w:iCs/>
                        <w:noProof/>
                      </w:rPr>
                      <w:t xml:space="preserve">J Pharmacokinet Pharmacodyn., </w:t>
                    </w:r>
                    <w:r>
                      <w:rPr>
                        <w:noProof/>
                      </w:rPr>
                      <w:t xml:space="preserve">2024. </w:t>
                    </w:r>
                  </w:p>
                </w:tc>
              </w:tr>
              <w:tr w:rsidR="009A6058" w14:paraId="5E87204F" w14:textId="77777777">
                <w:trPr>
                  <w:divId w:val="1495100962"/>
                  <w:tblCellSpacing w:w="15" w:type="dxa"/>
                </w:trPr>
                <w:tc>
                  <w:tcPr>
                    <w:tcW w:w="50" w:type="pct"/>
                    <w:hideMark/>
                  </w:tcPr>
                  <w:p w14:paraId="1E5EA336" w14:textId="77777777" w:rsidR="009A6058" w:rsidRDefault="009A6058">
                    <w:pPr>
                      <w:pStyle w:val="Bibliography"/>
                      <w:rPr>
                        <w:noProof/>
                      </w:rPr>
                    </w:pPr>
                    <w:r>
                      <w:rPr>
                        <w:noProof/>
                      </w:rPr>
                      <w:t xml:space="preserve">[2] </w:t>
                    </w:r>
                  </w:p>
                </w:tc>
                <w:tc>
                  <w:tcPr>
                    <w:tcW w:w="0" w:type="auto"/>
                    <w:hideMark/>
                  </w:tcPr>
                  <w:p w14:paraId="2FA81700" w14:textId="77777777" w:rsidR="009A6058" w:rsidRDefault="009A6058">
                    <w:pPr>
                      <w:pStyle w:val="Bibliography"/>
                      <w:rPr>
                        <w:noProof/>
                      </w:rPr>
                    </w:pPr>
                    <w:r>
                      <w:rPr>
                        <w:noProof/>
                      </w:rPr>
                      <w:t xml:space="preserve">Z. Tsilogianni, G. Hillas, P. Bakakos, L. Aggelakis, E. Konstantellou, A. L. Papaioannou, A. Papaporfyriou, S. Papiris, N. Koulouris, S. Loukides and K. Kostikas, "Sputum interleukin-13 as a biomarker for the evaluation of asthma control," </w:t>
                    </w:r>
                    <w:r>
                      <w:rPr>
                        <w:i/>
                        <w:iCs/>
                        <w:noProof/>
                      </w:rPr>
                      <w:t xml:space="preserve">Clin Exp Allergy, </w:t>
                    </w:r>
                    <w:r>
                      <w:rPr>
                        <w:noProof/>
                      </w:rPr>
                      <w:t xml:space="preserve">vol. 46, pp. 923-31, 2016. </w:t>
                    </w:r>
                  </w:p>
                </w:tc>
              </w:tr>
              <w:tr w:rsidR="009A6058" w14:paraId="69A0643E" w14:textId="77777777">
                <w:trPr>
                  <w:divId w:val="1495100962"/>
                  <w:tblCellSpacing w:w="15" w:type="dxa"/>
                </w:trPr>
                <w:tc>
                  <w:tcPr>
                    <w:tcW w:w="50" w:type="pct"/>
                    <w:hideMark/>
                  </w:tcPr>
                  <w:p w14:paraId="00EF5137" w14:textId="77777777" w:rsidR="009A6058" w:rsidRDefault="009A6058">
                    <w:pPr>
                      <w:pStyle w:val="Bibliography"/>
                      <w:rPr>
                        <w:noProof/>
                      </w:rPr>
                    </w:pPr>
                    <w:r>
                      <w:rPr>
                        <w:noProof/>
                      </w:rPr>
                      <w:t xml:space="preserve">[3] </w:t>
                    </w:r>
                  </w:p>
                </w:tc>
                <w:tc>
                  <w:tcPr>
                    <w:tcW w:w="0" w:type="auto"/>
                    <w:hideMark/>
                  </w:tcPr>
                  <w:p w14:paraId="780B6EA3" w14:textId="77777777" w:rsidR="009A6058" w:rsidRDefault="009A6058">
                    <w:pPr>
                      <w:pStyle w:val="Bibliography"/>
                      <w:rPr>
                        <w:noProof/>
                      </w:rPr>
                    </w:pPr>
                    <w:r>
                      <w:rPr>
                        <w:noProof/>
                      </w:rPr>
                      <w:t xml:space="preserve">A. J. Okragly, A. Ryuzoji, I. Wulur, M. Daniels, R. D. Van Horn, C. N. Patel and R. J. Benschop, "Binding, Neutralization and Internalization of the Interleukin-13 Antibody, Lebrikizumab," </w:t>
                    </w:r>
                    <w:r>
                      <w:rPr>
                        <w:i/>
                        <w:iCs/>
                        <w:noProof/>
                      </w:rPr>
                      <w:t xml:space="preserve">Dermatology and Therapy, </w:t>
                    </w:r>
                    <w:r>
                      <w:rPr>
                        <w:noProof/>
                      </w:rPr>
                      <w:t xml:space="preserve">vol. 13, pp. 1535-1547, 2023. </w:t>
                    </w:r>
                  </w:p>
                </w:tc>
              </w:tr>
              <w:tr w:rsidR="009A6058" w14:paraId="23CEEA16" w14:textId="77777777">
                <w:trPr>
                  <w:divId w:val="1495100962"/>
                  <w:tblCellSpacing w:w="15" w:type="dxa"/>
                </w:trPr>
                <w:tc>
                  <w:tcPr>
                    <w:tcW w:w="50" w:type="pct"/>
                    <w:hideMark/>
                  </w:tcPr>
                  <w:p w14:paraId="49327BA9" w14:textId="77777777" w:rsidR="009A6058" w:rsidRDefault="009A6058">
                    <w:pPr>
                      <w:pStyle w:val="Bibliography"/>
                      <w:rPr>
                        <w:noProof/>
                      </w:rPr>
                    </w:pPr>
                    <w:r>
                      <w:rPr>
                        <w:noProof/>
                      </w:rPr>
                      <w:t xml:space="preserve">[4] </w:t>
                    </w:r>
                  </w:p>
                </w:tc>
                <w:tc>
                  <w:tcPr>
                    <w:tcW w:w="0" w:type="auto"/>
                    <w:hideMark/>
                  </w:tcPr>
                  <w:p w14:paraId="30BED3C5" w14:textId="77777777" w:rsidR="009A6058" w:rsidRDefault="009A6058">
                    <w:pPr>
                      <w:pStyle w:val="Bibliography"/>
                      <w:rPr>
                        <w:noProof/>
                      </w:rPr>
                    </w:pPr>
                    <w:r>
                      <w:rPr>
                        <w:noProof/>
                      </w:rPr>
                      <w:t xml:space="preserve">L. Peng, V. Oganesyan, H. Wu, W. F. Dall'Acqua and M. M. Damschroder, "Molecular basis for antagonistic activity of anifrolumab, an anti-interferon-α receptor 1 antibody," </w:t>
                    </w:r>
                    <w:r>
                      <w:rPr>
                        <w:i/>
                        <w:iCs/>
                        <w:noProof/>
                      </w:rPr>
                      <w:t xml:space="preserve">MAbs, </w:t>
                    </w:r>
                    <w:r>
                      <w:rPr>
                        <w:noProof/>
                      </w:rPr>
                      <w:t xml:space="preserve">vol. 7, pp. 428-39, 2015. </w:t>
                    </w:r>
                  </w:p>
                </w:tc>
              </w:tr>
              <w:tr w:rsidR="009A6058" w14:paraId="0F432EFD" w14:textId="77777777">
                <w:trPr>
                  <w:divId w:val="1495100962"/>
                  <w:tblCellSpacing w:w="15" w:type="dxa"/>
                </w:trPr>
                <w:tc>
                  <w:tcPr>
                    <w:tcW w:w="50" w:type="pct"/>
                    <w:hideMark/>
                  </w:tcPr>
                  <w:p w14:paraId="53F70656" w14:textId="77777777" w:rsidR="009A6058" w:rsidRDefault="009A6058">
                    <w:pPr>
                      <w:pStyle w:val="Bibliography"/>
                      <w:rPr>
                        <w:noProof/>
                      </w:rPr>
                    </w:pPr>
                    <w:r>
                      <w:rPr>
                        <w:noProof/>
                      </w:rPr>
                      <w:t xml:space="preserve">[5] </w:t>
                    </w:r>
                  </w:p>
                </w:tc>
                <w:tc>
                  <w:tcPr>
                    <w:tcW w:w="0" w:type="auto"/>
                    <w:hideMark/>
                  </w:tcPr>
                  <w:p w14:paraId="46BB01DC" w14:textId="77777777" w:rsidR="009A6058" w:rsidRDefault="009A6058">
                    <w:pPr>
                      <w:pStyle w:val="Bibliography"/>
                      <w:rPr>
                        <w:noProof/>
                      </w:rPr>
                    </w:pPr>
                    <w:r>
                      <w:rPr>
                        <w:noProof/>
                      </w:rPr>
                      <w:t xml:space="preserve">P. M. Glassman and J. P. Balthasar, "Physiologically-based modeling to predict the clinical behavior of monoclonal antibodies directed against lymphocyte antigens," </w:t>
                    </w:r>
                    <w:r>
                      <w:rPr>
                        <w:i/>
                        <w:iCs/>
                        <w:noProof/>
                      </w:rPr>
                      <w:t xml:space="preserve">MAbs, </w:t>
                    </w:r>
                    <w:r>
                      <w:rPr>
                        <w:noProof/>
                      </w:rPr>
                      <w:t xml:space="preserve">vol. 9, pp. 297-306, 2017. </w:t>
                    </w:r>
                  </w:p>
                </w:tc>
              </w:tr>
              <w:tr w:rsidR="009A6058" w14:paraId="57A36E04" w14:textId="77777777">
                <w:trPr>
                  <w:divId w:val="1495100962"/>
                  <w:tblCellSpacing w:w="15" w:type="dxa"/>
                </w:trPr>
                <w:tc>
                  <w:tcPr>
                    <w:tcW w:w="50" w:type="pct"/>
                    <w:hideMark/>
                  </w:tcPr>
                  <w:p w14:paraId="1F6E6020" w14:textId="77777777" w:rsidR="009A6058" w:rsidRDefault="009A6058">
                    <w:pPr>
                      <w:pStyle w:val="Bibliography"/>
                      <w:rPr>
                        <w:noProof/>
                      </w:rPr>
                    </w:pPr>
                    <w:r>
                      <w:rPr>
                        <w:noProof/>
                      </w:rPr>
                      <w:t xml:space="preserve">[6] </w:t>
                    </w:r>
                  </w:p>
                </w:tc>
                <w:tc>
                  <w:tcPr>
                    <w:tcW w:w="0" w:type="auto"/>
                    <w:hideMark/>
                  </w:tcPr>
                  <w:p w14:paraId="686A78A6" w14:textId="77777777" w:rsidR="009A6058" w:rsidRDefault="009A6058">
                    <w:pPr>
                      <w:pStyle w:val="Bibliography"/>
                      <w:rPr>
                        <w:noProof/>
                      </w:rPr>
                    </w:pPr>
                    <w:r>
                      <w:rPr>
                        <w:noProof/>
                      </w:rPr>
                      <w:t xml:space="preserve">M. D. Pescovitz, "Rituximab, an anti-cd20 monoclonal antibody: history and mechanism of action," </w:t>
                    </w:r>
                    <w:r>
                      <w:rPr>
                        <w:i/>
                        <w:iCs/>
                        <w:noProof/>
                      </w:rPr>
                      <w:t xml:space="preserve">Am J Transplant, </w:t>
                    </w:r>
                    <w:r>
                      <w:rPr>
                        <w:noProof/>
                      </w:rPr>
                      <w:t xml:space="preserve">vol. 6, pp. 859-66, 2006. </w:t>
                    </w:r>
                  </w:p>
                </w:tc>
              </w:tr>
              <w:tr w:rsidR="009A6058" w14:paraId="5FEE49C0" w14:textId="77777777">
                <w:trPr>
                  <w:divId w:val="1495100962"/>
                  <w:tblCellSpacing w:w="15" w:type="dxa"/>
                </w:trPr>
                <w:tc>
                  <w:tcPr>
                    <w:tcW w:w="50" w:type="pct"/>
                    <w:hideMark/>
                  </w:tcPr>
                  <w:p w14:paraId="33C07701" w14:textId="77777777" w:rsidR="009A6058" w:rsidRDefault="009A6058">
                    <w:pPr>
                      <w:pStyle w:val="Bibliography"/>
                      <w:rPr>
                        <w:noProof/>
                      </w:rPr>
                    </w:pPr>
                    <w:r>
                      <w:rPr>
                        <w:noProof/>
                      </w:rPr>
                      <w:t xml:space="preserve">[7] </w:t>
                    </w:r>
                  </w:p>
                </w:tc>
                <w:tc>
                  <w:tcPr>
                    <w:tcW w:w="0" w:type="auto"/>
                    <w:hideMark/>
                  </w:tcPr>
                  <w:p w14:paraId="79A23C40" w14:textId="77777777" w:rsidR="009A6058" w:rsidRDefault="009A6058">
                    <w:pPr>
                      <w:pStyle w:val="Bibliography"/>
                      <w:rPr>
                        <w:noProof/>
                      </w:rPr>
                    </w:pPr>
                    <w:r>
                      <w:rPr>
                        <w:noProof/>
                      </w:rPr>
                      <w:t>Biogen and Genentech USA, Inc., "Rituxan Prescribing Information," 1997. [Online]. Available: https://www.accessdata.fda.gov/drugsatfda_docs/label/2021/103705s5464lbl.pdf. [Accessed January 2024].</w:t>
                    </w:r>
                  </w:p>
                </w:tc>
              </w:tr>
              <w:tr w:rsidR="009A6058" w14:paraId="70E45750" w14:textId="77777777">
                <w:trPr>
                  <w:divId w:val="1495100962"/>
                  <w:tblCellSpacing w:w="15" w:type="dxa"/>
                </w:trPr>
                <w:tc>
                  <w:tcPr>
                    <w:tcW w:w="50" w:type="pct"/>
                    <w:hideMark/>
                  </w:tcPr>
                  <w:p w14:paraId="5390372C" w14:textId="77777777" w:rsidR="009A6058" w:rsidRDefault="009A6058">
                    <w:pPr>
                      <w:pStyle w:val="Bibliography"/>
                      <w:rPr>
                        <w:noProof/>
                      </w:rPr>
                    </w:pPr>
                    <w:r>
                      <w:rPr>
                        <w:noProof/>
                      </w:rPr>
                      <w:t xml:space="preserve">[8] </w:t>
                    </w:r>
                  </w:p>
                </w:tc>
                <w:tc>
                  <w:tcPr>
                    <w:tcW w:w="0" w:type="auto"/>
                    <w:hideMark/>
                  </w:tcPr>
                  <w:p w14:paraId="5EA16674" w14:textId="77777777" w:rsidR="009A6058" w:rsidRDefault="009A6058">
                    <w:pPr>
                      <w:pStyle w:val="Bibliography"/>
                      <w:rPr>
                        <w:noProof/>
                      </w:rPr>
                    </w:pPr>
                    <w:r>
                      <w:rPr>
                        <w:noProof/>
                      </w:rPr>
                      <w:t xml:space="preserve">D. E. Mager, M. A. Mascelli, N. S. Kleiman, D. J. Fitzgerald and D. R. Abernethy, "Simultaneous modeling of abciximab plasma concentrations and ex vivo pharmacodynamics in patients undergoing coronary angioplasty," </w:t>
                    </w:r>
                    <w:r>
                      <w:rPr>
                        <w:i/>
                        <w:iCs/>
                        <w:noProof/>
                      </w:rPr>
                      <w:t xml:space="preserve">J Pharmacol Exp Ther, </w:t>
                    </w:r>
                    <w:r>
                      <w:rPr>
                        <w:noProof/>
                      </w:rPr>
                      <w:t xml:space="preserve">vol. 307, pp. 969-76, 2003. </w:t>
                    </w:r>
                  </w:p>
                </w:tc>
              </w:tr>
              <w:tr w:rsidR="009A6058" w14:paraId="6D5F8998" w14:textId="77777777">
                <w:trPr>
                  <w:divId w:val="1495100962"/>
                  <w:tblCellSpacing w:w="15" w:type="dxa"/>
                </w:trPr>
                <w:tc>
                  <w:tcPr>
                    <w:tcW w:w="50" w:type="pct"/>
                    <w:hideMark/>
                  </w:tcPr>
                  <w:p w14:paraId="02F69CD7" w14:textId="77777777" w:rsidR="009A6058" w:rsidRDefault="009A6058">
                    <w:pPr>
                      <w:pStyle w:val="Bibliography"/>
                      <w:rPr>
                        <w:noProof/>
                      </w:rPr>
                    </w:pPr>
                    <w:r>
                      <w:rPr>
                        <w:noProof/>
                      </w:rPr>
                      <w:t xml:space="preserve">[9] </w:t>
                    </w:r>
                  </w:p>
                </w:tc>
                <w:tc>
                  <w:tcPr>
                    <w:tcW w:w="0" w:type="auto"/>
                    <w:hideMark/>
                  </w:tcPr>
                  <w:p w14:paraId="49EB927C" w14:textId="77777777" w:rsidR="009A6058" w:rsidRDefault="009A6058">
                    <w:pPr>
                      <w:pStyle w:val="Bibliography"/>
                      <w:rPr>
                        <w:noProof/>
                      </w:rPr>
                    </w:pPr>
                    <w:r>
                      <w:rPr>
                        <w:noProof/>
                      </w:rPr>
                      <w:t xml:space="preserve">T. D. Liu, S. H. Ren, X. Ding, Z. L. Xie and Y. Kong, "A Short Half-Life alpha(IIb)beta(3) Antagonist ANTP266 Reduces Thrombus Formation," </w:t>
                    </w:r>
                    <w:r>
                      <w:rPr>
                        <w:i/>
                        <w:iCs/>
                        <w:noProof/>
                      </w:rPr>
                      <w:t xml:space="preserve">Int J Mol Sci, </w:t>
                    </w:r>
                    <w:r>
                      <w:rPr>
                        <w:noProof/>
                      </w:rPr>
                      <w:t xml:space="preserve">vol. 19, 2018. </w:t>
                    </w:r>
                  </w:p>
                </w:tc>
              </w:tr>
              <w:tr w:rsidR="009A6058" w14:paraId="747FC9AE" w14:textId="77777777">
                <w:trPr>
                  <w:divId w:val="1495100962"/>
                  <w:tblCellSpacing w:w="15" w:type="dxa"/>
                </w:trPr>
                <w:tc>
                  <w:tcPr>
                    <w:tcW w:w="50" w:type="pct"/>
                    <w:hideMark/>
                  </w:tcPr>
                  <w:p w14:paraId="052E884E" w14:textId="77777777" w:rsidR="009A6058" w:rsidRDefault="009A6058">
                    <w:pPr>
                      <w:pStyle w:val="Bibliography"/>
                      <w:rPr>
                        <w:noProof/>
                      </w:rPr>
                    </w:pPr>
                    <w:r>
                      <w:rPr>
                        <w:noProof/>
                      </w:rPr>
                      <w:t xml:space="preserve">[10] </w:t>
                    </w:r>
                  </w:p>
                </w:tc>
                <w:tc>
                  <w:tcPr>
                    <w:tcW w:w="0" w:type="auto"/>
                    <w:hideMark/>
                  </w:tcPr>
                  <w:p w14:paraId="652FC404" w14:textId="77777777" w:rsidR="009A6058" w:rsidRDefault="009A6058">
                    <w:pPr>
                      <w:pStyle w:val="Bibliography"/>
                      <w:rPr>
                        <w:noProof/>
                      </w:rPr>
                    </w:pPr>
                    <w:r>
                      <w:rPr>
                        <w:noProof/>
                      </w:rPr>
                      <w:t>J. P. Cunha, "ReoPro (Abciximab) drug," 2022. [Online]. Available: https://www.rxlist.com/reopro-drug.htm#description. [Accessed January 2024].</w:t>
                    </w:r>
                  </w:p>
                </w:tc>
              </w:tr>
              <w:tr w:rsidR="009A6058" w14:paraId="2805C502" w14:textId="77777777">
                <w:trPr>
                  <w:divId w:val="1495100962"/>
                  <w:tblCellSpacing w:w="15" w:type="dxa"/>
                </w:trPr>
                <w:tc>
                  <w:tcPr>
                    <w:tcW w:w="50" w:type="pct"/>
                    <w:hideMark/>
                  </w:tcPr>
                  <w:p w14:paraId="65691E8E" w14:textId="77777777" w:rsidR="009A6058" w:rsidRDefault="009A6058">
                    <w:pPr>
                      <w:pStyle w:val="Bibliography"/>
                      <w:rPr>
                        <w:noProof/>
                      </w:rPr>
                    </w:pPr>
                    <w:r>
                      <w:rPr>
                        <w:noProof/>
                      </w:rPr>
                      <w:t xml:space="preserve">[11] </w:t>
                    </w:r>
                  </w:p>
                </w:tc>
                <w:tc>
                  <w:tcPr>
                    <w:tcW w:w="0" w:type="auto"/>
                    <w:hideMark/>
                  </w:tcPr>
                  <w:p w14:paraId="0CC621A7" w14:textId="77777777" w:rsidR="009A6058" w:rsidRDefault="009A6058">
                    <w:pPr>
                      <w:pStyle w:val="Bibliography"/>
                      <w:rPr>
                        <w:noProof/>
                      </w:rPr>
                    </w:pPr>
                    <w:r>
                      <w:rPr>
                        <w:noProof/>
                      </w:rPr>
                      <w:t xml:space="preserve">O. Le Tilly, P. Gatault, C. Baron, T. Bejan-Angoulvant, M. Buchler, G. Paintaud and D. Ternant, "Is CD25 blockade optimal in kidney transplant patients treated with basiliximab? A target-mediated drug disposition model," </w:t>
                    </w:r>
                    <w:r>
                      <w:rPr>
                        <w:i/>
                        <w:iCs/>
                        <w:noProof/>
                      </w:rPr>
                      <w:t xml:space="preserve">Br J Clin Pharmacol, </w:t>
                    </w:r>
                    <w:r>
                      <w:rPr>
                        <w:noProof/>
                      </w:rPr>
                      <w:t xml:space="preserve">vol. 88, pp. 3500-3505, 2022. </w:t>
                    </w:r>
                  </w:p>
                </w:tc>
              </w:tr>
              <w:tr w:rsidR="009A6058" w14:paraId="2703ACD7" w14:textId="77777777">
                <w:trPr>
                  <w:divId w:val="1495100962"/>
                  <w:tblCellSpacing w:w="15" w:type="dxa"/>
                </w:trPr>
                <w:tc>
                  <w:tcPr>
                    <w:tcW w:w="50" w:type="pct"/>
                    <w:hideMark/>
                  </w:tcPr>
                  <w:p w14:paraId="0063A031" w14:textId="77777777" w:rsidR="009A6058" w:rsidRDefault="009A6058">
                    <w:pPr>
                      <w:pStyle w:val="Bibliography"/>
                      <w:rPr>
                        <w:noProof/>
                      </w:rPr>
                    </w:pPr>
                    <w:r>
                      <w:rPr>
                        <w:noProof/>
                      </w:rPr>
                      <w:t xml:space="preserve">[12] </w:t>
                    </w:r>
                  </w:p>
                </w:tc>
                <w:tc>
                  <w:tcPr>
                    <w:tcW w:w="0" w:type="auto"/>
                    <w:hideMark/>
                  </w:tcPr>
                  <w:p w14:paraId="09052FB3" w14:textId="77777777" w:rsidR="009A6058" w:rsidRDefault="009A6058">
                    <w:pPr>
                      <w:pStyle w:val="Bibliography"/>
                      <w:rPr>
                        <w:noProof/>
                      </w:rPr>
                    </w:pPr>
                    <w:r>
                      <w:rPr>
                        <w:noProof/>
                      </w:rPr>
                      <w:t>Novartis Pharmaceutical Corp, "Simulect (basiliximab) Prescribing Information," 2003. [Online]. Available: https://www.accessdata.fda.gov/drugsatfda_docs/label/2003/basnov010203lb.htm. [Accessed January 2024].</w:t>
                    </w:r>
                  </w:p>
                </w:tc>
              </w:tr>
              <w:tr w:rsidR="009A6058" w14:paraId="746ED126" w14:textId="77777777">
                <w:trPr>
                  <w:divId w:val="1495100962"/>
                  <w:tblCellSpacing w:w="15" w:type="dxa"/>
                </w:trPr>
                <w:tc>
                  <w:tcPr>
                    <w:tcW w:w="50" w:type="pct"/>
                    <w:hideMark/>
                  </w:tcPr>
                  <w:p w14:paraId="530A688C" w14:textId="77777777" w:rsidR="009A6058" w:rsidRDefault="009A6058">
                    <w:pPr>
                      <w:pStyle w:val="Bibliography"/>
                      <w:rPr>
                        <w:noProof/>
                      </w:rPr>
                    </w:pPr>
                    <w:r>
                      <w:rPr>
                        <w:noProof/>
                      </w:rPr>
                      <w:lastRenderedPageBreak/>
                      <w:t xml:space="preserve">[13] </w:t>
                    </w:r>
                  </w:p>
                </w:tc>
                <w:tc>
                  <w:tcPr>
                    <w:tcW w:w="0" w:type="auto"/>
                    <w:hideMark/>
                  </w:tcPr>
                  <w:p w14:paraId="51599325" w14:textId="77777777" w:rsidR="009A6058" w:rsidRDefault="009A6058">
                    <w:pPr>
                      <w:pStyle w:val="Bibliography"/>
                      <w:rPr>
                        <w:noProof/>
                      </w:rPr>
                    </w:pPr>
                    <w:r>
                      <w:rPr>
                        <w:noProof/>
                      </w:rPr>
                      <w:t xml:space="preserve">P. Bloomingdale, D. Bumbaca-Yadav, J. Sugam, S. Grauer, B. Smith, S. Antonenko, M. Judo, G. Azadi and K. L. Yee, "PBPK-PD modeling for the preclinical development and clinical translation of tau antibodies for Alzheimer's disease," </w:t>
                    </w:r>
                    <w:r>
                      <w:rPr>
                        <w:i/>
                        <w:iCs/>
                        <w:noProof/>
                      </w:rPr>
                      <w:t xml:space="preserve">Front Pharmacol, </w:t>
                    </w:r>
                    <w:r>
                      <w:rPr>
                        <w:noProof/>
                      </w:rPr>
                      <w:t xml:space="preserve">vol. 13, p. 867457, 2022. </w:t>
                    </w:r>
                  </w:p>
                </w:tc>
              </w:tr>
              <w:tr w:rsidR="009A6058" w14:paraId="41AAB60F" w14:textId="77777777">
                <w:trPr>
                  <w:divId w:val="1495100962"/>
                  <w:tblCellSpacing w:w="15" w:type="dxa"/>
                </w:trPr>
                <w:tc>
                  <w:tcPr>
                    <w:tcW w:w="50" w:type="pct"/>
                    <w:hideMark/>
                  </w:tcPr>
                  <w:p w14:paraId="5A5A8F6C" w14:textId="77777777" w:rsidR="009A6058" w:rsidRDefault="009A6058">
                    <w:pPr>
                      <w:pStyle w:val="Bibliography"/>
                      <w:rPr>
                        <w:noProof/>
                      </w:rPr>
                    </w:pPr>
                    <w:r>
                      <w:rPr>
                        <w:noProof/>
                      </w:rPr>
                      <w:t xml:space="preserve">[14] </w:t>
                    </w:r>
                  </w:p>
                </w:tc>
                <w:tc>
                  <w:tcPr>
                    <w:tcW w:w="0" w:type="auto"/>
                    <w:hideMark/>
                  </w:tcPr>
                  <w:p w14:paraId="5F3CFC5F" w14:textId="77777777" w:rsidR="009A6058" w:rsidRDefault="009A6058">
                    <w:pPr>
                      <w:pStyle w:val="Bibliography"/>
                      <w:rPr>
                        <w:noProof/>
                      </w:rPr>
                    </w:pPr>
                    <w:r>
                      <w:rPr>
                        <w:noProof/>
                      </w:rPr>
                      <w:t xml:space="preserve">S. Basu, Y. T. K. Lien, V. Vozmediano, J. F. Schlender, T. Eissing, S. Schmidt and C. Niederalt, "Physiologically Based Pharmacokinetic Modeling of Monoclonal Antibodies in Pediatric Populations Using PK-Sim," </w:t>
                    </w:r>
                    <w:r>
                      <w:rPr>
                        <w:i/>
                        <w:iCs/>
                        <w:noProof/>
                      </w:rPr>
                      <w:t xml:space="preserve">Front Pharmacol, </w:t>
                    </w:r>
                    <w:r>
                      <w:rPr>
                        <w:noProof/>
                      </w:rPr>
                      <w:t xml:space="preserve">vol. 11, p. 868, 2020. </w:t>
                    </w:r>
                  </w:p>
                </w:tc>
              </w:tr>
              <w:tr w:rsidR="009A6058" w14:paraId="58ED1CAF" w14:textId="77777777">
                <w:trPr>
                  <w:divId w:val="1495100962"/>
                  <w:tblCellSpacing w:w="15" w:type="dxa"/>
                </w:trPr>
                <w:tc>
                  <w:tcPr>
                    <w:tcW w:w="50" w:type="pct"/>
                    <w:hideMark/>
                  </w:tcPr>
                  <w:p w14:paraId="4D17265B" w14:textId="77777777" w:rsidR="009A6058" w:rsidRDefault="009A6058">
                    <w:pPr>
                      <w:pStyle w:val="Bibliography"/>
                      <w:rPr>
                        <w:noProof/>
                      </w:rPr>
                    </w:pPr>
                    <w:r>
                      <w:rPr>
                        <w:noProof/>
                      </w:rPr>
                      <w:t xml:space="preserve">[15] </w:t>
                    </w:r>
                  </w:p>
                </w:tc>
                <w:tc>
                  <w:tcPr>
                    <w:tcW w:w="0" w:type="auto"/>
                    <w:hideMark/>
                  </w:tcPr>
                  <w:p w14:paraId="0C2740C9" w14:textId="77777777" w:rsidR="009A6058" w:rsidRDefault="009A6058">
                    <w:pPr>
                      <w:pStyle w:val="Bibliography"/>
                      <w:rPr>
                        <w:noProof/>
                      </w:rPr>
                    </w:pPr>
                    <w:r>
                      <w:rPr>
                        <w:noProof/>
                      </w:rPr>
                      <w:t>Genentech, Inc., "Avastin (Bevacizumab) Prescribing Information," 2004. [Online]. Available: https://www.accessdata.fda.gov/drugsatfda_docs/label/2014/125085s301lbl.pdf. [Accessed January 2024].</w:t>
                    </w:r>
                  </w:p>
                </w:tc>
              </w:tr>
            </w:tbl>
            <w:p w14:paraId="1B725239" w14:textId="77777777" w:rsidR="009A6058" w:rsidRDefault="009A6058">
              <w:pPr>
                <w:divId w:val="1495100962"/>
                <w:rPr>
                  <w:rFonts w:eastAsia="Times New Roman"/>
                  <w:noProof/>
                </w:rPr>
              </w:pPr>
            </w:p>
            <w:p w14:paraId="1041B388" w14:textId="46183DBC" w:rsidR="0029140E" w:rsidRDefault="0029140E">
              <w:r>
                <w:rPr>
                  <w:b/>
                  <w:bCs/>
                  <w:noProof/>
                </w:rPr>
                <w:fldChar w:fldCharType="end"/>
              </w:r>
            </w:p>
          </w:sdtContent>
        </w:sdt>
      </w:sdtContent>
    </w:sdt>
    <w:p w14:paraId="6AE8CD68" w14:textId="77777777" w:rsidR="00C54507" w:rsidRDefault="00C54507" w:rsidP="00922326">
      <w:pPr>
        <w:rPr>
          <w:rFonts w:eastAsiaTheme="minorEastAsia"/>
          <w:iCs/>
          <w:sz w:val="20"/>
          <w:szCs w:val="20"/>
        </w:rPr>
      </w:pPr>
    </w:p>
    <w:sectPr w:rsidR="00C54507">
      <w:pgSz w:w="12240" w:h="15840"/>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Krutika Patidar" w:date="2024-02-21T17:05:00Z" w:initials="KP">
    <w:p w14:paraId="1252D664" w14:textId="77777777" w:rsidR="005F2DBB" w:rsidRDefault="005F2DBB" w:rsidP="005F2DBB">
      <w:pPr>
        <w:pStyle w:val="CommentText"/>
      </w:pPr>
      <w:r>
        <w:rPr>
          <w:rStyle w:val="CommentReference"/>
        </w:rPr>
        <w:annotationRef/>
      </w:r>
      <w:r>
        <w:t>Reference for first entry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252D66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241FCE7" w16cex:dateUtc="2024-02-21T22: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252D664" w16cid:durableId="4241FCE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21A63" w14:textId="77777777" w:rsidR="00224D5F" w:rsidRDefault="00224D5F" w:rsidP="00FA2248">
      <w:pPr>
        <w:spacing w:after="0" w:line="240" w:lineRule="auto"/>
      </w:pPr>
      <w:r>
        <w:separator/>
      </w:r>
    </w:p>
  </w:endnote>
  <w:endnote w:type="continuationSeparator" w:id="0">
    <w:p w14:paraId="2B5982EC" w14:textId="77777777" w:rsidR="00224D5F" w:rsidRDefault="00224D5F" w:rsidP="00FA2248">
      <w:pPr>
        <w:spacing w:after="0" w:line="240" w:lineRule="auto"/>
      </w:pPr>
      <w:r>
        <w:continuationSeparator/>
      </w:r>
    </w:p>
  </w:endnote>
  <w:endnote w:type="continuationNotice" w:id="1">
    <w:p w14:paraId="3C5A70E2" w14:textId="77777777" w:rsidR="00224D5F" w:rsidRDefault="00224D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F2834" w14:textId="77777777" w:rsidR="00224D5F" w:rsidRDefault="00224D5F" w:rsidP="00FA2248">
      <w:pPr>
        <w:spacing w:after="0" w:line="240" w:lineRule="auto"/>
      </w:pPr>
      <w:r>
        <w:separator/>
      </w:r>
    </w:p>
  </w:footnote>
  <w:footnote w:type="continuationSeparator" w:id="0">
    <w:p w14:paraId="62E6F0C3" w14:textId="77777777" w:rsidR="00224D5F" w:rsidRDefault="00224D5F" w:rsidP="00FA2248">
      <w:pPr>
        <w:spacing w:after="0" w:line="240" w:lineRule="auto"/>
      </w:pPr>
      <w:r>
        <w:continuationSeparator/>
      </w:r>
    </w:p>
  </w:footnote>
  <w:footnote w:type="continuationNotice" w:id="1">
    <w:p w14:paraId="6F9233E3" w14:textId="77777777" w:rsidR="00224D5F" w:rsidRDefault="00224D5F">
      <w:pPr>
        <w:spacing w:after="0" w:line="240" w:lineRule="auto"/>
      </w:pP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rutika Patidar">
    <w15:presenceInfo w15:providerId="AD" w15:userId="S::krutikap@buffalo.edu::8ad9df8b-7e5c-48cd-b02c-3fb3927b093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ABD"/>
    <w:rsid w:val="00005E4A"/>
    <w:rsid w:val="00007425"/>
    <w:rsid w:val="00021C81"/>
    <w:rsid w:val="00033375"/>
    <w:rsid w:val="000913FE"/>
    <w:rsid w:val="00094199"/>
    <w:rsid w:val="000A4856"/>
    <w:rsid w:val="000C0120"/>
    <w:rsid w:val="000C6207"/>
    <w:rsid w:val="000D27EF"/>
    <w:rsid w:val="00104A50"/>
    <w:rsid w:val="00107B41"/>
    <w:rsid w:val="00110CDB"/>
    <w:rsid w:val="00114027"/>
    <w:rsid w:val="00114FF6"/>
    <w:rsid w:val="00147A2B"/>
    <w:rsid w:val="001810F5"/>
    <w:rsid w:val="00186EF3"/>
    <w:rsid w:val="00193D09"/>
    <w:rsid w:val="001C372E"/>
    <w:rsid w:val="001D42E2"/>
    <w:rsid w:val="001D6BFA"/>
    <w:rsid w:val="001D7DD8"/>
    <w:rsid w:val="0020217D"/>
    <w:rsid w:val="00212CD9"/>
    <w:rsid w:val="002132A5"/>
    <w:rsid w:val="00223B25"/>
    <w:rsid w:val="00224D5F"/>
    <w:rsid w:val="00227937"/>
    <w:rsid w:val="002319C9"/>
    <w:rsid w:val="002428BB"/>
    <w:rsid w:val="002512E9"/>
    <w:rsid w:val="0025787E"/>
    <w:rsid w:val="002616B6"/>
    <w:rsid w:val="0026202F"/>
    <w:rsid w:val="00264E99"/>
    <w:rsid w:val="0026721C"/>
    <w:rsid w:val="00272FB5"/>
    <w:rsid w:val="002828B7"/>
    <w:rsid w:val="0028706C"/>
    <w:rsid w:val="0029140E"/>
    <w:rsid w:val="0029615A"/>
    <w:rsid w:val="002C7B33"/>
    <w:rsid w:val="002D7906"/>
    <w:rsid w:val="002F322F"/>
    <w:rsid w:val="003001E0"/>
    <w:rsid w:val="00305CBA"/>
    <w:rsid w:val="00313EA6"/>
    <w:rsid w:val="00320DB8"/>
    <w:rsid w:val="003343FA"/>
    <w:rsid w:val="00346048"/>
    <w:rsid w:val="00351C67"/>
    <w:rsid w:val="003530C9"/>
    <w:rsid w:val="00363C05"/>
    <w:rsid w:val="003700FD"/>
    <w:rsid w:val="00394320"/>
    <w:rsid w:val="003A2E47"/>
    <w:rsid w:val="003A31A5"/>
    <w:rsid w:val="003B5A4A"/>
    <w:rsid w:val="003C34FD"/>
    <w:rsid w:val="003F520D"/>
    <w:rsid w:val="00471C63"/>
    <w:rsid w:val="00480865"/>
    <w:rsid w:val="004824A9"/>
    <w:rsid w:val="0048377C"/>
    <w:rsid w:val="00485EED"/>
    <w:rsid w:val="00493B27"/>
    <w:rsid w:val="004C4E4C"/>
    <w:rsid w:val="004D311F"/>
    <w:rsid w:val="004E201A"/>
    <w:rsid w:val="004F0CA7"/>
    <w:rsid w:val="005003CB"/>
    <w:rsid w:val="005165B0"/>
    <w:rsid w:val="00523ABD"/>
    <w:rsid w:val="00526698"/>
    <w:rsid w:val="005644BF"/>
    <w:rsid w:val="00570409"/>
    <w:rsid w:val="005B5AE7"/>
    <w:rsid w:val="005C7889"/>
    <w:rsid w:val="005E3260"/>
    <w:rsid w:val="005F2DBB"/>
    <w:rsid w:val="00610A0E"/>
    <w:rsid w:val="0062760D"/>
    <w:rsid w:val="006453F2"/>
    <w:rsid w:val="0069195F"/>
    <w:rsid w:val="00692AC8"/>
    <w:rsid w:val="006956AF"/>
    <w:rsid w:val="006C2265"/>
    <w:rsid w:val="006C602E"/>
    <w:rsid w:val="006D6B50"/>
    <w:rsid w:val="007053FA"/>
    <w:rsid w:val="00710FFD"/>
    <w:rsid w:val="00753828"/>
    <w:rsid w:val="007554B8"/>
    <w:rsid w:val="007615F1"/>
    <w:rsid w:val="00762C20"/>
    <w:rsid w:val="007678A5"/>
    <w:rsid w:val="00783A56"/>
    <w:rsid w:val="00793BBB"/>
    <w:rsid w:val="00794024"/>
    <w:rsid w:val="007E498F"/>
    <w:rsid w:val="007F7E7C"/>
    <w:rsid w:val="008150A1"/>
    <w:rsid w:val="00854A7A"/>
    <w:rsid w:val="00880331"/>
    <w:rsid w:val="008839EC"/>
    <w:rsid w:val="008A1FCC"/>
    <w:rsid w:val="008C6C83"/>
    <w:rsid w:val="008F26DE"/>
    <w:rsid w:val="00903C67"/>
    <w:rsid w:val="00922326"/>
    <w:rsid w:val="009570D1"/>
    <w:rsid w:val="00963CEF"/>
    <w:rsid w:val="009650C9"/>
    <w:rsid w:val="009879EA"/>
    <w:rsid w:val="009A37B6"/>
    <w:rsid w:val="009A6058"/>
    <w:rsid w:val="00A02BC8"/>
    <w:rsid w:val="00A15C4E"/>
    <w:rsid w:val="00A23181"/>
    <w:rsid w:val="00A312FC"/>
    <w:rsid w:val="00A34C55"/>
    <w:rsid w:val="00A5580C"/>
    <w:rsid w:val="00A726D5"/>
    <w:rsid w:val="00AA6E0B"/>
    <w:rsid w:val="00AC5C4D"/>
    <w:rsid w:val="00AD2D93"/>
    <w:rsid w:val="00AD2FC9"/>
    <w:rsid w:val="00AD7271"/>
    <w:rsid w:val="00AE3957"/>
    <w:rsid w:val="00B059C8"/>
    <w:rsid w:val="00B302CA"/>
    <w:rsid w:val="00B3421A"/>
    <w:rsid w:val="00B47844"/>
    <w:rsid w:val="00B64CBE"/>
    <w:rsid w:val="00B66D87"/>
    <w:rsid w:val="00B73A79"/>
    <w:rsid w:val="00B76DBE"/>
    <w:rsid w:val="00B9688F"/>
    <w:rsid w:val="00BB4D5D"/>
    <w:rsid w:val="00BC4A9D"/>
    <w:rsid w:val="00BE0978"/>
    <w:rsid w:val="00BE7F2A"/>
    <w:rsid w:val="00BF3936"/>
    <w:rsid w:val="00BF7561"/>
    <w:rsid w:val="00C0064E"/>
    <w:rsid w:val="00C22EA2"/>
    <w:rsid w:val="00C30BA3"/>
    <w:rsid w:val="00C42E21"/>
    <w:rsid w:val="00C467DA"/>
    <w:rsid w:val="00C54507"/>
    <w:rsid w:val="00C763E2"/>
    <w:rsid w:val="00C95E73"/>
    <w:rsid w:val="00CB2CDC"/>
    <w:rsid w:val="00CB7641"/>
    <w:rsid w:val="00CC097C"/>
    <w:rsid w:val="00CC1E33"/>
    <w:rsid w:val="00CC7283"/>
    <w:rsid w:val="00CD640C"/>
    <w:rsid w:val="00D51E8B"/>
    <w:rsid w:val="00D80FD8"/>
    <w:rsid w:val="00D84AEA"/>
    <w:rsid w:val="00D972B2"/>
    <w:rsid w:val="00DA63C4"/>
    <w:rsid w:val="00DB1B28"/>
    <w:rsid w:val="00DF2C0F"/>
    <w:rsid w:val="00DF3D48"/>
    <w:rsid w:val="00E1280D"/>
    <w:rsid w:val="00E15FD7"/>
    <w:rsid w:val="00E31B20"/>
    <w:rsid w:val="00E333E7"/>
    <w:rsid w:val="00E70FA7"/>
    <w:rsid w:val="00E93826"/>
    <w:rsid w:val="00E967E5"/>
    <w:rsid w:val="00EA22DC"/>
    <w:rsid w:val="00EE38C7"/>
    <w:rsid w:val="00F07E2A"/>
    <w:rsid w:val="00F13320"/>
    <w:rsid w:val="00F16216"/>
    <w:rsid w:val="00F30844"/>
    <w:rsid w:val="00F44A75"/>
    <w:rsid w:val="00F5072C"/>
    <w:rsid w:val="00F664BD"/>
    <w:rsid w:val="00F82932"/>
    <w:rsid w:val="00F848F6"/>
    <w:rsid w:val="00F979E9"/>
    <w:rsid w:val="00FA2248"/>
    <w:rsid w:val="00FA464C"/>
    <w:rsid w:val="00FB5C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6D6A0B"/>
  <w15:chartTrackingRefBased/>
  <w15:docId w15:val="{9B5CBDEA-48D4-45FB-8CE0-C1A1EFBE1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140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810F5"/>
    <w:pPr>
      <w:spacing w:after="200" w:line="240" w:lineRule="auto"/>
    </w:pPr>
    <w:rPr>
      <w:i/>
      <w:iCs/>
      <w:color w:val="44546A" w:themeColor="text2"/>
      <w:sz w:val="18"/>
      <w:szCs w:val="18"/>
    </w:rPr>
  </w:style>
  <w:style w:type="character" w:styleId="Hyperlink">
    <w:name w:val="Hyperlink"/>
    <w:basedOn w:val="DefaultParagraphFont"/>
    <w:uiPriority w:val="99"/>
    <w:unhideWhenUsed/>
    <w:rsid w:val="001810F5"/>
    <w:rPr>
      <w:color w:val="0000FF"/>
      <w:u w:val="single"/>
    </w:rPr>
  </w:style>
  <w:style w:type="table" w:styleId="TableGrid">
    <w:name w:val="Table Grid"/>
    <w:basedOn w:val="TableNormal"/>
    <w:uiPriority w:val="39"/>
    <w:rsid w:val="00CC1E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CC1E3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3001E0"/>
    <w:rPr>
      <w:color w:val="808080"/>
    </w:rPr>
  </w:style>
  <w:style w:type="paragraph" w:styleId="Header">
    <w:name w:val="header"/>
    <w:basedOn w:val="Normal"/>
    <w:link w:val="HeaderChar"/>
    <w:uiPriority w:val="99"/>
    <w:unhideWhenUsed/>
    <w:rsid w:val="00FA22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2248"/>
  </w:style>
  <w:style w:type="paragraph" w:styleId="Footer">
    <w:name w:val="footer"/>
    <w:basedOn w:val="Normal"/>
    <w:link w:val="FooterChar"/>
    <w:uiPriority w:val="99"/>
    <w:unhideWhenUsed/>
    <w:rsid w:val="00FA22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2248"/>
  </w:style>
  <w:style w:type="character" w:styleId="CommentReference">
    <w:name w:val="annotation reference"/>
    <w:basedOn w:val="DefaultParagraphFont"/>
    <w:uiPriority w:val="99"/>
    <w:semiHidden/>
    <w:unhideWhenUsed/>
    <w:rsid w:val="005644BF"/>
    <w:rPr>
      <w:sz w:val="16"/>
      <w:szCs w:val="16"/>
    </w:rPr>
  </w:style>
  <w:style w:type="paragraph" w:styleId="CommentText">
    <w:name w:val="annotation text"/>
    <w:basedOn w:val="Normal"/>
    <w:link w:val="CommentTextChar"/>
    <w:uiPriority w:val="99"/>
    <w:unhideWhenUsed/>
    <w:rsid w:val="005644BF"/>
    <w:pPr>
      <w:spacing w:line="240" w:lineRule="auto"/>
    </w:pPr>
    <w:rPr>
      <w:sz w:val="20"/>
      <w:szCs w:val="20"/>
    </w:rPr>
  </w:style>
  <w:style w:type="character" w:customStyle="1" w:styleId="CommentTextChar">
    <w:name w:val="Comment Text Char"/>
    <w:basedOn w:val="DefaultParagraphFont"/>
    <w:link w:val="CommentText"/>
    <w:uiPriority w:val="99"/>
    <w:rsid w:val="005644BF"/>
    <w:rPr>
      <w:sz w:val="20"/>
      <w:szCs w:val="20"/>
    </w:rPr>
  </w:style>
  <w:style w:type="paragraph" w:styleId="CommentSubject">
    <w:name w:val="annotation subject"/>
    <w:basedOn w:val="CommentText"/>
    <w:next w:val="CommentText"/>
    <w:link w:val="CommentSubjectChar"/>
    <w:uiPriority w:val="99"/>
    <w:semiHidden/>
    <w:unhideWhenUsed/>
    <w:rsid w:val="005644BF"/>
    <w:rPr>
      <w:b/>
      <w:bCs/>
    </w:rPr>
  </w:style>
  <w:style w:type="character" w:customStyle="1" w:styleId="CommentSubjectChar">
    <w:name w:val="Comment Subject Char"/>
    <w:basedOn w:val="CommentTextChar"/>
    <w:link w:val="CommentSubject"/>
    <w:uiPriority w:val="99"/>
    <w:semiHidden/>
    <w:rsid w:val="005644BF"/>
    <w:rPr>
      <w:b/>
      <w:bCs/>
      <w:sz w:val="20"/>
      <w:szCs w:val="20"/>
    </w:rPr>
  </w:style>
  <w:style w:type="paragraph" w:styleId="NormalWeb">
    <w:name w:val="Normal (Web)"/>
    <w:basedOn w:val="Normal"/>
    <w:uiPriority w:val="99"/>
    <w:semiHidden/>
    <w:unhideWhenUsed/>
    <w:rsid w:val="002C7B33"/>
    <w:pPr>
      <w:spacing w:before="100" w:beforeAutospacing="1" w:after="100" w:afterAutospacing="1" w:line="240" w:lineRule="auto"/>
    </w:pPr>
    <w:rPr>
      <w:rFonts w:ascii="Times New Roman" w:eastAsia="Times New Roman" w:hAnsi="Times New Roman" w:cs="Times New Roman"/>
      <w:sz w:val="24"/>
      <w:szCs w:val="24"/>
    </w:rPr>
  </w:style>
  <w:style w:type="table" w:styleId="PlainTable2">
    <w:name w:val="Plain Table 2"/>
    <w:basedOn w:val="TableNormal"/>
    <w:uiPriority w:val="42"/>
    <w:rsid w:val="002C7B3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2C7B33"/>
    <w:pPr>
      <w:ind w:left="720"/>
      <w:contextualSpacing/>
    </w:pPr>
  </w:style>
  <w:style w:type="character" w:customStyle="1" w:styleId="Heading1Char">
    <w:name w:val="Heading 1 Char"/>
    <w:basedOn w:val="DefaultParagraphFont"/>
    <w:link w:val="Heading1"/>
    <w:uiPriority w:val="9"/>
    <w:rsid w:val="0029140E"/>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2914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73121">
      <w:bodyDiv w:val="1"/>
      <w:marLeft w:val="0"/>
      <w:marRight w:val="0"/>
      <w:marTop w:val="0"/>
      <w:marBottom w:val="0"/>
      <w:divBdr>
        <w:top w:val="none" w:sz="0" w:space="0" w:color="auto"/>
        <w:left w:val="none" w:sz="0" w:space="0" w:color="auto"/>
        <w:bottom w:val="none" w:sz="0" w:space="0" w:color="auto"/>
        <w:right w:val="none" w:sz="0" w:space="0" w:color="auto"/>
      </w:divBdr>
    </w:div>
    <w:div w:id="19361233">
      <w:bodyDiv w:val="1"/>
      <w:marLeft w:val="0"/>
      <w:marRight w:val="0"/>
      <w:marTop w:val="0"/>
      <w:marBottom w:val="0"/>
      <w:divBdr>
        <w:top w:val="none" w:sz="0" w:space="0" w:color="auto"/>
        <w:left w:val="none" w:sz="0" w:space="0" w:color="auto"/>
        <w:bottom w:val="none" w:sz="0" w:space="0" w:color="auto"/>
        <w:right w:val="none" w:sz="0" w:space="0" w:color="auto"/>
      </w:divBdr>
    </w:div>
    <w:div w:id="50156933">
      <w:bodyDiv w:val="1"/>
      <w:marLeft w:val="0"/>
      <w:marRight w:val="0"/>
      <w:marTop w:val="0"/>
      <w:marBottom w:val="0"/>
      <w:divBdr>
        <w:top w:val="none" w:sz="0" w:space="0" w:color="auto"/>
        <w:left w:val="none" w:sz="0" w:space="0" w:color="auto"/>
        <w:bottom w:val="none" w:sz="0" w:space="0" w:color="auto"/>
        <w:right w:val="none" w:sz="0" w:space="0" w:color="auto"/>
      </w:divBdr>
    </w:div>
    <w:div w:id="68504614">
      <w:bodyDiv w:val="1"/>
      <w:marLeft w:val="0"/>
      <w:marRight w:val="0"/>
      <w:marTop w:val="0"/>
      <w:marBottom w:val="0"/>
      <w:divBdr>
        <w:top w:val="none" w:sz="0" w:space="0" w:color="auto"/>
        <w:left w:val="none" w:sz="0" w:space="0" w:color="auto"/>
        <w:bottom w:val="none" w:sz="0" w:space="0" w:color="auto"/>
        <w:right w:val="none" w:sz="0" w:space="0" w:color="auto"/>
      </w:divBdr>
    </w:div>
    <w:div w:id="74791737">
      <w:bodyDiv w:val="1"/>
      <w:marLeft w:val="0"/>
      <w:marRight w:val="0"/>
      <w:marTop w:val="0"/>
      <w:marBottom w:val="0"/>
      <w:divBdr>
        <w:top w:val="none" w:sz="0" w:space="0" w:color="auto"/>
        <w:left w:val="none" w:sz="0" w:space="0" w:color="auto"/>
        <w:bottom w:val="none" w:sz="0" w:space="0" w:color="auto"/>
        <w:right w:val="none" w:sz="0" w:space="0" w:color="auto"/>
      </w:divBdr>
    </w:div>
    <w:div w:id="87123493">
      <w:bodyDiv w:val="1"/>
      <w:marLeft w:val="0"/>
      <w:marRight w:val="0"/>
      <w:marTop w:val="0"/>
      <w:marBottom w:val="0"/>
      <w:divBdr>
        <w:top w:val="none" w:sz="0" w:space="0" w:color="auto"/>
        <w:left w:val="none" w:sz="0" w:space="0" w:color="auto"/>
        <w:bottom w:val="none" w:sz="0" w:space="0" w:color="auto"/>
        <w:right w:val="none" w:sz="0" w:space="0" w:color="auto"/>
      </w:divBdr>
    </w:div>
    <w:div w:id="87310188">
      <w:bodyDiv w:val="1"/>
      <w:marLeft w:val="0"/>
      <w:marRight w:val="0"/>
      <w:marTop w:val="0"/>
      <w:marBottom w:val="0"/>
      <w:divBdr>
        <w:top w:val="none" w:sz="0" w:space="0" w:color="auto"/>
        <w:left w:val="none" w:sz="0" w:space="0" w:color="auto"/>
        <w:bottom w:val="none" w:sz="0" w:space="0" w:color="auto"/>
        <w:right w:val="none" w:sz="0" w:space="0" w:color="auto"/>
      </w:divBdr>
    </w:div>
    <w:div w:id="127625412">
      <w:bodyDiv w:val="1"/>
      <w:marLeft w:val="0"/>
      <w:marRight w:val="0"/>
      <w:marTop w:val="0"/>
      <w:marBottom w:val="0"/>
      <w:divBdr>
        <w:top w:val="none" w:sz="0" w:space="0" w:color="auto"/>
        <w:left w:val="none" w:sz="0" w:space="0" w:color="auto"/>
        <w:bottom w:val="none" w:sz="0" w:space="0" w:color="auto"/>
        <w:right w:val="none" w:sz="0" w:space="0" w:color="auto"/>
      </w:divBdr>
    </w:div>
    <w:div w:id="138427859">
      <w:bodyDiv w:val="1"/>
      <w:marLeft w:val="0"/>
      <w:marRight w:val="0"/>
      <w:marTop w:val="0"/>
      <w:marBottom w:val="0"/>
      <w:divBdr>
        <w:top w:val="none" w:sz="0" w:space="0" w:color="auto"/>
        <w:left w:val="none" w:sz="0" w:space="0" w:color="auto"/>
        <w:bottom w:val="none" w:sz="0" w:space="0" w:color="auto"/>
        <w:right w:val="none" w:sz="0" w:space="0" w:color="auto"/>
      </w:divBdr>
    </w:div>
    <w:div w:id="143861496">
      <w:bodyDiv w:val="1"/>
      <w:marLeft w:val="0"/>
      <w:marRight w:val="0"/>
      <w:marTop w:val="0"/>
      <w:marBottom w:val="0"/>
      <w:divBdr>
        <w:top w:val="none" w:sz="0" w:space="0" w:color="auto"/>
        <w:left w:val="none" w:sz="0" w:space="0" w:color="auto"/>
        <w:bottom w:val="none" w:sz="0" w:space="0" w:color="auto"/>
        <w:right w:val="none" w:sz="0" w:space="0" w:color="auto"/>
      </w:divBdr>
    </w:div>
    <w:div w:id="185169695">
      <w:bodyDiv w:val="1"/>
      <w:marLeft w:val="0"/>
      <w:marRight w:val="0"/>
      <w:marTop w:val="0"/>
      <w:marBottom w:val="0"/>
      <w:divBdr>
        <w:top w:val="none" w:sz="0" w:space="0" w:color="auto"/>
        <w:left w:val="none" w:sz="0" w:space="0" w:color="auto"/>
        <w:bottom w:val="none" w:sz="0" w:space="0" w:color="auto"/>
        <w:right w:val="none" w:sz="0" w:space="0" w:color="auto"/>
      </w:divBdr>
    </w:div>
    <w:div w:id="204218156">
      <w:bodyDiv w:val="1"/>
      <w:marLeft w:val="0"/>
      <w:marRight w:val="0"/>
      <w:marTop w:val="0"/>
      <w:marBottom w:val="0"/>
      <w:divBdr>
        <w:top w:val="none" w:sz="0" w:space="0" w:color="auto"/>
        <w:left w:val="none" w:sz="0" w:space="0" w:color="auto"/>
        <w:bottom w:val="none" w:sz="0" w:space="0" w:color="auto"/>
        <w:right w:val="none" w:sz="0" w:space="0" w:color="auto"/>
      </w:divBdr>
    </w:div>
    <w:div w:id="222180507">
      <w:bodyDiv w:val="1"/>
      <w:marLeft w:val="0"/>
      <w:marRight w:val="0"/>
      <w:marTop w:val="0"/>
      <w:marBottom w:val="0"/>
      <w:divBdr>
        <w:top w:val="none" w:sz="0" w:space="0" w:color="auto"/>
        <w:left w:val="none" w:sz="0" w:space="0" w:color="auto"/>
        <w:bottom w:val="none" w:sz="0" w:space="0" w:color="auto"/>
        <w:right w:val="none" w:sz="0" w:space="0" w:color="auto"/>
      </w:divBdr>
    </w:div>
    <w:div w:id="222763500">
      <w:bodyDiv w:val="1"/>
      <w:marLeft w:val="0"/>
      <w:marRight w:val="0"/>
      <w:marTop w:val="0"/>
      <w:marBottom w:val="0"/>
      <w:divBdr>
        <w:top w:val="none" w:sz="0" w:space="0" w:color="auto"/>
        <w:left w:val="none" w:sz="0" w:space="0" w:color="auto"/>
        <w:bottom w:val="none" w:sz="0" w:space="0" w:color="auto"/>
        <w:right w:val="none" w:sz="0" w:space="0" w:color="auto"/>
      </w:divBdr>
    </w:div>
    <w:div w:id="227611357">
      <w:bodyDiv w:val="1"/>
      <w:marLeft w:val="0"/>
      <w:marRight w:val="0"/>
      <w:marTop w:val="0"/>
      <w:marBottom w:val="0"/>
      <w:divBdr>
        <w:top w:val="none" w:sz="0" w:space="0" w:color="auto"/>
        <w:left w:val="none" w:sz="0" w:space="0" w:color="auto"/>
        <w:bottom w:val="none" w:sz="0" w:space="0" w:color="auto"/>
        <w:right w:val="none" w:sz="0" w:space="0" w:color="auto"/>
      </w:divBdr>
    </w:div>
    <w:div w:id="228079305">
      <w:bodyDiv w:val="1"/>
      <w:marLeft w:val="0"/>
      <w:marRight w:val="0"/>
      <w:marTop w:val="0"/>
      <w:marBottom w:val="0"/>
      <w:divBdr>
        <w:top w:val="none" w:sz="0" w:space="0" w:color="auto"/>
        <w:left w:val="none" w:sz="0" w:space="0" w:color="auto"/>
        <w:bottom w:val="none" w:sz="0" w:space="0" w:color="auto"/>
        <w:right w:val="none" w:sz="0" w:space="0" w:color="auto"/>
      </w:divBdr>
    </w:div>
    <w:div w:id="231502793">
      <w:bodyDiv w:val="1"/>
      <w:marLeft w:val="0"/>
      <w:marRight w:val="0"/>
      <w:marTop w:val="0"/>
      <w:marBottom w:val="0"/>
      <w:divBdr>
        <w:top w:val="none" w:sz="0" w:space="0" w:color="auto"/>
        <w:left w:val="none" w:sz="0" w:space="0" w:color="auto"/>
        <w:bottom w:val="none" w:sz="0" w:space="0" w:color="auto"/>
        <w:right w:val="none" w:sz="0" w:space="0" w:color="auto"/>
      </w:divBdr>
    </w:div>
    <w:div w:id="261114149">
      <w:bodyDiv w:val="1"/>
      <w:marLeft w:val="0"/>
      <w:marRight w:val="0"/>
      <w:marTop w:val="0"/>
      <w:marBottom w:val="0"/>
      <w:divBdr>
        <w:top w:val="none" w:sz="0" w:space="0" w:color="auto"/>
        <w:left w:val="none" w:sz="0" w:space="0" w:color="auto"/>
        <w:bottom w:val="none" w:sz="0" w:space="0" w:color="auto"/>
        <w:right w:val="none" w:sz="0" w:space="0" w:color="auto"/>
      </w:divBdr>
    </w:div>
    <w:div w:id="262961245">
      <w:bodyDiv w:val="1"/>
      <w:marLeft w:val="0"/>
      <w:marRight w:val="0"/>
      <w:marTop w:val="0"/>
      <w:marBottom w:val="0"/>
      <w:divBdr>
        <w:top w:val="none" w:sz="0" w:space="0" w:color="auto"/>
        <w:left w:val="none" w:sz="0" w:space="0" w:color="auto"/>
        <w:bottom w:val="none" w:sz="0" w:space="0" w:color="auto"/>
        <w:right w:val="none" w:sz="0" w:space="0" w:color="auto"/>
      </w:divBdr>
    </w:div>
    <w:div w:id="276564279">
      <w:bodyDiv w:val="1"/>
      <w:marLeft w:val="0"/>
      <w:marRight w:val="0"/>
      <w:marTop w:val="0"/>
      <w:marBottom w:val="0"/>
      <w:divBdr>
        <w:top w:val="none" w:sz="0" w:space="0" w:color="auto"/>
        <w:left w:val="none" w:sz="0" w:space="0" w:color="auto"/>
        <w:bottom w:val="none" w:sz="0" w:space="0" w:color="auto"/>
        <w:right w:val="none" w:sz="0" w:space="0" w:color="auto"/>
      </w:divBdr>
    </w:div>
    <w:div w:id="317198689">
      <w:bodyDiv w:val="1"/>
      <w:marLeft w:val="0"/>
      <w:marRight w:val="0"/>
      <w:marTop w:val="0"/>
      <w:marBottom w:val="0"/>
      <w:divBdr>
        <w:top w:val="none" w:sz="0" w:space="0" w:color="auto"/>
        <w:left w:val="none" w:sz="0" w:space="0" w:color="auto"/>
        <w:bottom w:val="none" w:sz="0" w:space="0" w:color="auto"/>
        <w:right w:val="none" w:sz="0" w:space="0" w:color="auto"/>
      </w:divBdr>
    </w:div>
    <w:div w:id="324550831">
      <w:bodyDiv w:val="1"/>
      <w:marLeft w:val="0"/>
      <w:marRight w:val="0"/>
      <w:marTop w:val="0"/>
      <w:marBottom w:val="0"/>
      <w:divBdr>
        <w:top w:val="none" w:sz="0" w:space="0" w:color="auto"/>
        <w:left w:val="none" w:sz="0" w:space="0" w:color="auto"/>
        <w:bottom w:val="none" w:sz="0" w:space="0" w:color="auto"/>
        <w:right w:val="none" w:sz="0" w:space="0" w:color="auto"/>
      </w:divBdr>
    </w:div>
    <w:div w:id="327447385">
      <w:bodyDiv w:val="1"/>
      <w:marLeft w:val="0"/>
      <w:marRight w:val="0"/>
      <w:marTop w:val="0"/>
      <w:marBottom w:val="0"/>
      <w:divBdr>
        <w:top w:val="none" w:sz="0" w:space="0" w:color="auto"/>
        <w:left w:val="none" w:sz="0" w:space="0" w:color="auto"/>
        <w:bottom w:val="none" w:sz="0" w:space="0" w:color="auto"/>
        <w:right w:val="none" w:sz="0" w:space="0" w:color="auto"/>
      </w:divBdr>
    </w:div>
    <w:div w:id="339236749">
      <w:bodyDiv w:val="1"/>
      <w:marLeft w:val="0"/>
      <w:marRight w:val="0"/>
      <w:marTop w:val="0"/>
      <w:marBottom w:val="0"/>
      <w:divBdr>
        <w:top w:val="none" w:sz="0" w:space="0" w:color="auto"/>
        <w:left w:val="none" w:sz="0" w:space="0" w:color="auto"/>
        <w:bottom w:val="none" w:sz="0" w:space="0" w:color="auto"/>
        <w:right w:val="none" w:sz="0" w:space="0" w:color="auto"/>
      </w:divBdr>
    </w:div>
    <w:div w:id="353046038">
      <w:bodyDiv w:val="1"/>
      <w:marLeft w:val="0"/>
      <w:marRight w:val="0"/>
      <w:marTop w:val="0"/>
      <w:marBottom w:val="0"/>
      <w:divBdr>
        <w:top w:val="none" w:sz="0" w:space="0" w:color="auto"/>
        <w:left w:val="none" w:sz="0" w:space="0" w:color="auto"/>
        <w:bottom w:val="none" w:sz="0" w:space="0" w:color="auto"/>
        <w:right w:val="none" w:sz="0" w:space="0" w:color="auto"/>
      </w:divBdr>
    </w:div>
    <w:div w:id="365907464">
      <w:bodyDiv w:val="1"/>
      <w:marLeft w:val="0"/>
      <w:marRight w:val="0"/>
      <w:marTop w:val="0"/>
      <w:marBottom w:val="0"/>
      <w:divBdr>
        <w:top w:val="none" w:sz="0" w:space="0" w:color="auto"/>
        <w:left w:val="none" w:sz="0" w:space="0" w:color="auto"/>
        <w:bottom w:val="none" w:sz="0" w:space="0" w:color="auto"/>
        <w:right w:val="none" w:sz="0" w:space="0" w:color="auto"/>
      </w:divBdr>
    </w:div>
    <w:div w:id="370767043">
      <w:bodyDiv w:val="1"/>
      <w:marLeft w:val="0"/>
      <w:marRight w:val="0"/>
      <w:marTop w:val="0"/>
      <w:marBottom w:val="0"/>
      <w:divBdr>
        <w:top w:val="none" w:sz="0" w:space="0" w:color="auto"/>
        <w:left w:val="none" w:sz="0" w:space="0" w:color="auto"/>
        <w:bottom w:val="none" w:sz="0" w:space="0" w:color="auto"/>
        <w:right w:val="none" w:sz="0" w:space="0" w:color="auto"/>
      </w:divBdr>
    </w:div>
    <w:div w:id="385956881">
      <w:bodyDiv w:val="1"/>
      <w:marLeft w:val="0"/>
      <w:marRight w:val="0"/>
      <w:marTop w:val="0"/>
      <w:marBottom w:val="0"/>
      <w:divBdr>
        <w:top w:val="none" w:sz="0" w:space="0" w:color="auto"/>
        <w:left w:val="none" w:sz="0" w:space="0" w:color="auto"/>
        <w:bottom w:val="none" w:sz="0" w:space="0" w:color="auto"/>
        <w:right w:val="none" w:sz="0" w:space="0" w:color="auto"/>
      </w:divBdr>
    </w:div>
    <w:div w:id="440303317">
      <w:bodyDiv w:val="1"/>
      <w:marLeft w:val="0"/>
      <w:marRight w:val="0"/>
      <w:marTop w:val="0"/>
      <w:marBottom w:val="0"/>
      <w:divBdr>
        <w:top w:val="none" w:sz="0" w:space="0" w:color="auto"/>
        <w:left w:val="none" w:sz="0" w:space="0" w:color="auto"/>
        <w:bottom w:val="none" w:sz="0" w:space="0" w:color="auto"/>
        <w:right w:val="none" w:sz="0" w:space="0" w:color="auto"/>
      </w:divBdr>
    </w:div>
    <w:div w:id="441918103">
      <w:bodyDiv w:val="1"/>
      <w:marLeft w:val="0"/>
      <w:marRight w:val="0"/>
      <w:marTop w:val="0"/>
      <w:marBottom w:val="0"/>
      <w:divBdr>
        <w:top w:val="none" w:sz="0" w:space="0" w:color="auto"/>
        <w:left w:val="none" w:sz="0" w:space="0" w:color="auto"/>
        <w:bottom w:val="none" w:sz="0" w:space="0" w:color="auto"/>
        <w:right w:val="none" w:sz="0" w:space="0" w:color="auto"/>
      </w:divBdr>
    </w:div>
    <w:div w:id="453864113">
      <w:bodyDiv w:val="1"/>
      <w:marLeft w:val="0"/>
      <w:marRight w:val="0"/>
      <w:marTop w:val="0"/>
      <w:marBottom w:val="0"/>
      <w:divBdr>
        <w:top w:val="none" w:sz="0" w:space="0" w:color="auto"/>
        <w:left w:val="none" w:sz="0" w:space="0" w:color="auto"/>
        <w:bottom w:val="none" w:sz="0" w:space="0" w:color="auto"/>
        <w:right w:val="none" w:sz="0" w:space="0" w:color="auto"/>
      </w:divBdr>
    </w:div>
    <w:div w:id="455295695">
      <w:bodyDiv w:val="1"/>
      <w:marLeft w:val="0"/>
      <w:marRight w:val="0"/>
      <w:marTop w:val="0"/>
      <w:marBottom w:val="0"/>
      <w:divBdr>
        <w:top w:val="none" w:sz="0" w:space="0" w:color="auto"/>
        <w:left w:val="none" w:sz="0" w:space="0" w:color="auto"/>
        <w:bottom w:val="none" w:sz="0" w:space="0" w:color="auto"/>
        <w:right w:val="none" w:sz="0" w:space="0" w:color="auto"/>
      </w:divBdr>
    </w:div>
    <w:div w:id="480661887">
      <w:bodyDiv w:val="1"/>
      <w:marLeft w:val="0"/>
      <w:marRight w:val="0"/>
      <w:marTop w:val="0"/>
      <w:marBottom w:val="0"/>
      <w:divBdr>
        <w:top w:val="none" w:sz="0" w:space="0" w:color="auto"/>
        <w:left w:val="none" w:sz="0" w:space="0" w:color="auto"/>
        <w:bottom w:val="none" w:sz="0" w:space="0" w:color="auto"/>
        <w:right w:val="none" w:sz="0" w:space="0" w:color="auto"/>
      </w:divBdr>
    </w:div>
    <w:div w:id="496767477">
      <w:bodyDiv w:val="1"/>
      <w:marLeft w:val="0"/>
      <w:marRight w:val="0"/>
      <w:marTop w:val="0"/>
      <w:marBottom w:val="0"/>
      <w:divBdr>
        <w:top w:val="none" w:sz="0" w:space="0" w:color="auto"/>
        <w:left w:val="none" w:sz="0" w:space="0" w:color="auto"/>
        <w:bottom w:val="none" w:sz="0" w:space="0" w:color="auto"/>
        <w:right w:val="none" w:sz="0" w:space="0" w:color="auto"/>
      </w:divBdr>
    </w:div>
    <w:div w:id="512451863">
      <w:bodyDiv w:val="1"/>
      <w:marLeft w:val="0"/>
      <w:marRight w:val="0"/>
      <w:marTop w:val="0"/>
      <w:marBottom w:val="0"/>
      <w:divBdr>
        <w:top w:val="none" w:sz="0" w:space="0" w:color="auto"/>
        <w:left w:val="none" w:sz="0" w:space="0" w:color="auto"/>
        <w:bottom w:val="none" w:sz="0" w:space="0" w:color="auto"/>
        <w:right w:val="none" w:sz="0" w:space="0" w:color="auto"/>
      </w:divBdr>
    </w:div>
    <w:div w:id="513692394">
      <w:bodyDiv w:val="1"/>
      <w:marLeft w:val="0"/>
      <w:marRight w:val="0"/>
      <w:marTop w:val="0"/>
      <w:marBottom w:val="0"/>
      <w:divBdr>
        <w:top w:val="none" w:sz="0" w:space="0" w:color="auto"/>
        <w:left w:val="none" w:sz="0" w:space="0" w:color="auto"/>
        <w:bottom w:val="none" w:sz="0" w:space="0" w:color="auto"/>
        <w:right w:val="none" w:sz="0" w:space="0" w:color="auto"/>
      </w:divBdr>
    </w:div>
    <w:div w:id="517933293">
      <w:bodyDiv w:val="1"/>
      <w:marLeft w:val="0"/>
      <w:marRight w:val="0"/>
      <w:marTop w:val="0"/>
      <w:marBottom w:val="0"/>
      <w:divBdr>
        <w:top w:val="none" w:sz="0" w:space="0" w:color="auto"/>
        <w:left w:val="none" w:sz="0" w:space="0" w:color="auto"/>
        <w:bottom w:val="none" w:sz="0" w:space="0" w:color="auto"/>
        <w:right w:val="none" w:sz="0" w:space="0" w:color="auto"/>
      </w:divBdr>
    </w:div>
    <w:div w:id="545916226">
      <w:bodyDiv w:val="1"/>
      <w:marLeft w:val="0"/>
      <w:marRight w:val="0"/>
      <w:marTop w:val="0"/>
      <w:marBottom w:val="0"/>
      <w:divBdr>
        <w:top w:val="none" w:sz="0" w:space="0" w:color="auto"/>
        <w:left w:val="none" w:sz="0" w:space="0" w:color="auto"/>
        <w:bottom w:val="none" w:sz="0" w:space="0" w:color="auto"/>
        <w:right w:val="none" w:sz="0" w:space="0" w:color="auto"/>
      </w:divBdr>
    </w:div>
    <w:div w:id="579025628">
      <w:bodyDiv w:val="1"/>
      <w:marLeft w:val="0"/>
      <w:marRight w:val="0"/>
      <w:marTop w:val="0"/>
      <w:marBottom w:val="0"/>
      <w:divBdr>
        <w:top w:val="none" w:sz="0" w:space="0" w:color="auto"/>
        <w:left w:val="none" w:sz="0" w:space="0" w:color="auto"/>
        <w:bottom w:val="none" w:sz="0" w:space="0" w:color="auto"/>
        <w:right w:val="none" w:sz="0" w:space="0" w:color="auto"/>
      </w:divBdr>
    </w:div>
    <w:div w:id="586424894">
      <w:bodyDiv w:val="1"/>
      <w:marLeft w:val="0"/>
      <w:marRight w:val="0"/>
      <w:marTop w:val="0"/>
      <w:marBottom w:val="0"/>
      <w:divBdr>
        <w:top w:val="none" w:sz="0" w:space="0" w:color="auto"/>
        <w:left w:val="none" w:sz="0" w:space="0" w:color="auto"/>
        <w:bottom w:val="none" w:sz="0" w:space="0" w:color="auto"/>
        <w:right w:val="none" w:sz="0" w:space="0" w:color="auto"/>
      </w:divBdr>
    </w:div>
    <w:div w:id="601036335">
      <w:bodyDiv w:val="1"/>
      <w:marLeft w:val="0"/>
      <w:marRight w:val="0"/>
      <w:marTop w:val="0"/>
      <w:marBottom w:val="0"/>
      <w:divBdr>
        <w:top w:val="none" w:sz="0" w:space="0" w:color="auto"/>
        <w:left w:val="none" w:sz="0" w:space="0" w:color="auto"/>
        <w:bottom w:val="none" w:sz="0" w:space="0" w:color="auto"/>
        <w:right w:val="none" w:sz="0" w:space="0" w:color="auto"/>
      </w:divBdr>
    </w:div>
    <w:div w:id="606814166">
      <w:bodyDiv w:val="1"/>
      <w:marLeft w:val="0"/>
      <w:marRight w:val="0"/>
      <w:marTop w:val="0"/>
      <w:marBottom w:val="0"/>
      <w:divBdr>
        <w:top w:val="none" w:sz="0" w:space="0" w:color="auto"/>
        <w:left w:val="none" w:sz="0" w:space="0" w:color="auto"/>
        <w:bottom w:val="none" w:sz="0" w:space="0" w:color="auto"/>
        <w:right w:val="none" w:sz="0" w:space="0" w:color="auto"/>
      </w:divBdr>
    </w:div>
    <w:div w:id="607858686">
      <w:bodyDiv w:val="1"/>
      <w:marLeft w:val="0"/>
      <w:marRight w:val="0"/>
      <w:marTop w:val="0"/>
      <w:marBottom w:val="0"/>
      <w:divBdr>
        <w:top w:val="none" w:sz="0" w:space="0" w:color="auto"/>
        <w:left w:val="none" w:sz="0" w:space="0" w:color="auto"/>
        <w:bottom w:val="none" w:sz="0" w:space="0" w:color="auto"/>
        <w:right w:val="none" w:sz="0" w:space="0" w:color="auto"/>
      </w:divBdr>
    </w:div>
    <w:div w:id="615596403">
      <w:bodyDiv w:val="1"/>
      <w:marLeft w:val="0"/>
      <w:marRight w:val="0"/>
      <w:marTop w:val="0"/>
      <w:marBottom w:val="0"/>
      <w:divBdr>
        <w:top w:val="none" w:sz="0" w:space="0" w:color="auto"/>
        <w:left w:val="none" w:sz="0" w:space="0" w:color="auto"/>
        <w:bottom w:val="none" w:sz="0" w:space="0" w:color="auto"/>
        <w:right w:val="none" w:sz="0" w:space="0" w:color="auto"/>
      </w:divBdr>
    </w:div>
    <w:div w:id="656690175">
      <w:bodyDiv w:val="1"/>
      <w:marLeft w:val="0"/>
      <w:marRight w:val="0"/>
      <w:marTop w:val="0"/>
      <w:marBottom w:val="0"/>
      <w:divBdr>
        <w:top w:val="none" w:sz="0" w:space="0" w:color="auto"/>
        <w:left w:val="none" w:sz="0" w:space="0" w:color="auto"/>
        <w:bottom w:val="none" w:sz="0" w:space="0" w:color="auto"/>
        <w:right w:val="none" w:sz="0" w:space="0" w:color="auto"/>
      </w:divBdr>
    </w:div>
    <w:div w:id="679938747">
      <w:bodyDiv w:val="1"/>
      <w:marLeft w:val="0"/>
      <w:marRight w:val="0"/>
      <w:marTop w:val="0"/>
      <w:marBottom w:val="0"/>
      <w:divBdr>
        <w:top w:val="none" w:sz="0" w:space="0" w:color="auto"/>
        <w:left w:val="none" w:sz="0" w:space="0" w:color="auto"/>
        <w:bottom w:val="none" w:sz="0" w:space="0" w:color="auto"/>
        <w:right w:val="none" w:sz="0" w:space="0" w:color="auto"/>
      </w:divBdr>
    </w:div>
    <w:div w:id="702705949">
      <w:bodyDiv w:val="1"/>
      <w:marLeft w:val="0"/>
      <w:marRight w:val="0"/>
      <w:marTop w:val="0"/>
      <w:marBottom w:val="0"/>
      <w:divBdr>
        <w:top w:val="none" w:sz="0" w:space="0" w:color="auto"/>
        <w:left w:val="none" w:sz="0" w:space="0" w:color="auto"/>
        <w:bottom w:val="none" w:sz="0" w:space="0" w:color="auto"/>
        <w:right w:val="none" w:sz="0" w:space="0" w:color="auto"/>
      </w:divBdr>
    </w:div>
    <w:div w:id="720054267">
      <w:bodyDiv w:val="1"/>
      <w:marLeft w:val="0"/>
      <w:marRight w:val="0"/>
      <w:marTop w:val="0"/>
      <w:marBottom w:val="0"/>
      <w:divBdr>
        <w:top w:val="none" w:sz="0" w:space="0" w:color="auto"/>
        <w:left w:val="none" w:sz="0" w:space="0" w:color="auto"/>
        <w:bottom w:val="none" w:sz="0" w:space="0" w:color="auto"/>
        <w:right w:val="none" w:sz="0" w:space="0" w:color="auto"/>
      </w:divBdr>
    </w:div>
    <w:div w:id="774710693">
      <w:bodyDiv w:val="1"/>
      <w:marLeft w:val="0"/>
      <w:marRight w:val="0"/>
      <w:marTop w:val="0"/>
      <w:marBottom w:val="0"/>
      <w:divBdr>
        <w:top w:val="none" w:sz="0" w:space="0" w:color="auto"/>
        <w:left w:val="none" w:sz="0" w:space="0" w:color="auto"/>
        <w:bottom w:val="none" w:sz="0" w:space="0" w:color="auto"/>
        <w:right w:val="none" w:sz="0" w:space="0" w:color="auto"/>
      </w:divBdr>
    </w:div>
    <w:div w:id="780682340">
      <w:bodyDiv w:val="1"/>
      <w:marLeft w:val="0"/>
      <w:marRight w:val="0"/>
      <w:marTop w:val="0"/>
      <w:marBottom w:val="0"/>
      <w:divBdr>
        <w:top w:val="none" w:sz="0" w:space="0" w:color="auto"/>
        <w:left w:val="none" w:sz="0" w:space="0" w:color="auto"/>
        <w:bottom w:val="none" w:sz="0" w:space="0" w:color="auto"/>
        <w:right w:val="none" w:sz="0" w:space="0" w:color="auto"/>
      </w:divBdr>
    </w:div>
    <w:div w:id="794055389">
      <w:bodyDiv w:val="1"/>
      <w:marLeft w:val="0"/>
      <w:marRight w:val="0"/>
      <w:marTop w:val="0"/>
      <w:marBottom w:val="0"/>
      <w:divBdr>
        <w:top w:val="none" w:sz="0" w:space="0" w:color="auto"/>
        <w:left w:val="none" w:sz="0" w:space="0" w:color="auto"/>
        <w:bottom w:val="none" w:sz="0" w:space="0" w:color="auto"/>
        <w:right w:val="none" w:sz="0" w:space="0" w:color="auto"/>
      </w:divBdr>
    </w:div>
    <w:div w:id="796413075">
      <w:bodyDiv w:val="1"/>
      <w:marLeft w:val="0"/>
      <w:marRight w:val="0"/>
      <w:marTop w:val="0"/>
      <w:marBottom w:val="0"/>
      <w:divBdr>
        <w:top w:val="none" w:sz="0" w:space="0" w:color="auto"/>
        <w:left w:val="none" w:sz="0" w:space="0" w:color="auto"/>
        <w:bottom w:val="none" w:sz="0" w:space="0" w:color="auto"/>
        <w:right w:val="none" w:sz="0" w:space="0" w:color="auto"/>
      </w:divBdr>
    </w:div>
    <w:div w:id="829447148">
      <w:bodyDiv w:val="1"/>
      <w:marLeft w:val="0"/>
      <w:marRight w:val="0"/>
      <w:marTop w:val="0"/>
      <w:marBottom w:val="0"/>
      <w:divBdr>
        <w:top w:val="none" w:sz="0" w:space="0" w:color="auto"/>
        <w:left w:val="none" w:sz="0" w:space="0" w:color="auto"/>
        <w:bottom w:val="none" w:sz="0" w:space="0" w:color="auto"/>
        <w:right w:val="none" w:sz="0" w:space="0" w:color="auto"/>
      </w:divBdr>
    </w:div>
    <w:div w:id="861550886">
      <w:bodyDiv w:val="1"/>
      <w:marLeft w:val="0"/>
      <w:marRight w:val="0"/>
      <w:marTop w:val="0"/>
      <w:marBottom w:val="0"/>
      <w:divBdr>
        <w:top w:val="none" w:sz="0" w:space="0" w:color="auto"/>
        <w:left w:val="none" w:sz="0" w:space="0" w:color="auto"/>
        <w:bottom w:val="none" w:sz="0" w:space="0" w:color="auto"/>
        <w:right w:val="none" w:sz="0" w:space="0" w:color="auto"/>
      </w:divBdr>
    </w:div>
    <w:div w:id="866916824">
      <w:bodyDiv w:val="1"/>
      <w:marLeft w:val="0"/>
      <w:marRight w:val="0"/>
      <w:marTop w:val="0"/>
      <w:marBottom w:val="0"/>
      <w:divBdr>
        <w:top w:val="none" w:sz="0" w:space="0" w:color="auto"/>
        <w:left w:val="none" w:sz="0" w:space="0" w:color="auto"/>
        <w:bottom w:val="none" w:sz="0" w:space="0" w:color="auto"/>
        <w:right w:val="none" w:sz="0" w:space="0" w:color="auto"/>
      </w:divBdr>
    </w:div>
    <w:div w:id="894313204">
      <w:bodyDiv w:val="1"/>
      <w:marLeft w:val="0"/>
      <w:marRight w:val="0"/>
      <w:marTop w:val="0"/>
      <w:marBottom w:val="0"/>
      <w:divBdr>
        <w:top w:val="none" w:sz="0" w:space="0" w:color="auto"/>
        <w:left w:val="none" w:sz="0" w:space="0" w:color="auto"/>
        <w:bottom w:val="none" w:sz="0" w:space="0" w:color="auto"/>
        <w:right w:val="none" w:sz="0" w:space="0" w:color="auto"/>
      </w:divBdr>
    </w:div>
    <w:div w:id="898444387">
      <w:bodyDiv w:val="1"/>
      <w:marLeft w:val="0"/>
      <w:marRight w:val="0"/>
      <w:marTop w:val="0"/>
      <w:marBottom w:val="0"/>
      <w:divBdr>
        <w:top w:val="none" w:sz="0" w:space="0" w:color="auto"/>
        <w:left w:val="none" w:sz="0" w:space="0" w:color="auto"/>
        <w:bottom w:val="none" w:sz="0" w:space="0" w:color="auto"/>
        <w:right w:val="none" w:sz="0" w:space="0" w:color="auto"/>
      </w:divBdr>
    </w:div>
    <w:div w:id="924417081">
      <w:bodyDiv w:val="1"/>
      <w:marLeft w:val="0"/>
      <w:marRight w:val="0"/>
      <w:marTop w:val="0"/>
      <w:marBottom w:val="0"/>
      <w:divBdr>
        <w:top w:val="none" w:sz="0" w:space="0" w:color="auto"/>
        <w:left w:val="none" w:sz="0" w:space="0" w:color="auto"/>
        <w:bottom w:val="none" w:sz="0" w:space="0" w:color="auto"/>
        <w:right w:val="none" w:sz="0" w:space="0" w:color="auto"/>
      </w:divBdr>
    </w:div>
    <w:div w:id="929242986">
      <w:bodyDiv w:val="1"/>
      <w:marLeft w:val="0"/>
      <w:marRight w:val="0"/>
      <w:marTop w:val="0"/>
      <w:marBottom w:val="0"/>
      <w:divBdr>
        <w:top w:val="none" w:sz="0" w:space="0" w:color="auto"/>
        <w:left w:val="none" w:sz="0" w:space="0" w:color="auto"/>
        <w:bottom w:val="none" w:sz="0" w:space="0" w:color="auto"/>
        <w:right w:val="none" w:sz="0" w:space="0" w:color="auto"/>
      </w:divBdr>
    </w:div>
    <w:div w:id="945963078">
      <w:bodyDiv w:val="1"/>
      <w:marLeft w:val="0"/>
      <w:marRight w:val="0"/>
      <w:marTop w:val="0"/>
      <w:marBottom w:val="0"/>
      <w:divBdr>
        <w:top w:val="none" w:sz="0" w:space="0" w:color="auto"/>
        <w:left w:val="none" w:sz="0" w:space="0" w:color="auto"/>
        <w:bottom w:val="none" w:sz="0" w:space="0" w:color="auto"/>
        <w:right w:val="none" w:sz="0" w:space="0" w:color="auto"/>
      </w:divBdr>
    </w:div>
    <w:div w:id="954360990">
      <w:bodyDiv w:val="1"/>
      <w:marLeft w:val="0"/>
      <w:marRight w:val="0"/>
      <w:marTop w:val="0"/>
      <w:marBottom w:val="0"/>
      <w:divBdr>
        <w:top w:val="none" w:sz="0" w:space="0" w:color="auto"/>
        <w:left w:val="none" w:sz="0" w:space="0" w:color="auto"/>
        <w:bottom w:val="none" w:sz="0" w:space="0" w:color="auto"/>
        <w:right w:val="none" w:sz="0" w:space="0" w:color="auto"/>
      </w:divBdr>
    </w:div>
    <w:div w:id="985086188">
      <w:bodyDiv w:val="1"/>
      <w:marLeft w:val="0"/>
      <w:marRight w:val="0"/>
      <w:marTop w:val="0"/>
      <w:marBottom w:val="0"/>
      <w:divBdr>
        <w:top w:val="none" w:sz="0" w:space="0" w:color="auto"/>
        <w:left w:val="none" w:sz="0" w:space="0" w:color="auto"/>
        <w:bottom w:val="none" w:sz="0" w:space="0" w:color="auto"/>
        <w:right w:val="none" w:sz="0" w:space="0" w:color="auto"/>
      </w:divBdr>
    </w:div>
    <w:div w:id="1008367255">
      <w:bodyDiv w:val="1"/>
      <w:marLeft w:val="0"/>
      <w:marRight w:val="0"/>
      <w:marTop w:val="0"/>
      <w:marBottom w:val="0"/>
      <w:divBdr>
        <w:top w:val="none" w:sz="0" w:space="0" w:color="auto"/>
        <w:left w:val="none" w:sz="0" w:space="0" w:color="auto"/>
        <w:bottom w:val="none" w:sz="0" w:space="0" w:color="auto"/>
        <w:right w:val="none" w:sz="0" w:space="0" w:color="auto"/>
      </w:divBdr>
    </w:div>
    <w:div w:id="1013923971">
      <w:bodyDiv w:val="1"/>
      <w:marLeft w:val="0"/>
      <w:marRight w:val="0"/>
      <w:marTop w:val="0"/>
      <w:marBottom w:val="0"/>
      <w:divBdr>
        <w:top w:val="none" w:sz="0" w:space="0" w:color="auto"/>
        <w:left w:val="none" w:sz="0" w:space="0" w:color="auto"/>
        <w:bottom w:val="none" w:sz="0" w:space="0" w:color="auto"/>
        <w:right w:val="none" w:sz="0" w:space="0" w:color="auto"/>
      </w:divBdr>
    </w:div>
    <w:div w:id="1039210412">
      <w:bodyDiv w:val="1"/>
      <w:marLeft w:val="0"/>
      <w:marRight w:val="0"/>
      <w:marTop w:val="0"/>
      <w:marBottom w:val="0"/>
      <w:divBdr>
        <w:top w:val="none" w:sz="0" w:space="0" w:color="auto"/>
        <w:left w:val="none" w:sz="0" w:space="0" w:color="auto"/>
        <w:bottom w:val="none" w:sz="0" w:space="0" w:color="auto"/>
        <w:right w:val="none" w:sz="0" w:space="0" w:color="auto"/>
      </w:divBdr>
    </w:div>
    <w:div w:id="1058554916">
      <w:bodyDiv w:val="1"/>
      <w:marLeft w:val="0"/>
      <w:marRight w:val="0"/>
      <w:marTop w:val="0"/>
      <w:marBottom w:val="0"/>
      <w:divBdr>
        <w:top w:val="none" w:sz="0" w:space="0" w:color="auto"/>
        <w:left w:val="none" w:sz="0" w:space="0" w:color="auto"/>
        <w:bottom w:val="none" w:sz="0" w:space="0" w:color="auto"/>
        <w:right w:val="none" w:sz="0" w:space="0" w:color="auto"/>
      </w:divBdr>
    </w:div>
    <w:div w:id="1084691435">
      <w:bodyDiv w:val="1"/>
      <w:marLeft w:val="0"/>
      <w:marRight w:val="0"/>
      <w:marTop w:val="0"/>
      <w:marBottom w:val="0"/>
      <w:divBdr>
        <w:top w:val="none" w:sz="0" w:space="0" w:color="auto"/>
        <w:left w:val="none" w:sz="0" w:space="0" w:color="auto"/>
        <w:bottom w:val="none" w:sz="0" w:space="0" w:color="auto"/>
        <w:right w:val="none" w:sz="0" w:space="0" w:color="auto"/>
      </w:divBdr>
    </w:div>
    <w:div w:id="1085415290">
      <w:bodyDiv w:val="1"/>
      <w:marLeft w:val="0"/>
      <w:marRight w:val="0"/>
      <w:marTop w:val="0"/>
      <w:marBottom w:val="0"/>
      <w:divBdr>
        <w:top w:val="none" w:sz="0" w:space="0" w:color="auto"/>
        <w:left w:val="none" w:sz="0" w:space="0" w:color="auto"/>
        <w:bottom w:val="none" w:sz="0" w:space="0" w:color="auto"/>
        <w:right w:val="none" w:sz="0" w:space="0" w:color="auto"/>
      </w:divBdr>
    </w:div>
    <w:div w:id="1092822174">
      <w:bodyDiv w:val="1"/>
      <w:marLeft w:val="0"/>
      <w:marRight w:val="0"/>
      <w:marTop w:val="0"/>
      <w:marBottom w:val="0"/>
      <w:divBdr>
        <w:top w:val="none" w:sz="0" w:space="0" w:color="auto"/>
        <w:left w:val="none" w:sz="0" w:space="0" w:color="auto"/>
        <w:bottom w:val="none" w:sz="0" w:space="0" w:color="auto"/>
        <w:right w:val="none" w:sz="0" w:space="0" w:color="auto"/>
      </w:divBdr>
    </w:div>
    <w:div w:id="1094476416">
      <w:bodyDiv w:val="1"/>
      <w:marLeft w:val="0"/>
      <w:marRight w:val="0"/>
      <w:marTop w:val="0"/>
      <w:marBottom w:val="0"/>
      <w:divBdr>
        <w:top w:val="none" w:sz="0" w:space="0" w:color="auto"/>
        <w:left w:val="none" w:sz="0" w:space="0" w:color="auto"/>
        <w:bottom w:val="none" w:sz="0" w:space="0" w:color="auto"/>
        <w:right w:val="none" w:sz="0" w:space="0" w:color="auto"/>
      </w:divBdr>
    </w:div>
    <w:div w:id="1109739214">
      <w:bodyDiv w:val="1"/>
      <w:marLeft w:val="0"/>
      <w:marRight w:val="0"/>
      <w:marTop w:val="0"/>
      <w:marBottom w:val="0"/>
      <w:divBdr>
        <w:top w:val="none" w:sz="0" w:space="0" w:color="auto"/>
        <w:left w:val="none" w:sz="0" w:space="0" w:color="auto"/>
        <w:bottom w:val="none" w:sz="0" w:space="0" w:color="auto"/>
        <w:right w:val="none" w:sz="0" w:space="0" w:color="auto"/>
      </w:divBdr>
    </w:div>
    <w:div w:id="1135949101">
      <w:bodyDiv w:val="1"/>
      <w:marLeft w:val="0"/>
      <w:marRight w:val="0"/>
      <w:marTop w:val="0"/>
      <w:marBottom w:val="0"/>
      <w:divBdr>
        <w:top w:val="none" w:sz="0" w:space="0" w:color="auto"/>
        <w:left w:val="none" w:sz="0" w:space="0" w:color="auto"/>
        <w:bottom w:val="none" w:sz="0" w:space="0" w:color="auto"/>
        <w:right w:val="none" w:sz="0" w:space="0" w:color="auto"/>
      </w:divBdr>
    </w:div>
    <w:div w:id="1142381284">
      <w:bodyDiv w:val="1"/>
      <w:marLeft w:val="0"/>
      <w:marRight w:val="0"/>
      <w:marTop w:val="0"/>
      <w:marBottom w:val="0"/>
      <w:divBdr>
        <w:top w:val="none" w:sz="0" w:space="0" w:color="auto"/>
        <w:left w:val="none" w:sz="0" w:space="0" w:color="auto"/>
        <w:bottom w:val="none" w:sz="0" w:space="0" w:color="auto"/>
        <w:right w:val="none" w:sz="0" w:space="0" w:color="auto"/>
      </w:divBdr>
    </w:div>
    <w:div w:id="1143428765">
      <w:bodyDiv w:val="1"/>
      <w:marLeft w:val="0"/>
      <w:marRight w:val="0"/>
      <w:marTop w:val="0"/>
      <w:marBottom w:val="0"/>
      <w:divBdr>
        <w:top w:val="none" w:sz="0" w:space="0" w:color="auto"/>
        <w:left w:val="none" w:sz="0" w:space="0" w:color="auto"/>
        <w:bottom w:val="none" w:sz="0" w:space="0" w:color="auto"/>
        <w:right w:val="none" w:sz="0" w:space="0" w:color="auto"/>
      </w:divBdr>
    </w:div>
    <w:div w:id="1163812021">
      <w:bodyDiv w:val="1"/>
      <w:marLeft w:val="0"/>
      <w:marRight w:val="0"/>
      <w:marTop w:val="0"/>
      <w:marBottom w:val="0"/>
      <w:divBdr>
        <w:top w:val="none" w:sz="0" w:space="0" w:color="auto"/>
        <w:left w:val="none" w:sz="0" w:space="0" w:color="auto"/>
        <w:bottom w:val="none" w:sz="0" w:space="0" w:color="auto"/>
        <w:right w:val="none" w:sz="0" w:space="0" w:color="auto"/>
      </w:divBdr>
    </w:div>
    <w:div w:id="1170365647">
      <w:bodyDiv w:val="1"/>
      <w:marLeft w:val="0"/>
      <w:marRight w:val="0"/>
      <w:marTop w:val="0"/>
      <w:marBottom w:val="0"/>
      <w:divBdr>
        <w:top w:val="none" w:sz="0" w:space="0" w:color="auto"/>
        <w:left w:val="none" w:sz="0" w:space="0" w:color="auto"/>
        <w:bottom w:val="none" w:sz="0" w:space="0" w:color="auto"/>
        <w:right w:val="none" w:sz="0" w:space="0" w:color="auto"/>
      </w:divBdr>
    </w:div>
    <w:div w:id="1178883997">
      <w:bodyDiv w:val="1"/>
      <w:marLeft w:val="0"/>
      <w:marRight w:val="0"/>
      <w:marTop w:val="0"/>
      <w:marBottom w:val="0"/>
      <w:divBdr>
        <w:top w:val="none" w:sz="0" w:space="0" w:color="auto"/>
        <w:left w:val="none" w:sz="0" w:space="0" w:color="auto"/>
        <w:bottom w:val="none" w:sz="0" w:space="0" w:color="auto"/>
        <w:right w:val="none" w:sz="0" w:space="0" w:color="auto"/>
      </w:divBdr>
    </w:div>
    <w:div w:id="1195002055">
      <w:bodyDiv w:val="1"/>
      <w:marLeft w:val="0"/>
      <w:marRight w:val="0"/>
      <w:marTop w:val="0"/>
      <w:marBottom w:val="0"/>
      <w:divBdr>
        <w:top w:val="none" w:sz="0" w:space="0" w:color="auto"/>
        <w:left w:val="none" w:sz="0" w:space="0" w:color="auto"/>
        <w:bottom w:val="none" w:sz="0" w:space="0" w:color="auto"/>
        <w:right w:val="none" w:sz="0" w:space="0" w:color="auto"/>
      </w:divBdr>
    </w:div>
    <w:div w:id="1196623296">
      <w:bodyDiv w:val="1"/>
      <w:marLeft w:val="0"/>
      <w:marRight w:val="0"/>
      <w:marTop w:val="0"/>
      <w:marBottom w:val="0"/>
      <w:divBdr>
        <w:top w:val="none" w:sz="0" w:space="0" w:color="auto"/>
        <w:left w:val="none" w:sz="0" w:space="0" w:color="auto"/>
        <w:bottom w:val="none" w:sz="0" w:space="0" w:color="auto"/>
        <w:right w:val="none" w:sz="0" w:space="0" w:color="auto"/>
      </w:divBdr>
    </w:div>
    <w:div w:id="1204292238">
      <w:bodyDiv w:val="1"/>
      <w:marLeft w:val="0"/>
      <w:marRight w:val="0"/>
      <w:marTop w:val="0"/>
      <w:marBottom w:val="0"/>
      <w:divBdr>
        <w:top w:val="none" w:sz="0" w:space="0" w:color="auto"/>
        <w:left w:val="none" w:sz="0" w:space="0" w:color="auto"/>
        <w:bottom w:val="none" w:sz="0" w:space="0" w:color="auto"/>
        <w:right w:val="none" w:sz="0" w:space="0" w:color="auto"/>
      </w:divBdr>
    </w:div>
    <w:div w:id="1219633551">
      <w:bodyDiv w:val="1"/>
      <w:marLeft w:val="0"/>
      <w:marRight w:val="0"/>
      <w:marTop w:val="0"/>
      <w:marBottom w:val="0"/>
      <w:divBdr>
        <w:top w:val="none" w:sz="0" w:space="0" w:color="auto"/>
        <w:left w:val="none" w:sz="0" w:space="0" w:color="auto"/>
        <w:bottom w:val="none" w:sz="0" w:space="0" w:color="auto"/>
        <w:right w:val="none" w:sz="0" w:space="0" w:color="auto"/>
      </w:divBdr>
    </w:div>
    <w:div w:id="1242835837">
      <w:bodyDiv w:val="1"/>
      <w:marLeft w:val="0"/>
      <w:marRight w:val="0"/>
      <w:marTop w:val="0"/>
      <w:marBottom w:val="0"/>
      <w:divBdr>
        <w:top w:val="none" w:sz="0" w:space="0" w:color="auto"/>
        <w:left w:val="none" w:sz="0" w:space="0" w:color="auto"/>
        <w:bottom w:val="none" w:sz="0" w:space="0" w:color="auto"/>
        <w:right w:val="none" w:sz="0" w:space="0" w:color="auto"/>
      </w:divBdr>
    </w:div>
    <w:div w:id="1285890255">
      <w:bodyDiv w:val="1"/>
      <w:marLeft w:val="0"/>
      <w:marRight w:val="0"/>
      <w:marTop w:val="0"/>
      <w:marBottom w:val="0"/>
      <w:divBdr>
        <w:top w:val="none" w:sz="0" w:space="0" w:color="auto"/>
        <w:left w:val="none" w:sz="0" w:space="0" w:color="auto"/>
        <w:bottom w:val="none" w:sz="0" w:space="0" w:color="auto"/>
        <w:right w:val="none" w:sz="0" w:space="0" w:color="auto"/>
      </w:divBdr>
    </w:div>
    <w:div w:id="1290237936">
      <w:bodyDiv w:val="1"/>
      <w:marLeft w:val="0"/>
      <w:marRight w:val="0"/>
      <w:marTop w:val="0"/>
      <w:marBottom w:val="0"/>
      <w:divBdr>
        <w:top w:val="none" w:sz="0" w:space="0" w:color="auto"/>
        <w:left w:val="none" w:sz="0" w:space="0" w:color="auto"/>
        <w:bottom w:val="none" w:sz="0" w:space="0" w:color="auto"/>
        <w:right w:val="none" w:sz="0" w:space="0" w:color="auto"/>
      </w:divBdr>
    </w:div>
    <w:div w:id="1300500351">
      <w:bodyDiv w:val="1"/>
      <w:marLeft w:val="0"/>
      <w:marRight w:val="0"/>
      <w:marTop w:val="0"/>
      <w:marBottom w:val="0"/>
      <w:divBdr>
        <w:top w:val="none" w:sz="0" w:space="0" w:color="auto"/>
        <w:left w:val="none" w:sz="0" w:space="0" w:color="auto"/>
        <w:bottom w:val="none" w:sz="0" w:space="0" w:color="auto"/>
        <w:right w:val="none" w:sz="0" w:space="0" w:color="auto"/>
      </w:divBdr>
    </w:div>
    <w:div w:id="1396976613">
      <w:bodyDiv w:val="1"/>
      <w:marLeft w:val="0"/>
      <w:marRight w:val="0"/>
      <w:marTop w:val="0"/>
      <w:marBottom w:val="0"/>
      <w:divBdr>
        <w:top w:val="none" w:sz="0" w:space="0" w:color="auto"/>
        <w:left w:val="none" w:sz="0" w:space="0" w:color="auto"/>
        <w:bottom w:val="none" w:sz="0" w:space="0" w:color="auto"/>
        <w:right w:val="none" w:sz="0" w:space="0" w:color="auto"/>
      </w:divBdr>
    </w:div>
    <w:div w:id="1417554139">
      <w:bodyDiv w:val="1"/>
      <w:marLeft w:val="0"/>
      <w:marRight w:val="0"/>
      <w:marTop w:val="0"/>
      <w:marBottom w:val="0"/>
      <w:divBdr>
        <w:top w:val="none" w:sz="0" w:space="0" w:color="auto"/>
        <w:left w:val="none" w:sz="0" w:space="0" w:color="auto"/>
        <w:bottom w:val="none" w:sz="0" w:space="0" w:color="auto"/>
        <w:right w:val="none" w:sz="0" w:space="0" w:color="auto"/>
      </w:divBdr>
    </w:div>
    <w:div w:id="1426073586">
      <w:bodyDiv w:val="1"/>
      <w:marLeft w:val="0"/>
      <w:marRight w:val="0"/>
      <w:marTop w:val="0"/>
      <w:marBottom w:val="0"/>
      <w:divBdr>
        <w:top w:val="none" w:sz="0" w:space="0" w:color="auto"/>
        <w:left w:val="none" w:sz="0" w:space="0" w:color="auto"/>
        <w:bottom w:val="none" w:sz="0" w:space="0" w:color="auto"/>
        <w:right w:val="none" w:sz="0" w:space="0" w:color="auto"/>
      </w:divBdr>
    </w:div>
    <w:div w:id="1430195477">
      <w:bodyDiv w:val="1"/>
      <w:marLeft w:val="0"/>
      <w:marRight w:val="0"/>
      <w:marTop w:val="0"/>
      <w:marBottom w:val="0"/>
      <w:divBdr>
        <w:top w:val="none" w:sz="0" w:space="0" w:color="auto"/>
        <w:left w:val="none" w:sz="0" w:space="0" w:color="auto"/>
        <w:bottom w:val="none" w:sz="0" w:space="0" w:color="auto"/>
        <w:right w:val="none" w:sz="0" w:space="0" w:color="auto"/>
      </w:divBdr>
    </w:div>
    <w:div w:id="1431782016">
      <w:bodyDiv w:val="1"/>
      <w:marLeft w:val="0"/>
      <w:marRight w:val="0"/>
      <w:marTop w:val="0"/>
      <w:marBottom w:val="0"/>
      <w:divBdr>
        <w:top w:val="none" w:sz="0" w:space="0" w:color="auto"/>
        <w:left w:val="none" w:sz="0" w:space="0" w:color="auto"/>
        <w:bottom w:val="none" w:sz="0" w:space="0" w:color="auto"/>
        <w:right w:val="none" w:sz="0" w:space="0" w:color="auto"/>
      </w:divBdr>
    </w:div>
    <w:div w:id="1436751664">
      <w:bodyDiv w:val="1"/>
      <w:marLeft w:val="0"/>
      <w:marRight w:val="0"/>
      <w:marTop w:val="0"/>
      <w:marBottom w:val="0"/>
      <w:divBdr>
        <w:top w:val="none" w:sz="0" w:space="0" w:color="auto"/>
        <w:left w:val="none" w:sz="0" w:space="0" w:color="auto"/>
        <w:bottom w:val="none" w:sz="0" w:space="0" w:color="auto"/>
        <w:right w:val="none" w:sz="0" w:space="0" w:color="auto"/>
      </w:divBdr>
    </w:div>
    <w:div w:id="1460535887">
      <w:bodyDiv w:val="1"/>
      <w:marLeft w:val="0"/>
      <w:marRight w:val="0"/>
      <w:marTop w:val="0"/>
      <w:marBottom w:val="0"/>
      <w:divBdr>
        <w:top w:val="none" w:sz="0" w:space="0" w:color="auto"/>
        <w:left w:val="none" w:sz="0" w:space="0" w:color="auto"/>
        <w:bottom w:val="none" w:sz="0" w:space="0" w:color="auto"/>
        <w:right w:val="none" w:sz="0" w:space="0" w:color="auto"/>
      </w:divBdr>
    </w:div>
    <w:div w:id="1465348985">
      <w:bodyDiv w:val="1"/>
      <w:marLeft w:val="0"/>
      <w:marRight w:val="0"/>
      <w:marTop w:val="0"/>
      <w:marBottom w:val="0"/>
      <w:divBdr>
        <w:top w:val="none" w:sz="0" w:space="0" w:color="auto"/>
        <w:left w:val="none" w:sz="0" w:space="0" w:color="auto"/>
        <w:bottom w:val="none" w:sz="0" w:space="0" w:color="auto"/>
        <w:right w:val="none" w:sz="0" w:space="0" w:color="auto"/>
      </w:divBdr>
    </w:div>
    <w:div w:id="1491628824">
      <w:bodyDiv w:val="1"/>
      <w:marLeft w:val="0"/>
      <w:marRight w:val="0"/>
      <w:marTop w:val="0"/>
      <w:marBottom w:val="0"/>
      <w:divBdr>
        <w:top w:val="none" w:sz="0" w:space="0" w:color="auto"/>
        <w:left w:val="none" w:sz="0" w:space="0" w:color="auto"/>
        <w:bottom w:val="none" w:sz="0" w:space="0" w:color="auto"/>
        <w:right w:val="none" w:sz="0" w:space="0" w:color="auto"/>
      </w:divBdr>
    </w:div>
    <w:div w:id="1495100962">
      <w:bodyDiv w:val="1"/>
      <w:marLeft w:val="0"/>
      <w:marRight w:val="0"/>
      <w:marTop w:val="0"/>
      <w:marBottom w:val="0"/>
      <w:divBdr>
        <w:top w:val="none" w:sz="0" w:space="0" w:color="auto"/>
        <w:left w:val="none" w:sz="0" w:space="0" w:color="auto"/>
        <w:bottom w:val="none" w:sz="0" w:space="0" w:color="auto"/>
        <w:right w:val="none" w:sz="0" w:space="0" w:color="auto"/>
      </w:divBdr>
    </w:div>
    <w:div w:id="1496729656">
      <w:bodyDiv w:val="1"/>
      <w:marLeft w:val="0"/>
      <w:marRight w:val="0"/>
      <w:marTop w:val="0"/>
      <w:marBottom w:val="0"/>
      <w:divBdr>
        <w:top w:val="none" w:sz="0" w:space="0" w:color="auto"/>
        <w:left w:val="none" w:sz="0" w:space="0" w:color="auto"/>
        <w:bottom w:val="none" w:sz="0" w:space="0" w:color="auto"/>
        <w:right w:val="none" w:sz="0" w:space="0" w:color="auto"/>
      </w:divBdr>
    </w:div>
    <w:div w:id="1542325406">
      <w:bodyDiv w:val="1"/>
      <w:marLeft w:val="0"/>
      <w:marRight w:val="0"/>
      <w:marTop w:val="0"/>
      <w:marBottom w:val="0"/>
      <w:divBdr>
        <w:top w:val="none" w:sz="0" w:space="0" w:color="auto"/>
        <w:left w:val="none" w:sz="0" w:space="0" w:color="auto"/>
        <w:bottom w:val="none" w:sz="0" w:space="0" w:color="auto"/>
        <w:right w:val="none" w:sz="0" w:space="0" w:color="auto"/>
      </w:divBdr>
    </w:div>
    <w:div w:id="1551502962">
      <w:bodyDiv w:val="1"/>
      <w:marLeft w:val="0"/>
      <w:marRight w:val="0"/>
      <w:marTop w:val="0"/>
      <w:marBottom w:val="0"/>
      <w:divBdr>
        <w:top w:val="none" w:sz="0" w:space="0" w:color="auto"/>
        <w:left w:val="none" w:sz="0" w:space="0" w:color="auto"/>
        <w:bottom w:val="none" w:sz="0" w:space="0" w:color="auto"/>
        <w:right w:val="none" w:sz="0" w:space="0" w:color="auto"/>
      </w:divBdr>
    </w:div>
    <w:div w:id="1557862720">
      <w:bodyDiv w:val="1"/>
      <w:marLeft w:val="0"/>
      <w:marRight w:val="0"/>
      <w:marTop w:val="0"/>
      <w:marBottom w:val="0"/>
      <w:divBdr>
        <w:top w:val="none" w:sz="0" w:space="0" w:color="auto"/>
        <w:left w:val="none" w:sz="0" w:space="0" w:color="auto"/>
        <w:bottom w:val="none" w:sz="0" w:space="0" w:color="auto"/>
        <w:right w:val="none" w:sz="0" w:space="0" w:color="auto"/>
      </w:divBdr>
    </w:div>
    <w:div w:id="1565068647">
      <w:bodyDiv w:val="1"/>
      <w:marLeft w:val="0"/>
      <w:marRight w:val="0"/>
      <w:marTop w:val="0"/>
      <w:marBottom w:val="0"/>
      <w:divBdr>
        <w:top w:val="none" w:sz="0" w:space="0" w:color="auto"/>
        <w:left w:val="none" w:sz="0" w:space="0" w:color="auto"/>
        <w:bottom w:val="none" w:sz="0" w:space="0" w:color="auto"/>
        <w:right w:val="none" w:sz="0" w:space="0" w:color="auto"/>
      </w:divBdr>
    </w:div>
    <w:div w:id="1599483740">
      <w:bodyDiv w:val="1"/>
      <w:marLeft w:val="0"/>
      <w:marRight w:val="0"/>
      <w:marTop w:val="0"/>
      <w:marBottom w:val="0"/>
      <w:divBdr>
        <w:top w:val="none" w:sz="0" w:space="0" w:color="auto"/>
        <w:left w:val="none" w:sz="0" w:space="0" w:color="auto"/>
        <w:bottom w:val="none" w:sz="0" w:space="0" w:color="auto"/>
        <w:right w:val="none" w:sz="0" w:space="0" w:color="auto"/>
      </w:divBdr>
    </w:div>
    <w:div w:id="1616018853">
      <w:bodyDiv w:val="1"/>
      <w:marLeft w:val="0"/>
      <w:marRight w:val="0"/>
      <w:marTop w:val="0"/>
      <w:marBottom w:val="0"/>
      <w:divBdr>
        <w:top w:val="none" w:sz="0" w:space="0" w:color="auto"/>
        <w:left w:val="none" w:sz="0" w:space="0" w:color="auto"/>
        <w:bottom w:val="none" w:sz="0" w:space="0" w:color="auto"/>
        <w:right w:val="none" w:sz="0" w:space="0" w:color="auto"/>
      </w:divBdr>
    </w:div>
    <w:div w:id="1635059946">
      <w:bodyDiv w:val="1"/>
      <w:marLeft w:val="0"/>
      <w:marRight w:val="0"/>
      <w:marTop w:val="0"/>
      <w:marBottom w:val="0"/>
      <w:divBdr>
        <w:top w:val="none" w:sz="0" w:space="0" w:color="auto"/>
        <w:left w:val="none" w:sz="0" w:space="0" w:color="auto"/>
        <w:bottom w:val="none" w:sz="0" w:space="0" w:color="auto"/>
        <w:right w:val="none" w:sz="0" w:space="0" w:color="auto"/>
      </w:divBdr>
    </w:div>
    <w:div w:id="1685398894">
      <w:bodyDiv w:val="1"/>
      <w:marLeft w:val="0"/>
      <w:marRight w:val="0"/>
      <w:marTop w:val="0"/>
      <w:marBottom w:val="0"/>
      <w:divBdr>
        <w:top w:val="none" w:sz="0" w:space="0" w:color="auto"/>
        <w:left w:val="none" w:sz="0" w:space="0" w:color="auto"/>
        <w:bottom w:val="none" w:sz="0" w:space="0" w:color="auto"/>
        <w:right w:val="none" w:sz="0" w:space="0" w:color="auto"/>
      </w:divBdr>
    </w:div>
    <w:div w:id="1695108745">
      <w:bodyDiv w:val="1"/>
      <w:marLeft w:val="0"/>
      <w:marRight w:val="0"/>
      <w:marTop w:val="0"/>
      <w:marBottom w:val="0"/>
      <w:divBdr>
        <w:top w:val="none" w:sz="0" w:space="0" w:color="auto"/>
        <w:left w:val="none" w:sz="0" w:space="0" w:color="auto"/>
        <w:bottom w:val="none" w:sz="0" w:space="0" w:color="auto"/>
        <w:right w:val="none" w:sz="0" w:space="0" w:color="auto"/>
      </w:divBdr>
    </w:div>
    <w:div w:id="1695643742">
      <w:bodyDiv w:val="1"/>
      <w:marLeft w:val="0"/>
      <w:marRight w:val="0"/>
      <w:marTop w:val="0"/>
      <w:marBottom w:val="0"/>
      <w:divBdr>
        <w:top w:val="none" w:sz="0" w:space="0" w:color="auto"/>
        <w:left w:val="none" w:sz="0" w:space="0" w:color="auto"/>
        <w:bottom w:val="none" w:sz="0" w:space="0" w:color="auto"/>
        <w:right w:val="none" w:sz="0" w:space="0" w:color="auto"/>
      </w:divBdr>
    </w:div>
    <w:div w:id="1699817197">
      <w:bodyDiv w:val="1"/>
      <w:marLeft w:val="0"/>
      <w:marRight w:val="0"/>
      <w:marTop w:val="0"/>
      <w:marBottom w:val="0"/>
      <w:divBdr>
        <w:top w:val="none" w:sz="0" w:space="0" w:color="auto"/>
        <w:left w:val="none" w:sz="0" w:space="0" w:color="auto"/>
        <w:bottom w:val="none" w:sz="0" w:space="0" w:color="auto"/>
        <w:right w:val="none" w:sz="0" w:space="0" w:color="auto"/>
      </w:divBdr>
    </w:div>
    <w:div w:id="1725445713">
      <w:bodyDiv w:val="1"/>
      <w:marLeft w:val="0"/>
      <w:marRight w:val="0"/>
      <w:marTop w:val="0"/>
      <w:marBottom w:val="0"/>
      <w:divBdr>
        <w:top w:val="none" w:sz="0" w:space="0" w:color="auto"/>
        <w:left w:val="none" w:sz="0" w:space="0" w:color="auto"/>
        <w:bottom w:val="none" w:sz="0" w:space="0" w:color="auto"/>
        <w:right w:val="none" w:sz="0" w:space="0" w:color="auto"/>
      </w:divBdr>
    </w:div>
    <w:div w:id="1737775101">
      <w:bodyDiv w:val="1"/>
      <w:marLeft w:val="0"/>
      <w:marRight w:val="0"/>
      <w:marTop w:val="0"/>
      <w:marBottom w:val="0"/>
      <w:divBdr>
        <w:top w:val="none" w:sz="0" w:space="0" w:color="auto"/>
        <w:left w:val="none" w:sz="0" w:space="0" w:color="auto"/>
        <w:bottom w:val="none" w:sz="0" w:space="0" w:color="auto"/>
        <w:right w:val="none" w:sz="0" w:space="0" w:color="auto"/>
      </w:divBdr>
    </w:div>
    <w:div w:id="1758474399">
      <w:bodyDiv w:val="1"/>
      <w:marLeft w:val="0"/>
      <w:marRight w:val="0"/>
      <w:marTop w:val="0"/>
      <w:marBottom w:val="0"/>
      <w:divBdr>
        <w:top w:val="none" w:sz="0" w:space="0" w:color="auto"/>
        <w:left w:val="none" w:sz="0" w:space="0" w:color="auto"/>
        <w:bottom w:val="none" w:sz="0" w:space="0" w:color="auto"/>
        <w:right w:val="none" w:sz="0" w:space="0" w:color="auto"/>
      </w:divBdr>
    </w:div>
    <w:div w:id="1771661537">
      <w:bodyDiv w:val="1"/>
      <w:marLeft w:val="0"/>
      <w:marRight w:val="0"/>
      <w:marTop w:val="0"/>
      <w:marBottom w:val="0"/>
      <w:divBdr>
        <w:top w:val="none" w:sz="0" w:space="0" w:color="auto"/>
        <w:left w:val="none" w:sz="0" w:space="0" w:color="auto"/>
        <w:bottom w:val="none" w:sz="0" w:space="0" w:color="auto"/>
        <w:right w:val="none" w:sz="0" w:space="0" w:color="auto"/>
      </w:divBdr>
    </w:div>
    <w:div w:id="1777212585">
      <w:bodyDiv w:val="1"/>
      <w:marLeft w:val="0"/>
      <w:marRight w:val="0"/>
      <w:marTop w:val="0"/>
      <w:marBottom w:val="0"/>
      <w:divBdr>
        <w:top w:val="none" w:sz="0" w:space="0" w:color="auto"/>
        <w:left w:val="none" w:sz="0" w:space="0" w:color="auto"/>
        <w:bottom w:val="none" w:sz="0" w:space="0" w:color="auto"/>
        <w:right w:val="none" w:sz="0" w:space="0" w:color="auto"/>
      </w:divBdr>
    </w:div>
    <w:div w:id="1804427344">
      <w:bodyDiv w:val="1"/>
      <w:marLeft w:val="0"/>
      <w:marRight w:val="0"/>
      <w:marTop w:val="0"/>
      <w:marBottom w:val="0"/>
      <w:divBdr>
        <w:top w:val="none" w:sz="0" w:space="0" w:color="auto"/>
        <w:left w:val="none" w:sz="0" w:space="0" w:color="auto"/>
        <w:bottom w:val="none" w:sz="0" w:space="0" w:color="auto"/>
        <w:right w:val="none" w:sz="0" w:space="0" w:color="auto"/>
      </w:divBdr>
    </w:div>
    <w:div w:id="1816951813">
      <w:bodyDiv w:val="1"/>
      <w:marLeft w:val="0"/>
      <w:marRight w:val="0"/>
      <w:marTop w:val="0"/>
      <w:marBottom w:val="0"/>
      <w:divBdr>
        <w:top w:val="none" w:sz="0" w:space="0" w:color="auto"/>
        <w:left w:val="none" w:sz="0" w:space="0" w:color="auto"/>
        <w:bottom w:val="none" w:sz="0" w:space="0" w:color="auto"/>
        <w:right w:val="none" w:sz="0" w:space="0" w:color="auto"/>
      </w:divBdr>
    </w:div>
    <w:div w:id="1835485843">
      <w:bodyDiv w:val="1"/>
      <w:marLeft w:val="0"/>
      <w:marRight w:val="0"/>
      <w:marTop w:val="0"/>
      <w:marBottom w:val="0"/>
      <w:divBdr>
        <w:top w:val="none" w:sz="0" w:space="0" w:color="auto"/>
        <w:left w:val="none" w:sz="0" w:space="0" w:color="auto"/>
        <w:bottom w:val="none" w:sz="0" w:space="0" w:color="auto"/>
        <w:right w:val="none" w:sz="0" w:space="0" w:color="auto"/>
      </w:divBdr>
    </w:div>
    <w:div w:id="1838839739">
      <w:bodyDiv w:val="1"/>
      <w:marLeft w:val="0"/>
      <w:marRight w:val="0"/>
      <w:marTop w:val="0"/>
      <w:marBottom w:val="0"/>
      <w:divBdr>
        <w:top w:val="none" w:sz="0" w:space="0" w:color="auto"/>
        <w:left w:val="none" w:sz="0" w:space="0" w:color="auto"/>
        <w:bottom w:val="none" w:sz="0" w:space="0" w:color="auto"/>
        <w:right w:val="none" w:sz="0" w:space="0" w:color="auto"/>
      </w:divBdr>
    </w:div>
    <w:div w:id="1874339925">
      <w:bodyDiv w:val="1"/>
      <w:marLeft w:val="0"/>
      <w:marRight w:val="0"/>
      <w:marTop w:val="0"/>
      <w:marBottom w:val="0"/>
      <w:divBdr>
        <w:top w:val="none" w:sz="0" w:space="0" w:color="auto"/>
        <w:left w:val="none" w:sz="0" w:space="0" w:color="auto"/>
        <w:bottom w:val="none" w:sz="0" w:space="0" w:color="auto"/>
        <w:right w:val="none" w:sz="0" w:space="0" w:color="auto"/>
      </w:divBdr>
    </w:div>
    <w:div w:id="1895501434">
      <w:bodyDiv w:val="1"/>
      <w:marLeft w:val="0"/>
      <w:marRight w:val="0"/>
      <w:marTop w:val="0"/>
      <w:marBottom w:val="0"/>
      <w:divBdr>
        <w:top w:val="none" w:sz="0" w:space="0" w:color="auto"/>
        <w:left w:val="none" w:sz="0" w:space="0" w:color="auto"/>
        <w:bottom w:val="none" w:sz="0" w:space="0" w:color="auto"/>
        <w:right w:val="none" w:sz="0" w:space="0" w:color="auto"/>
      </w:divBdr>
    </w:div>
    <w:div w:id="1941332702">
      <w:bodyDiv w:val="1"/>
      <w:marLeft w:val="0"/>
      <w:marRight w:val="0"/>
      <w:marTop w:val="0"/>
      <w:marBottom w:val="0"/>
      <w:divBdr>
        <w:top w:val="none" w:sz="0" w:space="0" w:color="auto"/>
        <w:left w:val="none" w:sz="0" w:space="0" w:color="auto"/>
        <w:bottom w:val="none" w:sz="0" w:space="0" w:color="auto"/>
        <w:right w:val="none" w:sz="0" w:space="0" w:color="auto"/>
      </w:divBdr>
    </w:div>
    <w:div w:id="1953319198">
      <w:bodyDiv w:val="1"/>
      <w:marLeft w:val="0"/>
      <w:marRight w:val="0"/>
      <w:marTop w:val="0"/>
      <w:marBottom w:val="0"/>
      <w:divBdr>
        <w:top w:val="none" w:sz="0" w:space="0" w:color="auto"/>
        <w:left w:val="none" w:sz="0" w:space="0" w:color="auto"/>
        <w:bottom w:val="none" w:sz="0" w:space="0" w:color="auto"/>
        <w:right w:val="none" w:sz="0" w:space="0" w:color="auto"/>
      </w:divBdr>
    </w:div>
    <w:div w:id="1958222598">
      <w:bodyDiv w:val="1"/>
      <w:marLeft w:val="0"/>
      <w:marRight w:val="0"/>
      <w:marTop w:val="0"/>
      <w:marBottom w:val="0"/>
      <w:divBdr>
        <w:top w:val="none" w:sz="0" w:space="0" w:color="auto"/>
        <w:left w:val="none" w:sz="0" w:space="0" w:color="auto"/>
        <w:bottom w:val="none" w:sz="0" w:space="0" w:color="auto"/>
        <w:right w:val="none" w:sz="0" w:space="0" w:color="auto"/>
      </w:divBdr>
    </w:div>
    <w:div w:id="1960067036">
      <w:bodyDiv w:val="1"/>
      <w:marLeft w:val="0"/>
      <w:marRight w:val="0"/>
      <w:marTop w:val="0"/>
      <w:marBottom w:val="0"/>
      <w:divBdr>
        <w:top w:val="none" w:sz="0" w:space="0" w:color="auto"/>
        <w:left w:val="none" w:sz="0" w:space="0" w:color="auto"/>
        <w:bottom w:val="none" w:sz="0" w:space="0" w:color="auto"/>
        <w:right w:val="none" w:sz="0" w:space="0" w:color="auto"/>
      </w:divBdr>
    </w:div>
    <w:div w:id="1981574393">
      <w:bodyDiv w:val="1"/>
      <w:marLeft w:val="0"/>
      <w:marRight w:val="0"/>
      <w:marTop w:val="0"/>
      <w:marBottom w:val="0"/>
      <w:divBdr>
        <w:top w:val="none" w:sz="0" w:space="0" w:color="auto"/>
        <w:left w:val="none" w:sz="0" w:space="0" w:color="auto"/>
        <w:bottom w:val="none" w:sz="0" w:space="0" w:color="auto"/>
        <w:right w:val="none" w:sz="0" w:space="0" w:color="auto"/>
      </w:divBdr>
    </w:div>
    <w:div w:id="1991399805">
      <w:bodyDiv w:val="1"/>
      <w:marLeft w:val="0"/>
      <w:marRight w:val="0"/>
      <w:marTop w:val="0"/>
      <w:marBottom w:val="0"/>
      <w:divBdr>
        <w:top w:val="none" w:sz="0" w:space="0" w:color="auto"/>
        <w:left w:val="none" w:sz="0" w:space="0" w:color="auto"/>
        <w:bottom w:val="none" w:sz="0" w:space="0" w:color="auto"/>
        <w:right w:val="none" w:sz="0" w:space="0" w:color="auto"/>
      </w:divBdr>
    </w:div>
    <w:div w:id="2016956787">
      <w:bodyDiv w:val="1"/>
      <w:marLeft w:val="0"/>
      <w:marRight w:val="0"/>
      <w:marTop w:val="0"/>
      <w:marBottom w:val="0"/>
      <w:divBdr>
        <w:top w:val="none" w:sz="0" w:space="0" w:color="auto"/>
        <w:left w:val="none" w:sz="0" w:space="0" w:color="auto"/>
        <w:bottom w:val="none" w:sz="0" w:space="0" w:color="auto"/>
        <w:right w:val="none" w:sz="0" w:space="0" w:color="auto"/>
      </w:divBdr>
    </w:div>
    <w:div w:id="2023705953">
      <w:bodyDiv w:val="1"/>
      <w:marLeft w:val="0"/>
      <w:marRight w:val="0"/>
      <w:marTop w:val="0"/>
      <w:marBottom w:val="0"/>
      <w:divBdr>
        <w:top w:val="none" w:sz="0" w:space="0" w:color="auto"/>
        <w:left w:val="none" w:sz="0" w:space="0" w:color="auto"/>
        <w:bottom w:val="none" w:sz="0" w:space="0" w:color="auto"/>
        <w:right w:val="none" w:sz="0" w:space="0" w:color="auto"/>
      </w:divBdr>
    </w:div>
    <w:div w:id="2025276709">
      <w:bodyDiv w:val="1"/>
      <w:marLeft w:val="0"/>
      <w:marRight w:val="0"/>
      <w:marTop w:val="0"/>
      <w:marBottom w:val="0"/>
      <w:divBdr>
        <w:top w:val="none" w:sz="0" w:space="0" w:color="auto"/>
        <w:left w:val="none" w:sz="0" w:space="0" w:color="auto"/>
        <w:bottom w:val="none" w:sz="0" w:space="0" w:color="auto"/>
        <w:right w:val="none" w:sz="0" w:space="0" w:color="auto"/>
      </w:divBdr>
    </w:div>
    <w:div w:id="2062829142">
      <w:bodyDiv w:val="1"/>
      <w:marLeft w:val="0"/>
      <w:marRight w:val="0"/>
      <w:marTop w:val="0"/>
      <w:marBottom w:val="0"/>
      <w:divBdr>
        <w:top w:val="none" w:sz="0" w:space="0" w:color="auto"/>
        <w:left w:val="none" w:sz="0" w:space="0" w:color="auto"/>
        <w:bottom w:val="none" w:sz="0" w:space="0" w:color="auto"/>
        <w:right w:val="none" w:sz="0" w:space="0" w:color="auto"/>
      </w:divBdr>
    </w:div>
    <w:div w:id="2077849277">
      <w:bodyDiv w:val="1"/>
      <w:marLeft w:val="0"/>
      <w:marRight w:val="0"/>
      <w:marTop w:val="0"/>
      <w:marBottom w:val="0"/>
      <w:divBdr>
        <w:top w:val="none" w:sz="0" w:space="0" w:color="auto"/>
        <w:left w:val="none" w:sz="0" w:space="0" w:color="auto"/>
        <w:bottom w:val="none" w:sz="0" w:space="0" w:color="auto"/>
        <w:right w:val="none" w:sz="0" w:space="0" w:color="auto"/>
      </w:divBdr>
    </w:div>
    <w:div w:id="2082218461">
      <w:bodyDiv w:val="1"/>
      <w:marLeft w:val="0"/>
      <w:marRight w:val="0"/>
      <w:marTop w:val="0"/>
      <w:marBottom w:val="0"/>
      <w:divBdr>
        <w:top w:val="none" w:sz="0" w:space="0" w:color="auto"/>
        <w:left w:val="none" w:sz="0" w:space="0" w:color="auto"/>
        <w:bottom w:val="none" w:sz="0" w:space="0" w:color="auto"/>
        <w:right w:val="none" w:sz="0" w:space="0" w:color="auto"/>
      </w:divBdr>
    </w:div>
    <w:div w:id="2084251433">
      <w:bodyDiv w:val="1"/>
      <w:marLeft w:val="0"/>
      <w:marRight w:val="0"/>
      <w:marTop w:val="0"/>
      <w:marBottom w:val="0"/>
      <w:divBdr>
        <w:top w:val="none" w:sz="0" w:space="0" w:color="auto"/>
        <w:left w:val="none" w:sz="0" w:space="0" w:color="auto"/>
        <w:bottom w:val="none" w:sz="0" w:space="0" w:color="auto"/>
        <w:right w:val="none" w:sz="0" w:space="0" w:color="auto"/>
      </w:divBdr>
    </w:div>
    <w:div w:id="2086762651">
      <w:bodyDiv w:val="1"/>
      <w:marLeft w:val="0"/>
      <w:marRight w:val="0"/>
      <w:marTop w:val="0"/>
      <w:marBottom w:val="0"/>
      <w:divBdr>
        <w:top w:val="none" w:sz="0" w:space="0" w:color="auto"/>
        <w:left w:val="none" w:sz="0" w:space="0" w:color="auto"/>
        <w:bottom w:val="none" w:sz="0" w:space="0" w:color="auto"/>
        <w:right w:val="none" w:sz="0" w:space="0" w:color="auto"/>
      </w:divBdr>
    </w:div>
    <w:div w:id="2090155030">
      <w:bodyDiv w:val="1"/>
      <w:marLeft w:val="0"/>
      <w:marRight w:val="0"/>
      <w:marTop w:val="0"/>
      <w:marBottom w:val="0"/>
      <w:divBdr>
        <w:top w:val="none" w:sz="0" w:space="0" w:color="auto"/>
        <w:left w:val="none" w:sz="0" w:space="0" w:color="auto"/>
        <w:bottom w:val="none" w:sz="0" w:space="0" w:color="auto"/>
        <w:right w:val="none" w:sz="0" w:space="0" w:color="auto"/>
      </w:divBdr>
    </w:div>
    <w:div w:id="2096516371">
      <w:bodyDiv w:val="1"/>
      <w:marLeft w:val="0"/>
      <w:marRight w:val="0"/>
      <w:marTop w:val="0"/>
      <w:marBottom w:val="0"/>
      <w:divBdr>
        <w:top w:val="none" w:sz="0" w:space="0" w:color="auto"/>
        <w:left w:val="none" w:sz="0" w:space="0" w:color="auto"/>
        <w:bottom w:val="none" w:sz="0" w:space="0" w:color="auto"/>
        <w:right w:val="none" w:sz="0" w:space="0" w:color="auto"/>
      </w:divBdr>
    </w:div>
    <w:div w:id="2112318270">
      <w:bodyDiv w:val="1"/>
      <w:marLeft w:val="0"/>
      <w:marRight w:val="0"/>
      <w:marTop w:val="0"/>
      <w:marBottom w:val="0"/>
      <w:divBdr>
        <w:top w:val="none" w:sz="0" w:space="0" w:color="auto"/>
        <w:left w:val="none" w:sz="0" w:space="0" w:color="auto"/>
        <w:bottom w:val="none" w:sz="0" w:space="0" w:color="auto"/>
        <w:right w:val="none" w:sz="0" w:space="0" w:color="auto"/>
      </w:divBdr>
    </w:div>
    <w:div w:id="2113162359">
      <w:bodyDiv w:val="1"/>
      <w:marLeft w:val="0"/>
      <w:marRight w:val="0"/>
      <w:marTop w:val="0"/>
      <w:marBottom w:val="0"/>
      <w:divBdr>
        <w:top w:val="none" w:sz="0" w:space="0" w:color="auto"/>
        <w:left w:val="none" w:sz="0" w:space="0" w:color="auto"/>
        <w:bottom w:val="none" w:sz="0" w:space="0" w:color="auto"/>
        <w:right w:val="none" w:sz="0" w:space="0" w:color="auto"/>
      </w:divBdr>
    </w:div>
    <w:div w:id="2121487502">
      <w:bodyDiv w:val="1"/>
      <w:marLeft w:val="0"/>
      <w:marRight w:val="0"/>
      <w:marTop w:val="0"/>
      <w:marBottom w:val="0"/>
      <w:divBdr>
        <w:top w:val="none" w:sz="0" w:space="0" w:color="auto"/>
        <w:left w:val="none" w:sz="0" w:space="0" w:color="auto"/>
        <w:bottom w:val="none" w:sz="0" w:space="0" w:color="auto"/>
        <w:right w:val="none" w:sz="0" w:space="0" w:color="auto"/>
      </w:divBdr>
    </w:div>
    <w:div w:id="212391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commentsExtended" Target="commentsExtended.xm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comments" Target="comments.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microsoft.com/office/2018/08/relationships/commentsExtensible" Target="commentsExtensible.xml"/><Relationship Id="rId10" Type="http://schemas.openxmlformats.org/officeDocument/2006/relationships/hyperlink" Target="mailto:panteleimon.mavroudis@sanofi.com"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E40AB83A7D52E4D8751285285A4ECD4" ma:contentTypeVersion="12" ma:contentTypeDescription="Create a new document." ma:contentTypeScope="" ma:versionID="e172ec2e77ebc96c5ead5b77237ee3da">
  <xsd:schema xmlns:xsd="http://www.w3.org/2001/XMLSchema" xmlns:xs="http://www.w3.org/2001/XMLSchema" xmlns:p="http://schemas.microsoft.com/office/2006/metadata/properties" xmlns:ns2="3b54350c-aec5-4603-8788-d3190e595516" xmlns:ns3="50321695-72dc-42ab-a189-10f57e95fe66" targetNamespace="http://schemas.microsoft.com/office/2006/metadata/properties" ma:root="true" ma:fieldsID="08f98cb4c5a2d2909fede6b9be3d1659" ns2:_="" ns3:_="">
    <xsd:import namespace="3b54350c-aec5-4603-8788-d3190e595516"/>
    <xsd:import namespace="50321695-72dc-42ab-a189-10f57e95fe6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4350c-aec5-4603-8788-d3190e5955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fb0b088-da3c-47ed-872c-fc1360427ae0"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321695-72dc-42ab-a189-10f57e95fe6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95eb531-c251-4d46-b972-db98c641a988}" ma:internalName="TaxCatchAll" ma:showField="CatchAllData" ma:web="50321695-72dc-42ab-a189-10f57e95fe66">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b54350c-aec5-4603-8788-d3190e595516">
      <Terms xmlns="http://schemas.microsoft.com/office/infopath/2007/PartnerControls"/>
    </lcf76f155ced4ddcb4097134ff3c332f>
    <TaxCatchAll xmlns="50321695-72dc-42ab-a189-10f57e95fe66" xsi:nil="true"/>
  </documentManagement>
</p:properties>
</file>

<file path=customXml/item4.xml><?xml version="1.0" encoding="utf-8"?>
<b:Sources xmlns:b="http://schemas.openxmlformats.org/officeDocument/2006/bibliography" xmlns="http://schemas.openxmlformats.org/officeDocument/2006/bibliography" SelectedStyle="\IEEE2006OfficeOnline.xsl" StyleName="IEEE" Version="2006">
  <b:Source>
    <b:Tag>Bas20</b:Tag>
    <b:SourceType>JournalArticle</b:SourceType>
    <b:Guid>{CF5A1E7C-7485-49F7-BBB0-91AFE9A56180}</b:Guid>
    <b:Title>Physiologically Based Pharmacokinetic Modeling of Monoclonal Antibodies in Pediatric Populations Using PK-Sim</b:Title>
    <b:JournalName>Front Pharmacol</b:JournalName>
    <b:Year>2020</b:Year>
    <b:Pages>868</b:Pages>
    <b:Volume>11</b:Volume>
    <b:Author>
      <b:Author>
        <b:NameList>
          <b:Person>
            <b:Last>Basu</b:Last>
            <b:First>S</b:First>
          </b:Person>
          <b:Person>
            <b:Last>Lien</b:Last>
            <b:First>Y T K</b:First>
          </b:Person>
          <b:Person>
            <b:Last>Vozmediano</b:Last>
            <b:First>V</b:First>
          </b:Person>
          <b:Person>
            <b:Last>Schlender</b:Last>
            <b:Middle>F</b:Middle>
            <b:First>J</b:First>
          </b:Person>
          <b:Person>
            <b:Last>Eissing</b:Last>
            <b:First>T</b:First>
          </b:Person>
          <b:Person>
            <b:Last>Schmidt</b:Last>
            <b:First>S</b:First>
          </b:Person>
          <b:Person>
            <b:Last>Niederalt</b:Last>
            <b:First>C</b:First>
          </b:Person>
        </b:NameList>
      </b:Author>
    </b:Author>
    <b:RefOrder>14</b:RefOrder>
  </b:Source>
  <b:Source>
    <b:Tag>Blo22</b:Tag>
    <b:SourceType>JournalArticle</b:SourceType>
    <b:Guid>{485CCBD2-499E-4616-83B6-9C4EAAEA0476}</b:Guid>
    <b:Author>
      <b:Author>
        <b:NameList>
          <b:Person>
            <b:Last>Bloomingdale</b:Last>
            <b:First>P</b:First>
          </b:Person>
          <b:Person>
            <b:Last>Bumbaca-Yadav</b:Last>
            <b:First>D</b:First>
          </b:Person>
          <b:Person>
            <b:Last>Sugam</b:Last>
            <b:First>J</b:First>
          </b:Person>
          <b:Person>
            <b:Last>Grauer</b:Last>
            <b:First>S</b:First>
          </b:Person>
          <b:Person>
            <b:Last>Smith</b:Last>
            <b:First>B</b:First>
          </b:Person>
          <b:Person>
            <b:Last>Antonenko</b:Last>
            <b:First>S</b:First>
          </b:Person>
          <b:Person>
            <b:Last>Judo</b:Last>
            <b:First>M</b:First>
          </b:Person>
          <b:Person>
            <b:Last>Azadi</b:Last>
            <b:First>G</b:First>
          </b:Person>
          <b:Person>
            <b:Last>Yee</b:Last>
            <b:Middle>L</b:Middle>
            <b:First>K</b:First>
          </b:Person>
        </b:NameList>
      </b:Author>
    </b:Author>
    <b:Title>PBPK-PD modeling for the preclinical development and clinical translation of tau antibodies for Alzheimer's disease</b:Title>
    <b:JournalName>Front Pharmacol</b:JournalName>
    <b:Year>2022</b:Year>
    <b:Pages>867457</b:Pages>
    <b:Volume>13</b:Volume>
    <b:RefOrder>13</b:RefOrder>
  </b:Source>
  <b:Source>
    <b:Tag>Gla17</b:Tag>
    <b:SourceType>JournalArticle</b:SourceType>
    <b:Guid>{254DA9F9-D121-45B6-BAF3-24355E120B0F}</b:Guid>
    <b:Author>
      <b:Author>
        <b:NameList>
          <b:Person>
            <b:Last>Glassman</b:Last>
            <b:Middle>M</b:Middle>
            <b:First>P</b:First>
          </b:Person>
          <b:Person>
            <b:Last>Balthasar</b:Last>
            <b:Middle>P</b:Middle>
            <b:First>J</b:First>
          </b:Person>
        </b:NameList>
      </b:Author>
    </b:Author>
    <b:Title>Physiologically-based modeling to predict the clinical behavior of monoclonal antibodies directed against lymphocyte antigens</b:Title>
    <b:JournalName>MAbs</b:JournalName>
    <b:Year>2017</b:Year>
    <b:Pages>297-306</b:Pages>
    <b:Volume>9</b:Volume>
    <b:RefOrder>5</b:RefOrder>
  </b:Source>
  <b:Source>
    <b:Tag>LeT22</b:Tag>
    <b:SourceType>JournalArticle</b:SourceType>
    <b:Guid>{90F6CFCA-F0B7-4E9F-9F69-080B1895E4A1}</b:Guid>
    <b:Author>
      <b:Author>
        <b:NameList>
          <b:Person>
            <b:Last>Le Tilly</b:Last>
            <b:First>O</b:First>
          </b:Person>
          <b:Person>
            <b:Last>Gatault</b:Last>
            <b:First>P</b:First>
          </b:Person>
          <b:Person>
            <b:Last>Baron</b:Last>
            <b:First>C</b:First>
          </b:Person>
          <b:Person>
            <b:Last>Bejan-Angoulvant</b:Last>
            <b:First>T</b:First>
          </b:Person>
          <b:Person>
            <b:Last>Buchler</b:Last>
            <b:First>M</b:First>
          </b:Person>
          <b:Person>
            <b:Last>Paintaud</b:Last>
            <b:First>G</b:First>
          </b:Person>
          <b:Person>
            <b:Last>Ternant</b:Last>
            <b:First>D</b:First>
          </b:Person>
        </b:NameList>
      </b:Author>
    </b:Author>
    <b:Title>Is CD25 blockade optimal in kidney transplant patients treated with basiliximab? A target-mediated drug disposition model</b:Title>
    <b:JournalName>Br J Clin Pharmacol</b:JournalName>
    <b:Year>2022</b:Year>
    <b:Pages>3500-3505</b:Pages>
    <b:Volume>88</b:Volume>
    <b:RefOrder>11</b:RefOrder>
  </b:Source>
  <b:Source>
    <b:Tag>Liu18</b:Tag>
    <b:SourceType>JournalArticle</b:SourceType>
    <b:Guid>{D6163316-D747-4EB9-AC44-E9A78640102A}</b:Guid>
    <b:Title>A Short Half-Life alpha(IIb)beta(3) Antagonist ANTP266 Reduces Thrombus Formation</b:Title>
    <b:JournalName>Int J Mol Sci</b:JournalName>
    <b:Year>2018</b:Year>
    <b:Volume>19</b:Volume>
    <b:Author>
      <b:Author>
        <b:NameList>
          <b:Person>
            <b:Last>Liu</b:Last>
            <b:Middle>D</b:Middle>
            <b:First>T</b:First>
          </b:Person>
          <b:Person>
            <b:Last>Ren</b:Last>
            <b:Middle>H</b:Middle>
            <b:First>S</b:First>
          </b:Person>
          <b:Person>
            <b:Last>Ding</b:Last>
            <b:First>X</b:First>
          </b:Person>
          <b:Person>
            <b:Last>Xie</b:Last>
            <b:Middle>L</b:Middle>
            <b:First>Z</b:First>
          </b:Person>
          <b:Person>
            <b:Last>Kong</b:Last>
            <b:First>Y</b:First>
          </b:Person>
        </b:NameList>
      </b:Author>
    </b:Author>
    <b:RefOrder>9</b:RefOrder>
  </b:Source>
  <b:Source>
    <b:Tag>Mag</b:Tag>
    <b:SourceType>JournalArticle</b:SourceType>
    <b:Guid>{C72BF5F0-70C7-4CC8-8CAC-8502E7F70CDE}</b:Guid>
    <b:Title>Simultaneous modeling of abciximab plasma concentrations and ex vivo pharmacodynamics in patients undergoing coronary angioplasty</b:Title>
    <b:Author>
      <b:Author>
        <b:NameList>
          <b:Person>
            <b:Last>Mager</b:Last>
            <b:Middle>E</b:Middle>
            <b:First>D</b:First>
          </b:Person>
          <b:Person>
            <b:Last>Mascelli</b:Last>
            <b:Middle>A</b:Middle>
            <b:First>M</b:First>
          </b:Person>
          <b:Person>
            <b:Last>Kleiman</b:Last>
            <b:Middle>S</b:Middle>
            <b:First>N</b:First>
          </b:Person>
          <b:Person>
            <b:Last>Fitzgerald</b:Last>
            <b:Middle>J</b:Middle>
            <b:First>D</b:First>
          </b:Person>
          <b:Person>
            <b:Last>Abernethy</b:Last>
            <b:Middle>R</b:Middle>
            <b:First>D</b:First>
          </b:Person>
        </b:NameList>
      </b:Author>
    </b:Author>
    <b:JournalName>J Pharmacol Exp Ther</b:JournalName>
    <b:Year>2003</b:Year>
    <b:Pages>969-76</b:Pages>
    <b:Volume>307</b:Volume>
    <b:RefOrder>8</b:RefOrder>
  </b:Source>
  <b:Source>
    <b:Tag>Pes06</b:Tag>
    <b:SourceType>JournalArticle</b:SourceType>
    <b:Guid>{C21A854E-37DB-4085-BB1B-3A228AC3FDB1}</b:Guid>
    <b:Author>
      <b:Author>
        <b:NameList>
          <b:Person>
            <b:Last>Pescovitz</b:Last>
            <b:Middle>D</b:Middle>
            <b:First>M</b:First>
          </b:Person>
        </b:NameList>
      </b:Author>
    </b:Author>
    <b:Title>Rituximab, an anti-cd20 monoclonal antibody: history and mechanism of action</b:Title>
    <b:JournalName>Am J Transplant</b:JournalName>
    <b:Year>2006</b:Year>
    <b:Pages>859-66</b:Pages>
    <b:Volume>6</b:Volume>
    <b:RefOrder>6</b:RefOrder>
  </b:Source>
  <b:Source>
    <b:Tag>Pen15</b:Tag>
    <b:SourceType>JournalArticle</b:SourceType>
    <b:Guid>{5D41DF03-4646-4CF0-99CB-EEB5D8B63785}</b:Guid>
    <b:Title>Molecular basis for antagonistic activity of anifrolumab, an anti-interferon-α receptor 1 antibody</b:Title>
    <b:JournalName>MAbs</b:JournalName>
    <b:Year>2015</b:Year>
    <b:Pages>428-39</b:Pages>
    <b:Volume>7</b:Volume>
    <b:Author>
      <b:Author>
        <b:NameList>
          <b:Person>
            <b:Last>Peng</b:Last>
            <b:First>L</b:First>
          </b:Person>
          <b:Person>
            <b:Last>Oganesyan</b:Last>
            <b:First>V</b:First>
          </b:Person>
          <b:Person>
            <b:Last> Wu</b:Last>
            <b:First>H</b:First>
          </b:Person>
          <b:Person>
            <b:Last>Dall'Acqua</b:Last>
            <b:Middle>F</b:Middle>
            <b:First>W</b:First>
          </b:Person>
          <b:Person>
            <b:Last>Damschroder</b:Last>
            <b:Middle>M</b:Middle>
            <b:First>M</b:First>
          </b:Person>
        </b:NameList>
      </b:Author>
    </b:Author>
    <b:RefOrder>4</b:RefOrder>
  </b:Source>
  <b:Source>
    <b:Tag>Rit97</b:Tag>
    <b:SourceType>DocumentFromInternetSite</b:SourceType>
    <b:Guid>{0A393695-BE1A-4CDA-B4D8-D0A32A68C8BD}</b:Guid>
    <b:Title>Rituxan Prescribing Information</b:Title>
    <b:Year>1997</b:Year>
    <b:YearAccessed>2024</b:YearAccessed>
    <b:MonthAccessed>January</b:MonthAccessed>
    <b:URL>https://www.accessdata.fda.gov/drugsatfda_docs/label/2021/103705s5464lbl.pdf</b:URL>
    <b:Author>
      <b:Author>
        <b:Corporate>Biogen and Genentech USA, Inc.</b:Corporate>
      </b:Author>
    </b:Author>
    <b:RefOrder>7</b:RefOrder>
  </b:Source>
  <b:Source>
    <b:Tag>Cun22</b:Tag>
    <b:SourceType>DocumentFromInternetSite</b:SourceType>
    <b:Guid>{6051A50C-7A57-4A6D-A5CD-D868EEFA5E27}</b:Guid>
    <b:Author>
      <b:Author>
        <b:NameList>
          <b:Person>
            <b:Last>Cunha</b:Last>
            <b:Middle>P</b:Middle>
            <b:First>J</b:First>
          </b:Person>
        </b:NameList>
      </b:Author>
    </b:Author>
    <b:Title>ReoPro (Abciximab) drug</b:Title>
    <b:Year>2022</b:Year>
    <b:YearAccessed>2024</b:YearAccessed>
    <b:MonthAccessed>January</b:MonthAccessed>
    <b:URL>https://www.rxlist.com/reopro-drug.htm#description</b:URL>
    <b:RefOrder>10</b:RefOrder>
  </b:Source>
  <b:Source>
    <b:Tag>Nov03</b:Tag>
    <b:SourceType>DocumentFromInternetSite</b:SourceType>
    <b:Guid>{9E553703-F713-4275-8BC2-75EA91E46B06}</b:Guid>
    <b:Author>
      <b:Author>
        <b:Corporate>Novartis Pharmaceutical Corp</b:Corporate>
      </b:Author>
    </b:Author>
    <b:Title>Simulect (basiliximab) Prescribing Information</b:Title>
    <b:Year>2003</b:Year>
    <b:YearAccessed>2024</b:YearAccessed>
    <b:MonthAccessed>January</b:MonthAccessed>
    <b:URL>https://www.accessdata.fda.gov/drugsatfda_docs/label/2003/basnov010203lb.htm</b:URL>
    <b:RefOrder>12</b:RefOrder>
  </b:Source>
  <b:Source>
    <b:Tag>Gen04</b:Tag>
    <b:SourceType>DocumentFromInternetSite</b:SourceType>
    <b:Guid>{F049C786-28C3-4EA7-AC94-8AD1F56D61A4}</b:Guid>
    <b:Author>
      <b:Author>
        <b:Corporate> Genentech, Inc.</b:Corporate>
      </b:Author>
    </b:Author>
    <b:Title>Avastin (Bevacizumab) Prescribing Information</b:Title>
    <b:Year>2004</b:Year>
    <b:YearAccessed>2024</b:YearAccessed>
    <b:MonthAccessed>January</b:MonthAccessed>
    <b:URL>https://www.accessdata.fda.gov/drugsatfda_docs/label/2014/125085s301lbl.pdf</b:URL>
    <b:RefOrder>15</b:RefOrder>
  </b:Source>
  <b:Source>
    <b:Tag>Pati24</b:Tag>
    <b:SourceType>JournalArticle</b:SourceType>
    <b:Guid>{3AD87FC3-FE13-4284-9267-F64EBE5E18F9}</b:Guid>
    <b:Title>A minimal physiologically based pharmacokinetic model to study the combined effect of antibody size, charge, and binding affinity to FcRn/antigen on antibody pharmacokinetics. </b:Title>
    <b:Year>2024</b:Year>
    <b:Author>
      <b:Author>
        <b:NameList>
          <b:Person>
            <b:Last>Patidar</b:Last>
            <b:First>K</b:First>
          </b:Person>
          <b:Person>
            <b:Last>Pillai</b:Last>
            <b:First>N</b:First>
          </b:Person>
          <b:Person>
            <b:Last>Dhakal </b:Last>
            <b:First>S</b:First>
          </b:Person>
          <b:Person>
            <b:Last>Avery</b:Last>
            <b:Middle>B</b:Middle>
            <b:First>L</b:First>
          </b:Person>
          <b:Person>
            <b:Last>Mavroudis</b:Last>
            <b:Middle>D</b:Middle>
            <b:First>P</b:First>
          </b:Person>
        </b:NameList>
      </b:Author>
    </b:Author>
    <b:JournalName>J Pharmacokinet Pharmacodyn.</b:JournalName>
    <b:RefOrder>1</b:RefOrder>
  </b:Source>
  <b:Source>
    <b:Tag>Tsi16</b:Tag>
    <b:SourceType>JournalArticle</b:SourceType>
    <b:Guid>{D3619E4C-C8A5-489D-8BDE-0EAB04BFA6C4}</b:Guid>
    <b:Title>Sputum interleukin-13 as a biomarker for the evaluation of asthma control</b:Title>
    <b:JournalName>Clin Exp Allergy</b:JournalName>
    <b:Year>2016</b:Year>
    <b:Pages>923-31</b:Pages>
    <b:Volume>46</b:Volume>
    <b:Author>
      <b:Author>
        <b:NameList>
          <b:Person>
            <b:Last>Tsilogianni</b:Last>
            <b:First>Z</b:First>
          </b:Person>
          <b:Person>
            <b:Last>Hillas</b:Last>
            <b:First>G</b:First>
          </b:Person>
          <b:Person>
            <b:Last>Bakakos</b:Last>
            <b:First>P</b:First>
          </b:Person>
          <b:Person>
            <b:Last>Aggelakis</b:Last>
            <b:First>L</b:First>
          </b:Person>
          <b:Person>
            <b:Last>Konstantellou</b:Last>
            <b:First>E</b:First>
          </b:Person>
          <b:Person>
            <b:Last> Papaioannou</b:Last>
            <b:Middle>L</b:Middle>
            <b:First>A</b:First>
          </b:Person>
          <b:Person>
            <b:Last>Papaporfyriou</b:Last>
            <b:First>A</b:First>
          </b:Person>
          <b:Person>
            <b:Last>Papiris</b:Last>
            <b:First>S</b:First>
          </b:Person>
          <b:Person>
            <b:Last>Koulouris</b:Last>
            <b:First>N</b:First>
          </b:Person>
          <b:Person>
            <b:Last>Loukides</b:Last>
            <b:First>S</b:First>
          </b:Person>
          <b:Person>
            <b:Last>Kostikas</b:Last>
            <b:First>K</b:First>
          </b:Person>
        </b:NameList>
      </b:Author>
    </b:Author>
    <b:RefOrder>2</b:RefOrder>
  </b:Source>
  <b:Source>
    <b:Tag>Okr23</b:Tag>
    <b:SourceType>JournalArticle</b:SourceType>
    <b:Guid>{8324FF6D-A0D7-48C1-8BA5-A2F3B19A7B1A}</b:Guid>
    <b:Title>Binding, Neutralization and Internalization of the Interleukin-13 Antibody, Lebrikizumab</b:Title>
    <b:JournalName>Dermatology and Therapy</b:JournalName>
    <b:Year>2023</b:Year>
    <b:Pages>1535-1547</b:Pages>
    <b:Volume>13</b:Volume>
    <b:Author>
      <b:Author>
        <b:NameList>
          <b:Person>
            <b:Last>Okragly</b:Last>
            <b:Middle>J</b:Middle>
            <b:First>A</b:First>
          </b:Person>
          <b:Person>
            <b:Last>Ryuzoji</b:Last>
            <b:First>A</b:First>
          </b:Person>
          <b:Person>
            <b:Last>Wulur</b:Last>
            <b:First>I</b:First>
          </b:Person>
          <b:Person>
            <b:Last>Daniels</b:Last>
            <b:First>M</b:First>
          </b:Person>
          <b:Person>
            <b:Last>Van Horn</b:Last>
            <b:Middle>D</b:Middle>
            <b:First>R</b:First>
          </b:Person>
          <b:Person>
            <b:Last>Patel</b:Last>
            <b:Middle>N</b:Middle>
            <b:First>C</b:First>
          </b:Person>
          <b:Person>
            <b:Last>Benschop</b:Last>
            <b:Middle>J</b:Middle>
            <b:First>R</b:First>
          </b:Person>
        </b:NameList>
      </b:Author>
    </b:Author>
    <b:RefOrder>3</b:RefOrder>
  </b:Source>
</b:Sources>
</file>

<file path=customXml/itemProps1.xml><?xml version="1.0" encoding="utf-8"?>
<ds:datastoreItem xmlns:ds="http://schemas.openxmlformats.org/officeDocument/2006/customXml" ds:itemID="{757D6257-967C-4966-91A6-8BC49D395370}"/>
</file>

<file path=customXml/itemProps2.xml><?xml version="1.0" encoding="utf-8"?>
<ds:datastoreItem xmlns:ds="http://schemas.openxmlformats.org/officeDocument/2006/customXml" ds:itemID="{969ACE66-63B4-4E89-916C-88C0212F8C9A}">
  <ds:schemaRefs>
    <ds:schemaRef ds:uri="http://schemas.microsoft.com/sharepoint/v3/contenttype/forms"/>
  </ds:schemaRefs>
</ds:datastoreItem>
</file>

<file path=customXml/itemProps3.xml><?xml version="1.0" encoding="utf-8"?>
<ds:datastoreItem xmlns:ds="http://schemas.openxmlformats.org/officeDocument/2006/customXml" ds:itemID="{78980ED0-4D14-46F3-8026-E088C7203D43}">
  <ds:schemaRefs>
    <ds:schemaRef ds:uri="http://schemas.microsoft.com/office/2006/metadata/properties"/>
    <ds:schemaRef ds:uri="http://schemas.microsoft.com/office/infopath/2007/PartnerControls"/>
    <ds:schemaRef ds:uri="3b54350c-aec5-4603-8788-d3190e595516"/>
    <ds:schemaRef ds:uri="50321695-72dc-42ab-a189-10f57e95fe66"/>
  </ds:schemaRefs>
</ds:datastoreItem>
</file>

<file path=customXml/itemProps4.xml><?xml version="1.0" encoding="utf-8"?>
<ds:datastoreItem xmlns:ds="http://schemas.openxmlformats.org/officeDocument/2006/customXml" ds:itemID="{73784483-9AF3-4B5C-8D64-FCD9E84E6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10</Pages>
  <Words>2969</Words>
  <Characters>15383</Characters>
  <Application>Microsoft Office Word</Application>
  <DocSecurity>0</DocSecurity>
  <Lines>732</Lines>
  <Paragraphs>611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Patidar, Krutika /US</dc:creator>
  <cp:keywords/>
  <dc:description/>
  <cp:lastModifiedBy>Krutika Patidar</cp:lastModifiedBy>
  <cp:revision>167</cp:revision>
  <dcterms:created xsi:type="dcterms:W3CDTF">2023-10-30T19:29:00Z</dcterms:created>
  <dcterms:modified xsi:type="dcterms:W3CDTF">2024-03-19T15:53:00Z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9088468-0951-4aef-9cc3-0a346e475ddc_Enabled">
    <vt:lpwstr>true</vt:lpwstr>
  </property>
  <property fmtid="{D5CDD505-2E9C-101B-9397-08002B2CF9AE}" pid="3" name="MSIP_Label_d9088468-0951-4aef-9cc3-0a346e475ddc_SetDate">
    <vt:lpwstr>2023-10-30T19:29:59Z</vt:lpwstr>
  </property>
  <property fmtid="{D5CDD505-2E9C-101B-9397-08002B2CF9AE}" pid="4" name="MSIP_Label_d9088468-0951-4aef-9cc3-0a346e475ddc_Method">
    <vt:lpwstr>Privileged</vt:lpwstr>
  </property>
  <property fmtid="{D5CDD505-2E9C-101B-9397-08002B2CF9AE}" pid="5" name="MSIP_Label_d9088468-0951-4aef-9cc3-0a346e475ddc_Name">
    <vt:lpwstr>Public</vt:lpwstr>
  </property>
  <property fmtid="{D5CDD505-2E9C-101B-9397-08002B2CF9AE}" pid="6" name="MSIP_Label_d9088468-0951-4aef-9cc3-0a346e475ddc_SiteId">
    <vt:lpwstr>aca3c8d6-aa71-4e1a-a10e-03572fc58c0b</vt:lpwstr>
  </property>
  <property fmtid="{D5CDD505-2E9C-101B-9397-08002B2CF9AE}" pid="7" name="MSIP_Label_d9088468-0951-4aef-9cc3-0a346e475ddc_ActionId">
    <vt:lpwstr>0104840e-b283-4ccb-9ef2-076832e66fec</vt:lpwstr>
  </property>
  <property fmtid="{D5CDD505-2E9C-101B-9397-08002B2CF9AE}" pid="8" name="MSIP_Label_d9088468-0951-4aef-9cc3-0a346e475ddc_ContentBits">
    <vt:lpwstr>0</vt:lpwstr>
  </property>
  <property fmtid="{D5CDD505-2E9C-101B-9397-08002B2CF9AE}" pid="9" name="ContentTypeId">
    <vt:lpwstr>0x0101005E40AB83A7D52E4D8751285285A4ECD4</vt:lpwstr>
  </property>
  <property fmtid="{D5CDD505-2E9C-101B-9397-08002B2CF9AE}" pid="10" name="MediaServiceImageTags">
    <vt:lpwstr/>
  </property>
  <property fmtid="{D5CDD505-2E9C-101B-9397-08002B2CF9AE}" pid="11" name="GrammarlyDocumentId">
    <vt:lpwstr>cd74913a26aa589cd8e166e870b150e80f03030fffa1325caae867749debac5e</vt:lpwstr>
  </property>
</Properties>
</file>