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C74" w:rsidRPr="00564C74" w:rsidRDefault="00564C74" w:rsidP="00564C74">
      <w:pPr>
        <w:jc w:val="center"/>
        <w:rPr>
          <w:rFonts w:ascii="Times New Roman" w:hAnsi="Times New Roman" w:cs="Times New Roman"/>
          <w:sz w:val="28"/>
        </w:rPr>
      </w:pPr>
      <w:r w:rsidRPr="00564C74">
        <w:rPr>
          <w:rFonts w:ascii="Times New Roman" w:hAnsi="Times New Roman" w:cs="Times New Roman" w:hint="eastAsia"/>
          <w:sz w:val="28"/>
        </w:rPr>
        <w:t>A</w:t>
      </w:r>
      <w:r w:rsidRPr="00564C74">
        <w:rPr>
          <w:rFonts w:ascii="Times New Roman" w:hAnsi="Times New Roman" w:cs="Times New Roman"/>
          <w:sz w:val="28"/>
        </w:rPr>
        <w:t>ppendix 4 Anesthesia and Immunotherapy</w:t>
      </w:r>
    </w:p>
    <w:p w:rsidR="00564C74" w:rsidRPr="00564C74" w:rsidRDefault="00564C74" w:rsidP="00564C74">
      <w:pPr>
        <w:spacing w:line="360" w:lineRule="auto"/>
        <w:rPr>
          <w:rFonts w:ascii="Times New Roman" w:hAnsi="Times New Roman" w:cs="Times New Roman"/>
          <w:sz w:val="24"/>
        </w:rPr>
      </w:pPr>
      <w:r w:rsidRPr="00564C74">
        <w:rPr>
          <w:rFonts w:ascii="Times New Roman" w:hAnsi="Times New Roman" w:cs="Times New Roman"/>
          <w:sz w:val="24"/>
        </w:rPr>
        <w:t xml:space="preserve">The grafts were procured from either donation of circulatory death (DCD), donation of brain death (DBD) or </w:t>
      </w:r>
      <w:r w:rsidR="003A05D2">
        <w:rPr>
          <w:rFonts w:ascii="Times New Roman" w:hAnsi="Times New Roman" w:cs="Times New Roman"/>
          <w:sz w:val="24"/>
        </w:rPr>
        <w:t>dontation of brain and circulatory death (DBCD)</w:t>
      </w:r>
      <w:r w:rsidRPr="00564C74">
        <w:rPr>
          <w:rFonts w:ascii="Times New Roman" w:hAnsi="Times New Roman" w:cs="Times New Roman"/>
          <w:sz w:val="24"/>
        </w:rPr>
        <w:t xml:space="preserve">, with standardized techniques recommended in the guidelines implemented by Chinese Medical Association. </w:t>
      </w:r>
      <w:r w:rsidRPr="003A05D2">
        <w:rPr>
          <w:rFonts w:ascii="Times New Roman" w:hAnsi="Times New Roman" w:cs="Times New Roman" w:hint="eastAsia"/>
          <w:b/>
          <w:bCs/>
          <w:sz w:val="24"/>
        </w:rPr>
        <w:t>No</w:t>
      </w:r>
      <w:r w:rsidR="001A16AC">
        <w:rPr>
          <w:rFonts w:ascii="Times New Roman" w:hAnsi="Times New Roman" w:cs="Times New Roman" w:hint="eastAsia"/>
          <w:b/>
          <w:bCs/>
          <w:sz w:val="24"/>
        </w:rPr>
        <w:t xml:space="preserve"> </w:t>
      </w:r>
      <w:r w:rsidR="003A05D2" w:rsidRPr="003A05D2">
        <w:rPr>
          <w:rFonts w:ascii="Times New Roman" w:hAnsi="Times New Roman" w:cs="Times New Roman"/>
          <w:b/>
          <w:bCs/>
          <w:sz w:val="24"/>
        </w:rPr>
        <w:t>organs from prosecuted prisoners were used.</w:t>
      </w:r>
    </w:p>
    <w:p w:rsidR="001239D3" w:rsidRPr="001239D3" w:rsidRDefault="003A05D2" w:rsidP="001239D3">
      <w:pPr>
        <w:spacing w:line="360" w:lineRule="auto"/>
        <w:ind w:firstLineChars="200" w:firstLine="480"/>
        <w:rPr>
          <w:rFonts w:ascii="Times New Roman" w:hAnsi="Times New Roman" w:cs="Times New Roman"/>
          <w:sz w:val="24"/>
        </w:rPr>
      </w:pPr>
      <w:r>
        <w:rPr>
          <w:rFonts w:ascii="Times New Roman" w:hAnsi="Times New Roman" w:cs="Times New Roman"/>
          <w:sz w:val="24"/>
          <w:szCs w:val="21"/>
        </w:rPr>
        <w:t xml:space="preserve">The implantation technique </w:t>
      </w:r>
      <w:r>
        <w:rPr>
          <w:rFonts w:ascii="Times New Roman" w:hAnsi="Times New Roman" w:cs="Times New Roman" w:hint="eastAsia"/>
          <w:sz w:val="24"/>
          <w:szCs w:val="21"/>
        </w:rPr>
        <w:t xml:space="preserve">consisted of </w:t>
      </w:r>
      <w:r>
        <w:rPr>
          <w:rFonts w:ascii="Times New Roman" w:hAnsi="Times New Roman" w:cs="Times New Roman"/>
          <w:sz w:val="24"/>
          <w:szCs w:val="21"/>
        </w:rPr>
        <w:t>piggyback</w:t>
      </w:r>
      <w:r>
        <w:rPr>
          <w:rFonts w:ascii="Times New Roman" w:hAnsi="Times New Roman" w:cs="Times New Roman" w:hint="eastAsia"/>
          <w:sz w:val="24"/>
          <w:szCs w:val="21"/>
        </w:rPr>
        <w:t>, standard and split liver transplantation technique</w:t>
      </w:r>
      <w:r>
        <w:rPr>
          <w:rFonts w:ascii="Times New Roman" w:hAnsi="Times New Roman" w:cs="Times New Roman"/>
          <w:sz w:val="24"/>
          <w:szCs w:val="21"/>
        </w:rPr>
        <w:t xml:space="preserve">. </w:t>
      </w:r>
      <w:r w:rsidR="00AA0E6A">
        <w:rPr>
          <w:rFonts w:ascii="Times New Roman" w:hAnsi="Times New Roman" w:cs="Times New Roman" w:hint="eastAsia"/>
          <w:sz w:val="24"/>
          <w:szCs w:val="21"/>
        </w:rPr>
        <w:t xml:space="preserve">Liver biopsy </w:t>
      </w:r>
      <w:r w:rsidR="001A16AC">
        <w:rPr>
          <w:rFonts w:ascii="Times New Roman" w:hAnsi="Times New Roman" w:cs="Times New Roman" w:hint="eastAsia"/>
          <w:sz w:val="24"/>
          <w:szCs w:val="21"/>
        </w:rPr>
        <w:t xml:space="preserve">samples </w:t>
      </w:r>
      <w:r w:rsidR="00AA0E6A">
        <w:rPr>
          <w:rFonts w:ascii="Times New Roman" w:hAnsi="Times New Roman" w:cs="Times New Roman" w:hint="eastAsia"/>
          <w:sz w:val="24"/>
          <w:szCs w:val="21"/>
        </w:rPr>
        <w:t>were collected</w:t>
      </w:r>
      <w:r w:rsidR="001239D3">
        <w:rPr>
          <w:rFonts w:ascii="Times New Roman" w:hAnsi="Times New Roman" w:cs="Times New Roman" w:hint="eastAsia"/>
          <w:sz w:val="24"/>
          <w:szCs w:val="21"/>
        </w:rPr>
        <w:t xml:space="preserve"> before and after graft reperfusion. </w:t>
      </w:r>
      <w:r w:rsidR="001239D3" w:rsidRPr="00564C74">
        <w:rPr>
          <w:rFonts w:ascii="Times New Roman" w:hAnsi="Times New Roman" w:cs="Times New Roman"/>
          <w:sz w:val="24"/>
        </w:rPr>
        <w:t xml:space="preserve">Since intraoperative extracorporeal venovenous bypass were not significantly advantageous, preoperative </w:t>
      </w:r>
      <w:r w:rsidR="001239D3">
        <w:rPr>
          <w:rFonts w:ascii="Times New Roman" w:hAnsi="Times New Roman" w:cs="Times New Roman" w:hint="eastAsia"/>
          <w:sz w:val="24"/>
        </w:rPr>
        <w:t xml:space="preserve">renal replacement therapy </w:t>
      </w:r>
      <w:r w:rsidR="001239D3" w:rsidRPr="00564C74">
        <w:rPr>
          <w:rFonts w:ascii="Times New Roman" w:hAnsi="Times New Roman" w:cs="Times New Roman"/>
          <w:sz w:val="24"/>
        </w:rPr>
        <w:t>were adopted for patients with preoperative renal dysfunction.</w:t>
      </w:r>
    </w:p>
    <w:p w:rsidR="00564C74" w:rsidRPr="00564C74" w:rsidRDefault="00564C74" w:rsidP="00564C74">
      <w:pPr>
        <w:spacing w:line="360" w:lineRule="auto"/>
        <w:ind w:firstLineChars="200" w:firstLine="480"/>
        <w:rPr>
          <w:rFonts w:ascii="Times New Roman" w:hAnsi="Times New Roman" w:cs="Times New Roman"/>
          <w:sz w:val="28"/>
        </w:rPr>
      </w:pPr>
      <w:r w:rsidRPr="00564C74">
        <w:rPr>
          <w:rFonts w:ascii="Times New Roman" w:hAnsi="Times New Roman" w:cs="Times New Roman"/>
          <w:sz w:val="24"/>
        </w:rPr>
        <w:t>Anesthesia was induced by intravenous propofol, sufentanil and cisatracurium, and was maintained with inhalation of sevoflurane or desflurane and continuous infusion of cisatracurium. Arterial-line catheters were inserted into the radial or brachial artery and attached to a Flotrac sensor and monitor (Edwards Lifesciences Corp. US.) to collect invasive arterial blood pressure and cardiac output. Two central venous line</w:t>
      </w:r>
      <w:r w:rsidR="001A16AC">
        <w:rPr>
          <w:rFonts w:ascii="Times New Roman" w:hAnsi="Times New Roman" w:cs="Times New Roman"/>
          <w:sz w:val="24"/>
        </w:rPr>
        <w:t>s</w:t>
      </w:r>
      <w:r w:rsidRPr="00564C74">
        <w:rPr>
          <w:rFonts w:ascii="Times New Roman" w:hAnsi="Times New Roman" w:cs="Times New Roman"/>
          <w:sz w:val="24"/>
        </w:rPr>
        <w:t xml:space="preserve"> were placed in jugular vein and subclavian vein at either side for central venous pressure monitoring and rapid fluid resuscitation. Transfusion, fluid management and use of vasoactive agents </w:t>
      </w:r>
      <w:r w:rsidR="001239D3">
        <w:rPr>
          <w:rFonts w:ascii="Times New Roman" w:hAnsi="Times New Roman" w:cs="Times New Roman" w:hint="eastAsia"/>
          <w:sz w:val="24"/>
        </w:rPr>
        <w:t xml:space="preserve">and hemostatic agents </w:t>
      </w:r>
      <w:r w:rsidRPr="00564C74">
        <w:rPr>
          <w:rFonts w:ascii="Times New Roman" w:hAnsi="Times New Roman" w:cs="Times New Roman"/>
          <w:sz w:val="24"/>
        </w:rPr>
        <w:t xml:space="preserve">were adjusted according to an overall assessment volume balance, hemodynamic stability, </w:t>
      </w:r>
      <w:r w:rsidR="001239D3" w:rsidRPr="00564C74">
        <w:rPr>
          <w:rFonts w:ascii="Times New Roman" w:hAnsi="Times New Roman" w:cs="Times New Roman"/>
          <w:sz w:val="24"/>
        </w:rPr>
        <w:t>estimated blood loss</w:t>
      </w:r>
      <w:r w:rsidR="001239D3">
        <w:rPr>
          <w:rFonts w:ascii="Times New Roman" w:hAnsi="Times New Roman" w:cs="Times New Roman" w:hint="eastAsia"/>
          <w:sz w:val="24"/>
        </w:rPr>
        <w:t>,</w:t>
      </w:r>
      <w:r w:rsidR="001239D3" w:rsidRPr="00564C74">
        <w:rPr>
          <w:rFonts w:ascii="Times New Roman" w:hAnsi="Times New Roman" w:cs="Times New Roman"/>
          <w:sz w:val="24"/>
        </w:rPr>
        <w:t xml:space="preserve"> thromboelastogram </w:t>
      </w:r>
      <w:r w:rsidRPr="00564C74">
        <w:rPr>
          <w:rFonts w:ascii="Times New Roman" w:hAnsi="Times New Roman" w:cs="Times New Roman"/>
          <w:sz w:val="24"/>
        </w:rPr>
        <w:t xml:space="preserve">blood gas results and cardiac function. Boluses of vasoactive agents were likely to be given to counter immediate circulatory collapse caused by post-reperfusion syndrome, otherwise continuous infusion of vasoconstrictors were preferred. </w:t>
      </w:r>
      <w:r w:rsidR="001239D3">
        <w:rPr>
          <w:rFonts w:ascii="Times New Roman" w:hAnsi="Times New Roman" w:cs="Times New Roman" w:hint="eastAsia"/>
          <w:sz w:val="24"/>
          <w:szCs w:val="21"/>
        </w:rPr>
        <w:t xml:space="preserve">Terlipressin were </w:t>
      </w:r>
      <w:r w:rsidR="001239D3">
        <w:rPr>
          <w:rFonts w:ascii="Times New Roman" w:hAnsi="Times New Roman" w:cs="Times New Roman"/>
          <w:sz w:val="24"/>
          <w:szCs w:val="21"/>
        </w:rPr>
        <w:t>preferred</w:t>
      </w:r>
      <w:r w:rsidR="001239D3">
        <w:rPr>
          <w:rFonts w:ascii="Times New Roman" w:hAnsi="Times New Roman" w:cs="Times New Roman" w:hint="eastAsia"/>
          <w:sz w:val="24"/>
          <w:szCs w:val="21"/>
        </w:rPr>
        <w:t xml:space="preserve"> over norepinephrine when the patient was considered to be at risk of renal dysfunction. Colloids were only considered as replacement of blood product during reperfusion phase when coagulation deficiency was corrected and satisfactory urine output was observed.</w:t>
      </w:r>
    </w:p>
    <w:p w:rsidR="00277F92" w:rsidRPr="00564C74" w:rsidRDefault="00564C74" w:rsidP="00564C74">
      <w:pPr>
        <w:spacing w:line="360" w:lineRule="auto"/>
        <w:ind w:firstLineChars="200" w:firstLine="480"/>
        <w:rPr>
          <w:rFonts w:ascii="Times New Roman" w:hAnsi="Times New Roman" w:cs="Times New Roman"/>
          <w:sz w:val="24"/>
        </w:rPr>
      </w:pPr>
      <w:r w:rsidRPr="00564C74">
        <w:rPr>
          <w:rFonts w:ascii="Times New Roman" w:hAnsi="Times New Roman" w:cs="Times New Roman"/>
          <w:sz w:val="24"/>
        </w:rPr>
        <w:t>The immunosuppression therapy during surgery included 500 mg of methylprednisolone</w:t>
      </w:r>
      <w:r w:rsidR="006B142F">
        <w:rPr>
          <w:rFonts w:ascii="Times New Roman" w:hAnsi="Times New Roman" w:cs="Times New Roman"/>
          <w:sz w:val="24"/>
        </w:rPr>
        <w:t xml:space="preserve"> (1000mg for ABO-incompatible graft)</w:t>
      </w:r>
      <w:r w:rsidRPr="00564C74">
        <w:rPr>
          <w:rFonts w:ascii="Times New Roman" w:hAnsi="Times New Roman" w:cs="Times New Roman"/>
          <w:sz w:val="24"/>
        </w:rPr>
        <w:t xml:space="preserve"> and 20 mg of Basiliximab. The post-operative anti-infectious therapy consisted of broad-spectrum antibiotics, </w:t>
      </w:r>
      <w:r w:rsidRPr="00564C74">
        <w:rPr>
          <w:rFonts w:ascii="Times New Roman" w:hAnsi="Times New Roman" w:cs="Times New Roman"/>
          <w:sz w:val="24"/>
        </w:rPr>
        <w:lastRenderedPageBreak/>
        <w:t>antiviral and antifungal agents. The immunosuppression therapy within 7 days after LT was continued with daily</w:t>
      </w:r>
      <w:r w:rsidR="006B142F">
        <w:rPr>
          <w:rFonts w:ascii="Times New Roman" w:hAnsi="Times New Roman" w:cs="Times New Roman"/>
          <w:sz w:val="24"/>
        </w:rPr>
        <w:t xml:space="preserve"> tapered</w:t>
      </w:r>
      <w:r w:rsidRPr="00564C74">
        <w:rPr>
          <w:rFonts w:ascii="Times New Roman" w:hAnsi="Times New Roman" w:cs="Times New Roman"/>
          <w:sz w:val="24"/>
        </w:rPr>
        <w:t xml:space="preserve"> methylprednisolone and a second dose of Basiliximab on Day 4 after the surgery. </w:t>
      </w:r>
      <w:r w:rsidR="003A05D2" w:rsidRPr="003A05D2">
        <w:rPr>
          <w:rFonts w:ascii="Times New Roman" w:hAnsi="Times New Roman" w:cs="Times New Roman"/>
          <w:sz w:val="24"/>
        </w:rPr>
        <w:t xml:space="preserve">Tacrolimus introduction was initiated at Day 2 after the surgery for patients receiving </w:t>
      </w:r>
      <w:r w:rsidR="003A05D2">
        <w:rPr>
          <w:rFonts w:ascii="Times New Roman" w:hAnsi="Times New Roman" w:cs="Times New Roman"/>
          <w:sz w:val="24"/>
        </w:rPr>
        <w:t xml:space="preserve">ABO-incompatible </w:t>
      </w:r>
      <w:r w:rsidR="003A05D2" w:rsidRPr="003A05D2">
        <w:rPr>
          <w:rFonts w:ascii="Times New Roman" w:hAnsi="Times New Roman" w:cs="Times New Roman"/>
          <w:sz w:val="24"/>
        </w:rPr>
        <w:t>graft</w:t>
      </w:r>
      <w:r w:rsidR="001A16AC">
        <w:rPr>
          <w:rFonts w:ascii="Times New Roman" w:hAnsi="Times New Roman" w:cs="Times New Roman" w:hint="eastAsia"/>
          <w:sz w:val="24"/>
        </w:rPr>
        <w:t>s</w:t>
      </w:r>
      <w:r w:rsidR="003A05D2" w:rsidRPr="003A05D2">
        <w:rPr>
          <w:rFonts w:ascii="Times New Roman" w:hAnsi="Times New Roman" w:cs="Times New Roman"/>
          <w:sz w:val="24"/>
        </w:rPr>
        <w:t xml:space="preserve">, otherwise it would be initiated at Day 4 to minimize postoperative renal injury. </w:t>
      </w:r>
      <w:r w:rsidRPr="00564C74">
        <w:rPr>
          <w:rFonts w:ascii="Times New Roman" w:hAnsi="Times New Roman" w:cs="Times New Roman"/>
          <w:sz w:val="24"/>
        </w:rPr>
        <w:t>Oral mycophenolate mof (MMF) was usually added after Day 7.</w:t>
      </w:r>
      <w:r w:rsidR="001239D3">
        <w:rPr>
          <w:rFonts w:ascii="Times New Roman" w:hAnsi="Times New Roman" w:cs="Times New Roman" w:hint="eastAsia"/>
          <w:sz w:val="24"/>
        </w:rPr>
        <w:t xml:space="preserve"> </w:t>
      </w:r>
      <w:r w:rsidR="001239D3" w:rsidRPr="001239D3">
        <w:rPr>
          <w:rFonts w:ascii="Times New Roman" w:hAnsi="Times New Roman" w:cs="Times New Roman"/>
          <w:sz w:val="24"/>
        </w:rPr>
        <w:t>Sirolimus</w:t>
      </w:r>
      <w:r w:rsidR="001239D3">
        <w:rPr>
          <w:rFonts w:ascii="Times New Roman" w:hAnsi="Times New Roman" w:cs="Times New Roman" w:hint="eastAsia"/>
          <w:sz w:val="24"/>
        </w:rPr>
        <w:t xml:space="preserve"> would be considered in patients with severe renal dysfunction, however the decision for such switch were rare and not consistent among phycians.</w:t>
      </w:r>
    </w:p>
    <w:sectPr w:rsidR="00277F92" w:rsidRPr="00564C74" w:rsidSect="00B638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35BA" w:rsidRDefault="00CB35BA" w:rsidP="00321CF0">
      <w:r>
        <w:separator/>
      </w:r>
    </w:p>
  </w:endnote>
  <w:endnote w:type="continuationSeparator" w:id="1">
    <w:p w:rsidR="00CB35BA" w:rsidRDefault="00CB35BA" w:rsidP="00321CF0">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35BA" w:rsidRDefault="00CB35BA" w:rsidP="00321CF0">
      <w:r>
        <w:separator/>
      </w:r>
    </w:p>
  </w:footnote>
  <w:footnote w:type="continuationSeparator" w:id="1">
    <w:p w:rsidR="00CB35BA" w:rsidRDefault="00CB35BA" w:rsidP="00321C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6BA8"/>
    <w:rsid w:val="001239D3"/>
    <w:rsid w:val="001A16AC"/>
    <w:rsid w:val="00277F92"/>
    <w:rsid w:val="00321CF0"/>
    <w:rsid w:val="003A05D2"/>
    <w:rsid w:val="005546D7"/>
    <w:rsid w:val="00564C74"/>
    <w:rsid w:val="00590375"/>
    <w:rsid w:val="00594B05"/>
    <w:rsid w:val="006B142F"/>
    <w:rsid w:val="00AA0E6A"/>
    <w:rsid w:val="00B63843"/>
    <w:rsid w:val="00CB35BA"/>
    <w:rsid w:val="00EA2A4A"/>
    <w:rsid w:val="00FD6B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8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1C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1CF0"/>
    <w:rPr>
      <w:sz w:val="18"/>
      <w:szCs w:val="18"/>
    </w:rPr>
  </w:style>
  <w:style w:type="paragraph" w:styleId="a4">
    <w:name w:val="footer"/>
    <w:basedOn w:val="a"/>
    <w:link w:val="Char0"/>
    <w:uiPriority w:val="99"/>
    <w:unhideWhenUsed/>
    <w:rsid w:val="00321CF0"/>
    <w:pPr>
      <w:tabs>
        <w:tab w:val="center" w:pos="4153"/>
        <w:tab w:val="right" w:pos="8306"/>
      </w:tabs>
      <w:snapToGrid w:val="0"/>
      <w:jc w:val="left"/>
    </w:pPr>
    <w:rPr>
      <w:sz w:val="18"/>
      <w:szCs w:val="18"/>
    </w:rPr>
  </w:style>
  <w:style w:type="character" w:customStyle="1" w:styleId="Char0">
    <w:name w:val="页脚 Char"/>
    <w:basedOn w:val="a0"/>
    <w:link w:val="a4"/>
    <w:uiPriority w:val="99"/>
    <w:rsid w:val="00321CF0"/>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424</Words>
  <Characters>2420</Characters>
  <Application>Microsoft Office Word</Application>
  <DocSecurity>0</DocSecurity>
  <Lines>20</Lines>
  <Paragraphs>5</Paragraphs>
  <ScaleCrop>false</ScaleCrop>
  <Company/>
  <LinksUpToDate>false</LinksUpToDate>
  <CharactersWithSpaces>2839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Ada</dc:creator>
  <cp:keywords/>
  <dc:description/>
  <cp:lastModifiedBy>dell</cp:lastModifiedBy>
  <cp:revision>5</cp:revision>
  <dcterms:created xsi:type="dcterms:W3CDTF">2021-03-23T16:30:00Z</dcterms:created>
  <dcterms:modified xsi:type="dcterms:W3CDTF">2021-04-07T17:24:00Z</dcterms:modified>
</cp:coreProperties>
</file>