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1AB" w:rsidRPr="00E12A83" w:rsidRDefault="002761A7" w:rsidP="002761A7">
      <w:pPr>
        <w:rPr>
          <w:rFonts w:ascii="Times New Roman" w:hAnsi="Times New Roman" w:cs="Times New Roman"/>
          <w:b/>
          <w:sz w:val="28"/>
        </w:rPr>
      </w:pPr>
      <w:bookmarkStart w:id="0" w:name="_GoBack"/>
      <w:r w:rsidRPr="00E12A83">
        <w:rPr>
          <w:rFonts w:ascii="Times New Roman" w:hAnsi="Times New Roman" w:cs="Times New Roman"/>
          <w:b/>
          <w:sz w:val="28"/>
        </w:rPr>
        <w:t>Supplemental Content 2</w:t>
      </w:r>
      <w:r w:rsidR="00434F23" w:rsidRPr="00E12A83">
        <w:rPr>
          <w:rFonts w:ascii="Times New Roman" w:hAnsi="Times New Roman" w:cs="Times New Roman"/>
          <w:b/>
          <w:sz w:val="28"/>
        </w:rPr>
        <w:t>: MELD(i) score</w:t>
      </w:r>
    </w:p>
    <w:bookmarkEnd w:id="0"/>
    <w:p w:rsidR="004E11AB" w:rsidRPr="004E11AB" w:rsidRDefault="004E11AB" w:rsidP="004E11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11AB">
        <w:rPr>
          <w:rFonts w:ascii="Times New Roman" w:hAnsi="Times New Roman" w:cs="Times New Roman"/>
          <w:sz w:val="24"/>
          <w:szCs w:val="24"/>
        </w:rPr>
        <w:t>Lab MELD(i) score was calculated according to the method proposed by the United Network for Organ Sharing (UNOS) Liver and Intestinal Organ Transplantation Committee (</w:t>
      </w:r>
      <w:hyperlink r:id="rId7" w:history="1">
        <w:r w:rsidRPr="004E11AB">
          <w:rPr>
            <w:rStyle w:val="a7"/>
            <w:rFonts w:ascii="Times New Roman" w:hAnsi="Times New Roman" w:cs="Times New Roman"/>
            <w:sz w:val="24"/>
            <w:szCs w:val="24"/>
          </w:rPr>
          <w:t>https://optn.transplant.hrsa.gov/media/1575/policynotice_20151101.pdf</w:t>
        </w:r>
      </w:hyperlink>
      <w:r w:rsidRPr="004E11AB">
        <w:rPr>
          <w:rFonts w:ascii="Times New Roman" w:hAnsi="Times New Roman" w:cs="Times New Roman"/>
          <w:sz w:val="24"/>
          <w:szCs w:val="24"/>
        </w:rPr>
        <w:t>). The detailed formula is as follows.</w:t>
      </w:r>
    </w:p>
    <w:p w:rsidR="004E11AB" w:rsidRPr="004E11AB" w:rsidRDefault="004E11AB" w:rsidP="004E11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E11AB" w:rsidRPr="004E11AB" w:rsidRDefault="004E11AB" w:rsidP="004E11A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11AB">
        <w:rPr>
          <w:rFonts w:ascii="Times New Roman" w:hAnsi="Times New Roman" w:cs="Times New Roman"/>
          <w:b/>
          <w:sz w:val="24"/>
          <w:szCs w:val="24"/>
        </w:rPr>
        <w:t>Basic Formula</w:t>
      </w:r>
    </w:p>
    <w:p w:rsidR="00434F23" w:rsidRPr="004E11AB" w:rsidRDefault="00434F23" w:rsidP="004E11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11AB">
        <w:rPr>
          <w:rFonts w:ascii="Times New Roman" w:hAnsi="Times New Roman" w:cs="Times New Roman"/>
          <w:sz w:val="24"/>
          <w:szCs w:val="24"/>
        </w:rPr>
        <w:t>Candidates who are at least 12 years old receive an initial MELD(i) score equal to:</w:t>
      </w:r>
    </w:p>
    <w:p w:rsidR="00434F23" w:rsidRPr="004E11AB" w:rsidRDefault="00434F23" w:rsidP="004E11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11AB">
        <w:rPr>
          <w:rFonts w:ascii="Times New Roman" w:hAnsi="Times New Roman" w:cs="Times New Roman"/>
          <w:sz w:val="24"/>
          <w:szCs w:val="24"/>
        </w:rPr>
        <w:t>MELD(i) = 0.957 × ln(Cr) + 0.378 × ln(bilirubin) + 1.120 × ln(INR) + 0.643</w:t>
      </w:r>
    </w:p>
    <w:p w:rsidR="00434F23" w:rsidRPr="004E11AB" w:rsidRDefault="00434F23" w:rsidP="004E11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11AB">
        <w:rPr>
          <w:rFonts w:ascii="Times New Roman" w:hAnsi="Times New Roman" w:cs="Times New Roman"/>
          <w:sz w:val="24"/>
          <w:szCs w:val="24"/>
        </w:rPr>
        <w:t xml:space="preserve">Then, round to the tenth decimal place and multiply by 10. </w:t>
      </w:r>
    </w:p>
    <w:p w:rsidR="00434F23" w:rsidRPr="004E11AB" w:rsidRDefault="00434F23" w:rsidP="004E11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11AB">
        <w:rPr>
          <w:rFonts w:ascii="Times New Roman" w:hAnsi="Times New Roman" w:cs="Times New Roman"/>
          <w:sz w:val="24"/>
          <w:szCs w:val="24"/>
        </w:rPr>
        <w:t>If MELD(i) &gt; 11, perform additional MELD calculation as follows:</w:t>
      </w:r>
    </w:p>
    <w:p w:rsidR="00434F23" w:rsidRPr="004E11AB" w:rsidRDefault="00434F23" w:rsidP="004E11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11AB">
        <w:rPr>
          <w:rFonts w:ascii="Times New Roman" w:hAnsi="Times New Roman" w:cs="Times New Roman"/>
          <w:sz w:val="24"/>
          <w:szCs w:val="24"/>
        </w:rPr>
        <w:t>MELD = MELD(i) + 1.32 × (137 – Na) – [ 0.033 × MELD(i) × (137 – Na)]</w:t>
      </w:r>
    </w:p>
    <w:p w:rsidR="00434F23" w:rsidRPr="004E11AB" w:rsidRDefault="00434F23" w:rsidP="004E11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34F23" w:rsidRPr="004E11AB" w:rsidRDefault="004E11AB" w:rsidP="004E11A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11AB">
        <w:rPr>
          <w:rFonts w:ascii="Times New Roman" w:hAnsi="Times New Roman" w:cs="Times New Roman"/>
          <w:b/>
          <w:sz w:val="24"/>
          <w:szCs w:val="24"/>
        </w:rPr>
        <w:t>Additional Rules</w:t>
      </w:r>
    </w:p>
    <w:p w:rsidR="00434F23" w:rsidRPr="004E11AB" w:rsidRDefault="00434F23" w:rsidP="004E11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11AB">
        <w:rPr>
          <w:rFonts w:ascii="Times New Roman" w:hAnsi="Times New Roman" w:cs="Times New Roman"/>
          <w:sz w:val="24"/>
          <w:szCs w:val="24"/>
        </w:rPr>
        <w:t>All values in US units (Cr and bilirubin in mg/dL, Na in mEq/L, and INR unitless).</w:t>
      </w:r>
    </w:p>
    <w:p w:rsidR="00434F23" w:rsidRPr="004E11AB" w:rsidRDefault="00434F23" w:rsidP="004E11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11AB">
        <w:rPr>
          <w:rFonts w:ascii="Times New Roman" w:hAnsi="Times New Roman" w:cs="Times New Roman"/>
          <w:sz w:val="24"/>
          <w:szCs w:val="24"/>
        </w:rPr>
        <w:t>If bilirubin, Cr, or INR is &lt;1.0, use 1.0.</w:t>
      </w:r>
    </w:p>
    <w:p w:rsidR="00434F23" w:rsidRPr="004E11AB" w:rsidRDefault="00434F23" w:rsidP="004E11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11AB">
        <w:rPr>
          <w:rFonts w:ascii="Times New Roman" w:hAnsi="Times New Roman" w:cs="Times New Roman"/>
          <w:sz w:val="24"/>
          <w:szCs w:val="24"/>
        </w:rPr>
        <w:t xml:space="preserve">If any of the following is true, use Cr 4.0: </w:t>
      </w:r>
    </w:p>
    <w:p w:rsidR="00434F23" w:rsidRPr="004E11AB" w:rsidRDefault="00434F23" w:rsidP="004E11AB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4E11AB">
        <w:rPr>
          <w:rFonts w:ascii="Times New Roman" w:hAnsi="Times New Roman" w:cs="Times New Roman"/>
          <w:sz w:val="24"/>
          <w:szCs w:val="24"/>
        </w:rPr>
        <w:t>Cr &gt;4.0.</w:t>
      </w:r>
    </w:p>
    <w:p w:rsidR="00434F23" w:rsidRPr="004E11AB" w:rsidRDefault="00434F23" w:rsidP="004E11AB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4E11AB">
        <w:rPr>
          <w:rFonts w:ascii="Times New Roman" w:hAnsi="Times New Roman" w:cs="Times New Roman"/>
          <w:sz w:val="24"/>
          <w:szCs w:val="24"/>
        </w:rPr>
        <w:t>≥2 dialysis treatments within the prior 7 days.</w:t>
      </w:r>
    </w:p>
    <w:p w:rsidR="00434F23" w:rsidRPr="004E11AB" w:rsidRDefault="00434F23" w:rsidP="004E11AB">
      <w:pPr>
        <w:pStyle w:val="a6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r w:rsidRPr="004E11AB">
        <w:rPr>
          <w:rFonts w:ascii="Times New Roman" w:hAnsi="Times New Roman" w:cs="Times New Roman"/>
          <w:sz w:val="24"/>
          <w:szCs w:val="24"/>
        </w:rPr>
        <w:t>24 hours of continuous veno-venous hemodialysis (CVVHD) within the prior 7 days.</w:t>
      </w:r>
    </w:p>
    <w:p w:rsidR="00434F23" w:rsidRPr="004E11AB" w:rsidRDefault="00434F23" w:rsidP="004E11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11AB">
        <w:rPr>
          <w:rFonts w:ascii="Times New Roman" w:hAnsi="Times New Roman" w:cs="Times New Roman"/>
          <w:sz w:val="24"/>
          <w:szCs w:val="24"/>
        </w:rPr>
        <w:t>If Na &lt;125 mmol/L, use 125. If Na &gt;137 mmol/L, use 137.</w:t>
      </w:r>
    </w:p>
    <w:p w:rsidR="00434F23" w:rsidRPr="004E11AB" w:rsidRDefault="00434F23" w:rsidP="004E11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11AB">
        <w:rPr>
          <w:rFonts w:ascii="Times New Roman" w:hAnsi="Times New Roman" w:cs="Times New Roman"/>
          <w:sz w:val="24"/>
          <w:szCs w:val="24"/>
        </w:rPr>
        <w:t>Maximum MELD = 40.</w:t>
      </w:r>
    </w:p>
    <w:p w:rsidR="00E51FF0" w:rsidRPr="004E11AB" w:rsidRDefault="00E51FF0" w:rsidP="004E11A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34F23" w:rsidRPr="004E11AB" w:rsidRDefault="004E11AB" w:rsidP="004E11AB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E11AB">
        <w:rPr>
          <w:rFonts w:ascii="Times New Roman" w:hAnsi="Times New Roman" w:cs="Times New Roman"/>
          <w:b/>
          <w:sz w:val="24"/>
          <w:szCs w:val="24"/>
        </w:rPr>
        <w:t>Exceptional Scores</w:t>
      </w:r>
    </w:p>
    <w:p w:rsidR="00434F23" w:rsidRPr="004E11AB" w:rsidRDefault="004E11AB" w:rsidP="004E11AB">
      <w:pPr>
        <w:spacing w:line="360" w:lineRule="auto"/>
        <w:rPr>
          <w:rFonts w:ascii="Times New Roman" w:hAnsi="Times New Roman" w:cs="Times New Roman"/>
          <w:sz w:val="24"/>
        </w:rPr>
      </w:pPr>
      <w:r w:rsidRPr="004E11AB">
        <w:rPr>
          <w:rFonts w:ascii="Times New Roman" w:hAnsi="Times New Roman" w:cs="Times New Roman"/>
          <w:sz w:val="24"/>
        </w:rPr>
        <w:t>Some exceptional conditions that could be assigned with additional scores are shown in Table 1.</w:t>
      </w:r>
    </w:p>
    <w:p w:rsidR="00434F23" w:rsidRDefault="00434F23" w:rsidP="004E11AB">
      <w:pPr>
        <w:spacing w:line="360" w:lineRule="auto"/>
        <w:rPr>
          <w:rFonts w:ascii="Times New Roman" w:hAnsi="Times New Roman" w:cs="Times New Roman"/>
        </w:rPr>
      </w:pPr>
    </w:p>
    <w:p w:rsidR="00434F23" w:rsidRDefault="00434F23">
      <w:pPr>
        <w:rPr>
          <w:rFonts w:ascii="Times New Roman" w:hAnsi="Times New Roman" w:cs="Times New Roman"/>
        </w:rPr>
      </w:pPr>
    </w:p>
    <w:p w:rsidR="00434F23" w:rsidRPr="00E51FF0" w:rsidRDefault="00434F23">
      <w:pPr>
        <w:rPr>
          <w:rFonts w:ascii="Times New Roman" w:hAnsi="Times New Roman" w:cs="Times New Roman"/>
        </w:rPr>
      </w:pPr>
    </w:p>
    <w:p w:rsidR="00E51FF0" w:rsidRPr="00E51FF0" w:rsidRDefault="00E51FF0" w:rsidP="00E51FF0">
      <w:pPr>
        <w:jc w:val="center"/>
        <w:rPr>
          <w:rFonts w:ascii="Times New Roman" w:hAnsi="Times New Roman" w:cs="Times New Roman"/>
          <w:sz w:val="24"/>
        </w:rPr>
      </w:pPr>
      <w:r w:rsidRPr="00E51FF0">
        <w:rPr>
          <w:rFonts w:ascii="Times New Roman" w:hAnsi="Times New Roman" w:cs="Times New Roman"/>
          <w:sz w:val="24"/>
        </w:rPr>
        <w:lastRenderedPageBreak/>
        <w:t>Table 1 Exceptional conditions to be assigned higher MELD score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16"/>
        <w:gridCol w:w="5706"/>
      </w:tblGrid>
      <w:tr w:rsidR="00E51FF0" w:rsidRPr="00E51FF0" w:rsidTr="00E51FF0"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ind w:rightChars="443" w:right="930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Hepatocellular carcinoma (HCC)</w:t>
            </w:r>
          </w:p>
        </w:tc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with one lesion between 2 - 5 cm or two to three lesions &lt;3 cm (Milan criteria), provided no vascular invasion or extrahepatic disease.</w:t>
            </w:r>
          </w:p>
        </w:tc>
      </w:tr>
      <w:tr w:rsidR="00E51FF0" w:rsidRPr="00E51FF0" w:rsidTr="00E51FF0"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Hepatopulmonary syndrome</w:t>
            </w:r>
          </w:p>
        </w:tc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with PaO2 &lt;60 mmHg on room air.</w:t>
            </w:r>
          </w:p>
        </w:tc>
      </w:tr>
      <w:tr w:rsidR="00E51FF0" w:rsidRPr="00E51FF0" w:rsidTr="00E51FF0"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Portopulmonary hypertension</w:t>
            </w:r>
          </w:p>
        </w:tc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with mean pulmonary artery pressure (mPAP) &gt;25 mmHg at rest but maintained &lt;35 mmHg with treatment</w:t>
            </w:r>
          </w:p>
        </w:tc>
      </w:tr>
      <w:tr w:rsidR="00E51FF0" w:rsidRPr="00E51FF0" w:rsidTr="00E51FF0"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Hepatic artery thrombosis</w:t>
            </w:r>
          </w:p>
        </w:tc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7 to 14 days post-liver transplantation</w:t>
            </w:r>
          </w:p>
        </w:tc>
      </w:tr>
      <w:tr w:rsidR="00E51FF0" w:rsidRPr="00E51FF0" w:rsidTr="00E51FF0"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Familial amyloid polyneuropathy</w:t>
            </w:r>
          </w:p>
        </w:tc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diagnosed by identification of the transthyretin (TTR) gene mutation by DNA analysis or mass spectrometry in a biopsy sample and confirmation of amyloid deposition in an involved organ.</w:t>
            </w:r>
          </w:p>
        </w:tc>
      </w:tr>
      <w:tr w:rsidR="00E51FF0" w:rsidRPr="00E51FF0" w:rsidTr="00E51FF0"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Primary hyperoxaluria</w:t>
            </w:r>
          </w:p>
        </w:tc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with evidence of alanine glyoxylate aminotransferase deficiency (these patients requires combined liver-kidney transplantation).</w:t>
            </w:r>
          </w:p>
        </w:tc>
      </w:tr>
      <w:tr w:rsidR="00E51FF0" w:rsidRPr="00E51FF0" w:rsidTr="00E51FF0"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Cystic fibrosis</w:t>
            </w:r>
          </w:p>
        </w:tc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with FEV1 (forced expiratory volume in 1 second) &lt;40%.</w:t>
            </w:r>
          </w:p>
        </w:tc>
      </w:tr>
      <w:tr w:rsidR="00E51FF0" w:rsidRPr="00E51FF0" w:rsidTr="00E51FF0"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  <w:r w:rsidRPr="00E51FF0">
              <w:rPr>
                <w:rFonts w:ascii="Times New Roman" w:hAnsi="Times New Roman" w:cs="Times New Roman"/>
                <w:szCs w:val="21"/>
              </w:rPr>
              <w:t>Hilar cholangiocarcinoma.</w:t>
            </w:r>
          </w:p>
        </w:tc>
        <w:tc>
          <w:tcPr>
            <w:tcW w:w="0" w:type="auto"/>
          </w:tcPr>
          <w:p w:rsidR="00E51FF0" w:rsidRPr="00E51FF0" w:rsidRDefault="00E51FF0" w:rsidP="00E51FF0">
            <w:pPr>
              <w:spacing w:line="480" w:lineRule="auto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E51FF0" w:rsidRPr="00E51FF0" w:rsidRDefault="00E51FF0">
      <w:pPr>
        <w:rPr>
          <w:rFonts w:ascii="Times New Roman" w:hAnsi="Times New Roman" w:cs="Times New Roman"/>
        </w:rPr>
      </w:pPr>
      <w:r w:rsidRPr="00E51FF0">
        <w:rPr>
          <w:rFonts w:ascii="Times New Roman" w:hAnsi="Times New Roman" w:cs="Times New Roman"/>
        </w:rPr>
        <w:t>Table 1 The exceptional conditions that are automatically assigned a MELD Score of 22 (28 in case of hyperoxaluria), with a 10% increase in score every 3 months from diagnosis.</w:t>
      </w:r>
    </w:p>
    <w:sectPr w:rsidR="00E51FF0" w:rsidRPr="00E51FF0" w:rsidSect="00594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0A19" w:rsidRDefault="007D0A19" w:rsidP="00434F23">
      <w:r>
        <w:separator/>
      </w:r>
    </w:p>
  </w:endnote>
  <w:endnote w:type="continuationSeparator" w:id="1">
    <w:p w:rsidR="007D0A19" w:rsidRDefault="007D0A19" w:rsidP="00434F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0A19" w:rsidRDefault="007D0A19" w:rsidP="00434F23">
      <w:r>
        <w:separator/>
      </w:r>
    </w:p>
  </w:footnote>
  <w:footnote w:type="continuationSeparator" w:id="1">
    <w:p w:rsidR="007D0A19" w:rsidRDefault="007D0A19" w:rsidP="00434F2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44729E"/>
    <w:multiLevelType w:val="hybridMultilevel"/>
    <w:tmpl w:val="AAC4BEA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1FF0"/>
    <w:rsid w:val="00020225"/>
    <w:rsid w:val="000742F8"/>
    <w:rsid w:val="001B73D1"/>
    <w:rsid w:val="002761A7"/>
    <w:rsid w:val="00347164"/>
    <w:rsid w:val="00400771"/>
    <w:rsid w:val="00434F23"/>
    <w:rsid w:val="004E11AB"/>
    <w:rsid w:val="00594A8D"/>
    <w:rsid w:val="006E39B7"/>
    <w:rsid w:val="007D0A19"/>
    <w:rsid w:val="00E12A83"/>
    <w:rsid w:val="00E51FF0"/>
    <w:rsid w:val="00E570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A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1FF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434F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34F2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34F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34F23"/>
    <w:rPr>
      <w:sz w:val="18"/>
      <w:szCs w:val="18"/>
    </w:rPr>
  </w:style>
  <w:style w:type="paragraph" w:styleId="a6">
    <w:name w:val="List Paragraph"/>
    <w:basedOn w:val="a"/>
    <w:uiPriority w:val="34"/>
    <w:qFormat/>
    <w:rsid w:val="00434F2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4E11A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optn.transplant.hrsa.gov/media/1575/policynotice_20151101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361</Words>
  <Characters>2059</Characters>
  <Application>Microsoft Office Word</Application>
  <DocSecurity>0</DocSecurity>
  <Lines>17</Lines>
  <Paragraphs>4</Paragraphs>
  <ScaleCrop>false</ScaleCrop>
  <Company/>
  <LinksUpToDate>false</LinksUpToDate>
  <CharactersWithSpaces>2416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Ada</dc:creator>
  <cp:keywords/>
  <dc:description/>
  <cp:lastModifiedBy>dell</cp:lastModifiedBy>
  <cp:revision>8</cp:revision>
  <dcterms:created xsi:type="dcterms:W3CDTF">2020-04-04T15:54:00Z</dcterms:created>
  <dcterms:modified xsi:type="dcterms:W3CDTF">2021-01-27T09:17:00Z</dcterms:modified>
</cp:coreProperties>
</file>