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11D22" w14:textId="77777777" w:rsidR="002D5632" w:rsidRPr="00D5224B" w:rsidRDefault="002D5632" w:rsidP="002D5632">
      <w:pPr>
        <w:spacing w:line="360" w:lineRule="auto"/>
        <w:rPr>
          <w:rFonts w:ascii="Arial" w:hAnsi="Arial" w:cs="Arial"/>
          <w:b/>
          <w:sz w:val="22"/>
          <w:szCs w:val="22"/>
        </w:rPr>
      </w:pPr>
      <w:r w:rsidRPr="00D5224B">
        <w:rPr>
          <w:rFonts w:ascii="Arial" w:hAnsi="Arial" w:cs="Arial"/>
          <w:b/>
          <w:sz w:val="22"/>
          <w:szCs w:val="22"/>
        </w:rPr>
        <w:t xml:space="preserve">Supplementary Figure Legends </w:t>
      </w:r>
    </w:p>
    <w:p w14:paraId="1CA744CC" w14:textId="77777777" w:rsidR="002D5632" w:rsidRPr="00D5224B" w:rsidRDefault="002D5632" w:rsidP="002D5632">
      <w:pPr>
        <w:spacing w:line="360" w:lineRule="auto"/>
        <w:jc w:val="both"/>
        <w:rPr>
          <w:rFonts w:ascii="Arial" w:hAnsi="Arial" w:cs="Arial"/>
          <w:b/>
          <w:bCs/>
          <w:sz w:val="22"/>
          <w:szCs w:val="22"/>
        </w:rPr>
      </w:pPr>
      <w:r w:rsidRPr="00D5224B">
        <w:rPr>
          <w:rFonts w:ascii="Arial" w:hAnsi="Arial" w:cs="Arial"/>
          <w:b/>
          <w:bCs/>
          <w:sz w:val="22"/>
          <w:szCs w:val="22"/>
        </w:rPr>
        <w:t xml:space="preserve">Figure S1. Limited binding of BLM and RIF1 with PICH on pre-UFB structures before anaphase. </w:t>
      </w:r>
    </w:p>
    <w:p w14:paraId="5806F65D" w14:textId="77777777" w:rsidR="002D5632" w:rsidRPr="00D5224B" w:rsidRDefault="002D5632" w:rsidP="002D5632">
      <w:pPr>
        <w:spacing w:line="360" w:lineRule="auto"/>
        <w:jc w:val="both"/>
        <w:rPr>
          <w:rFonts w:ascii="Arial" w:hAnsi="Arial" w:cs="Arial"/>
          <w:b/>
          <w:bCs/>
          <w:sz w:val="22"/>
          <w:szCs w:val="22"/>
        </w:rPr>
      </w:pPr>
      <w:r w:rsidRPr="00D5224B">
        <w:rPr>
          <w:rFonts w:ascii="Arial" w:hAnsi="Arial" w:cs="Arial"/>
          <w:sz w:val="22"/>
          <w:szCs w:val="22"/>
        </w:rPr>
        <w:t>(A) Repetition of co-immunoprecipitation of BLM, PICH-mClover3 and TOP3A in the presence or absence of PLK1i treatments. Quantification of the normalised ratios are shown.</w:t>
      </w:r>
    </w:p>
    <w:p w14:paraId="1E2626BA" w14:textId="77777777" w:rsidR="002D5632" w:rsidRPr="00D5224B" w:rsidRDefault="002D5632" w:rsidP="002D5632">
      <w:pPr>
        <w:spacing w:line="360" w:lineRule="auto"/>
        <w:jc w:val="both"/>
        <w:rPr>
          <w:rFonts w:ascii="Arial" w:hAnsi="Arial" w:cs="Arial"/>
          <w:color w:val="000000" w:themeColor="text1"/>
          <w:sz w:val="22"/>
          <w:szCs w:val="22"/>
        </w:rPr>
      </w:pPr>
      <w:r w:rsidRPr="00D5224B">
        <w:rPr>
          <w:rFonts w:ascii="Arial" w:hAnsi="Arial" w:cs="Arial"/>
          <w:color w:val="000000" w:themeColor="text1"/>
          <w:sz w:val="22"/>
          <w:szCs w:val="22"/>
        </w:rPr>
        <w:t>(B) The precise loca</w:t>
      </w:r>
      <w:r>
        <w:rPr>
          <w:rFonts w:ascii="Arial" w:hAnsi="Arial" w:cs="Arial"/>
          <w:color w:val="000000" w:themeColor="text1"/>
          <w:sz w:val="22"/>
          <w:szCs w:val="22"/>
        </w:rPr>
        <w:t>lisation</w:t>
      </w:r>
      <w:r w:rsidRPr="00D5224B">
        <w:rPr>
          <w:rFonts w:ascii="Arial" w:hAnsi="Arial" w:cs="Arial"/>
          <w:color w:val="000000" w:themeColor="text1"/>
          <w:sz w:val="22"/>
          <w:szCs w:val="22"/>
        </w:rPr>
        <w:t xml:space="preserve"> of PICH at </w:t>
      </w:r>
      <w:r>
        <w:rPr>
          <w:rFonts w:ascii="Arial" w:hAnsi="Arial" w:cs="Arial"/>
          <w:color w:val="000000" w:themeColor="text1"/>
          <w:sz w:val="22"/>
          <w:szCs w:val="22"/>
        </w:rPr>
        <w:t xml:space="preserve">human </w:t>
      </w:r>
      <w:r w:rsidRPr="00D5224B">
        <w:rPr>
          <w:rFonts w:ascii="Arial" w:hAnsi="Arial" w:cs="Arial"/>
          <w:color w:val="000000" w:themeColor="text1"/>
          <w:sz w:val="22"/>
          <w:szCs w:val="22"/>
        </w:rPr>
        <w:t xml:space="preserve">centromeres. Deconvolved images of RPE1 metaphase cells showing the localisation of NUF2 and PICH relative to CENPA. Scale bars, 5 μm. Graphs showing their relative distances to CENPA (114 of NUF2 and 150 of PICH foci were measured; mean </w:t>
      </w:r>
      <w:r w:rsidRPr="00D5224B">
        <w:rPr>
          <w:rFonts w:ascii="Arial" w:eastAsia="PMingLiU" w:hAnsi="Arial" w:cs="Arial"/>
          <w:color w:val="000000" w:themeColor="text1"/>
          <w:kern w:val="24"/>
          <w:sz w:val="20"/>
          <w:szCs w:val="20"/>
        </w:rPr>
        <w:t xml:space="preserve">± </w:t>
      </w:r>
      <w:r w:rsidRPr="00D5224B">
        <w:rPr>
          <w:rFonts w:ascii="Arial" w:hAnsi="Arial" w:cs="Arial"/>
          <w:color w:val="000000" w:themeColor="text1"/>
          <w:sz w:val="22"/>
          <w:szCs w:val="22"/>
        </w:rPr>
        <w:t>S.E.M is shown).</w:t>
      </w:r>
      <w:r>
        <w:rPr>
          <w:rFonts w:ascii="Arial" w:hAnsi="Arial" w:cs="Arial"/>
          <w:color w:val="000000" w:themeColor="text1"/>
          <w:sz w:val="22"/>
          <w:szCs w:val="22"/>
        </w:rPr>
        <w:t xml:space="preserve"> Arrowheads denote K-chromatin, and the arrow indicates UFB precursors.</w:t>
      </w:r>
      <w:r w:rsidRPr="00D5224B">
        <w:rPr>
          <w:rFonts w:ascii="Arial" w:hAnsi="Arial" w:cs="Arial"/>
          <w:color w:val="000000" w:themeColor="text1"/>
          <w:sz w:val="22"/>
          <w:szCs w:val="22"/>
        </w:rPr>
        <w:t xml:space="preserve"> </w:t>
      </w:r>
    </w:p>
    <w:p w14:paraId="38A87859" w14:textId="77777777" w:rsidR="002D5632" w:rsidRPr="00D5224B" w:rsidRDefault="002D5632" w:rsidP="002D5632">
      <w:pPr>
        <w:spacing w:line="360" w:lineRule="auto"/>
        <w:jc w:val="both"/>
        <w:rPr>
          <w:rFonts w:ascii="Arial" w:hAnsi="Arial" w:cs="Arial"/>
          <w:color w:val="000000" w:themeColor="text1"/>
          <w:sz w:val="22"/>
          <w:szCs w:val="22"/>
        </w:rPr>
      </w:pPr>
      <w:r w:rsidRPr="00D5224B">
        <w:rPr>
          <w:rFonts w:ascii="Arial" w:hAnsi="Arial" w:cs="Arial"/>
          <w:color w:val="000000" w:themeColor="text1"/>
          <w:sz w:val="22"/>
          <w:szCs w:val="22"/>
        </w:rPr>
        <w:t xml:space="preserve">(C) Super-resolution STED nanoscopy showing </w:t>
      </w:r>
      <w:r>
        <w:rPr>
          <w:rFonts w:ascii="Arial" w:hAnsi="Arial" w:cs="Arial"/>
          <w:color w:val="000000" w:themeColor="text1"/>
          <w:sz w:val="22"/>
          <w:szCs w:val="22"/>
        </w:rPr>
        <w:t>the</w:t>
      </w:r>
      <w:r w:rsidRPr="00D5224B">
        <w:rPr>
          <w:rFonts w:ascii="Arial" w:hAnsi="Arial" w:cs="Arial"/>
          <w:color w:val="000000" w:themeColor="text1"/>
          <w:sz w:val="22"/>
          <w:szCs w:val="22"/>
        </w:rPr>
        <w:t xml:space="preserve"> localisation of PICH </w:t>
      </w:r>
      <w:r>
        <w:rPr>
          <w:rFonts w:ascii="Arial" w:hAnsi="Arial" w:cs="Arial"/>
          <w:color w:val="000000" w:themeColor="text1"/>
          <w:sz w:val="22"/>
          <w:szCs w:val="22"/>
        </w:rPr>
        <w:t>at</w:t>
      </w:r>
      <w:r w:rsidRPr="00D5224B">
        <w:rPr>
          <w:rFonts w:ascii="Arial" w:hAnsi="Arial" w:cs="Arial"/>
          <w:color w:val="000000" w:themeColor="text1"/>
          <w:sz w:val="22"/>
          <w:szCs w:val="22"/>
        </w:rPr>
        <w:t xml:space="preserve"> K-chromatin (arrowheads)</w:t>
      </w:r>
      <w:r>
        <w:rPr>
          <w:rFonts w:ascii="Arial" w:hAnsi="Arial" w:cs="Arial"/>
          <w:color w:val="000000" w:themeColor="text1"/>
          <w:sz w:val="22"/>
          <w:szCs w:val="22"/>
        </w:rPr>
        <w:t xml:space="preserve"> and UFB precursors (arrow), </w:t>
      </w:r>
      <w:r w:rsidRPr="00D5224B">
        <w:rPr>
          <w:rFonts w:ascii="Arial" w:hAnsi="Arial" w:cs="Arial"/>
          <w:color w:val="000000" w:themeColor="text1"/>
          <w:sz w:val="22"/>
          <w:szCs w:val="22"/>
        </w:rPr>
        <w:t xml:space="preserve">and the </w:t>
      </w:r>
      <w:r>
        <w:rPr>
          <w:rFonts w:ascii="Arial" w:hAnsi="Arial" w:cs="Arial"/>
          <w:color w:val="000000" w:themeColor="text1"/>
          <w:sz w:val="22"/>
          <w:szCs w:val="22"/>
        </w:rPr>
        <w:t>colocalisation</w:t>
      </w:r>
      <w:r w:rsidRPr="00D5224B">
        <w:rPr>
          <w:rFonts w:ascii="Arial" w:hAnsi="Arial" w:cs="Arial"/>
          <w:color w:val="000000" w:themeColor="text1"/>
          <w:sz w:val="22"/>
          <w:szCs w:val="22"/>
        </w:rPr>
        <w:t xml:space="preserve"> of BLM </w:t>
      </w:r>
      <w:r>
        <w:rPr>
          <w:rFonts w:ascii="Arial" w:hAnsi="Arial" w:cs="Arial"/>
          <w:color w:val="000000" w:themeColor="text1"/>
          <w:sz w:val="22"/>
          <w:szCs w:val="22"/>
        </w:rPr>
        <w:t>after</w:t>
      </w:r>
      <w:r w:rsidRPr="00D5224B">
        <w:rPr>
          <w:rFonts w:ascii="Arial" w:hAnsi="Arial" w:cs="Arial"/>
          <w:color w:val="000000" w:themeColor="text1"/>
          <w:sz w:val="22"/>
          <w:szCs w:val="22"/>
        </w:rPr>
        <w:t xml:space="preserve"> PLK1 inhibition. BUBR1, CENPA and PICH-mClover3 were imaged by STED whereas *CREST by confocal microscopy. Scale bars, 100 nm. </w:t>
      </w:r>
      <w:r>
        <w:rPr>
          <w:rFonts w:ascii="Arial" w:hAnsi="Arial" w:cs="Arial"/>
          <w:color w:val="000000" w:themeColor="text1"/>
          <w:sz w:val="22"/>
          <w:szCs w:val="22"/>
        </w:rPr>
        <w:t xml:space="preserve">A diagram </w:t>
      </w:r>
      <w:r>
        <w:rPr>
          <w:rFonts w:ascii="Arial" w:hAnsi="Arial" w:cs="Arial"/>
          <w:sz w:val="22"/>
          <w:szCs w:val="22"/>
        </w:rPr>
        <w:t>illustrating</w:t>
      </w:r>
      <w:r w:rsidRPr="00D5224B">
        <w:rPr>
          <w:rFonts w:ascii="Arial" w:hAnsi="Arial" w:cs="Arial"/>
          <w:sz w:val="22"/>
          <w:szCs w:val="22"/>
        </w:rPr>
        <w:t xml:space="preserve"> </w:t>
      </w:r>
      <w:r>
        <w:rPr>
          <w:rFonts w:ascii="Arial" w:hAnsi="Arial" w:cs="Arial"/>
          <w:sz w:val="22"/>
          <w:szCs w:val="22"/>
        </w:rPr>
        <w:t xml:space="preserve">the </w:t>
      </w:r>
      <w:r w:rsidRPr="00D5224B">
        <w:rPr>
          <w:rFonts w:ascii="Arial" w:hAnsi="Arial" w:cs="Arial"/>
          <w:sz w:val="22"/>
          <w:szCs w:val="22"/>
        </w:rPr>
        <w:t xml:space="preserve">K-chromatin and </w:t>
      </w:r>
      <w:r>
        <w:rPr>
          <w:rFonts w:ascii="Arial" w:hAnsi="Arial" w:cs="Arial"/>
          <w:sz w:val="22"/>
          <w:szCs w:val="22"/>
        </w:rPr>
        <w:t xml:space="preserve">UFB precursors bound by PICH but not the BTRR complex and RIF1. </w:t>
      </w:r>
      <w:r w:rsidRPr="00D5224B">
        <w:rPr>
          <w:rFonts w:ascii="Arial" w:hAnsi="Arial" w:cs="Arial"/>
          <w:sz w:val="22"/>
          <w:szCs w:val="22"/>
        </w:rPr>
        <w:t>MT, microtubules; KT, Kinetochores; NUF2, Outer kinetochore marker; CENPA, inner kinetochore marker.</w:t>
      </w:r>
    </w:p>
    <w:p w14:paraId="321DD2D0"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(D) Representative images showing TOP3A and RIF1 staining on pre-</w:t>
      </w:r>
      <w:r>
        <w:rPr>
          <w:rFonts w:ascii="Arial" w:hAnsi="Arial" w:cs="Arial"/>
          <w:sz w:val="22"/>
          <w:szCs w:val="22"/>
        </w:rPr>
        <w:t xml:space="preserve">anaphase </w:t>
      </w:r>
      <w:r w:rsidRPr="00D5224B">
        <w:rPr>
          <w:rFonts w:ascii="Arial" w:hAnsi="Arial" w:cs="Arial"/>
          <w:sz w:val="22"/>
          <w:szCs w:val="22"/>
        </w:rPr>
        <w:t>UFBs and anaphase UFBs in RPE1 cells</w:t>
      </w:r>
      <w:r>
        <w:rPr>
          <w:rFonts w:ascii="Arial" w:hAnsi="Arial" w:cs="Arial"/>
          <w:sz w:val="22"/>
          <w:szCs w:val="22"/>
        </w:rPr>
        <w:t xml:space="preserve"> pre-treated with the indicated siRNA oligos and ICRF193</w:t>
      </w:r>
      <w:r w:rsidRPr="00D5224B">
        <w:rPr>
          <w:rFonts w:ascii="Arial" w:hAnsi="Arial" w:cs="Arial"/>
          <w:sz w:val="22"/>
          <w:szCs w:val="22"/>
        </w:rPr>
        <w:t>. PICH staining was used to label the UFBs structures</w:t>
      </w:r>
      <w:r>
        <w:rPr>
          <w:rFonts w:ascii="Arial" w:hAnsi="Arial" w:cs="Arial"/>
          <w:sz w:val="22"/>
          <w:szCs w:val="22"/>
        </w:rPr>
        <w:t xml:space="preserve"> and CREST for centromeres</w:t>
      </w:r>
      <w:r w:rsidRPr="00D5224B">
        <w:rPr>
          <w:rFonts w:ascii="Arial" w:hAnsi="Arial" w:cs="Arial"/>
          <w:sz w:val="22"/>
          <w:szCs w:val="22"/>
        </w:rPr>
        <w:t xml:space="preserve">. </w:t>
      </w:r>
    </w:p>
    <w:p w14:paraId="3D2D3F4B"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(E) Immunofluorescence staining of endogenous BLM (using mouse B-4 antibody) on pre-</w:t>
      </w:r>
      <w:r>
        <w:rPr>
          <w:rFonts w:ascii="Arial" w:hAnsi="Arial" w:cs="Arial"/>
          <w:sz w:val="22"/>
          <w:szCs w:val="22"/>
        </w:rPr>
        <w:t xml:space="preserve">anaphase </w:t>
      </w:r>
      <w:r w:rsidRPr="00D5224B">
        <w:rPr>
          <w:rFonts w:ascii="Arial" w:hAnsi="Arial" w:cs="Arial"/>
          <w:sz w:val="22"/>
          <w:szCs w:val="22"/>
        </w:rPr>
        <w:t>UFBs and anaphase UFBs in RPE1 cells</w:t>
      </w:r>
      <w:r>
        <w:rPr>
          <w:rFonts w:ascii="Arial" w:hAnsi="Arial" w:cs="Arial"/>
          <w:sz w:val="22"/>
          <w:szCs w:val="22"/>
        </w:rPr>
        <w:t xml:space="preserve"> treated with the indicated siRNA oligos</w:t>
      </w:r>
      <w:r w:rsidRPr="00D5224B">
        <w:rPr>
          <w:rFonts w:ascii="Arial" w:hAnsi="Arial" w:cs="Arial"/>
          <w:sz w:val="22"/>
          <w:szCs w:val="22"/>
        </w:rPr>
        <w:t>. Scale bars, 5 µm. The graph shows the relative intensities (BLM/PICH) on pre-</w:t>
      </w:r>
      <w:r>
        <w:rPr>
          <w:rFonts w:ascii="Arial" w:hAnsi="Arial" w:cs="Arial"/>
          <w:sz w:val="22"/>
          <w:szCs w:val="22"/>
        </w:rPr>
        <w:t xml:space="preserve">anaphase </w:t>
      </w:r>
      <w:r w:rsidRPr="00D5224B">
        <w:rPr>
          <w:rFonts w:ascii="Arial" w:hAnsi="Arial" w:cs="Arial"/>
          <w:sz w:val="22"/>
          <w:szCs w:val="22"/>
        </w:rPr>
        <w:t xml:space="preserve">UFBs and anaphase UFBs. Data is normalised to the average UFB intensity value in mid/late anaphase (total number of UFBs measured per condition: early anaphase UFBs n=143; mid/late anaphase UFBs n= 62, siSGO1 pre-UFBs n=52; mean </w:t>
      </w:r>
      <w:r w:rsidRPr="00D5224B">
        <w:rPr>
          <w:rFonts w:ascii="Arial" w:eastAsia="PMingLiU" w:hAnsi="Arial" w:cs="Arial"/>
          <w:color w:val="000000"/>
          <w:kern w:val="24"/>
          <w:sz w:val="20"/>
          <w:szCs w:val="20"/>
        </w:rPr>
        <w:t>±</w:t>
      </w:r>
      <w:r w:rsidRPr="00D5224B">
        <w:rPr>
          <w:rFonts w:ascii="Arial" w:eastAsia="PMingLiU" w:hAnsi="Arial" w:cs="Arial"/>
          <w:b/>
          <w:bCs/>
          <w:color w:val="000000"/>
          <w:kern w:val="24"/>
          <w:sz w:val="20"/>
          <w:szCs w:val="20"/>
        </w:rPr>
        <w:t xml:space="preserve"> </w:t>
      </w:r>
      <w:r w:rsidRPr="00D5224B">
        <w:rPr>
          <w:rFonts w:ascii="Arial" w:hAnsi="Arial" w:cs="Arial"/>
          <w:sz w:val="22"/>
          <w:szCs w:val="22"/>
        </w:rPr>
        <w:t xml:space="preserve">S.E.M is shown). </w:t>
      </w:r>
    </w:p>
    <w:p w14:paraId="0BE1EFE6" w14:textId="77777777" w:rsidR="002D5632" w:rsidRPr="00D5224B" w:rsidRDefault="002D5632" w:rsidP="002D5632">
      <w:pPr>
        <w:spacing w:line="360" w:lineRule="auto"/>
        <w:rPr>
          <w:rFonts w:ascii="Arial" w:hAnsi="Arial" w:cs="Arial"/>
          <w:b/>
          <w:sz w:val="22"/>
          <w:szCs w:val="22"/>
        </w:rPr>
      </w:pPr>
    </w:p>
    <w:p w14:paraId="75BD0140" w14:textId="77777777" w:rsidR="002D5632" w:rsidRPr="00D5224B" w:rsidRDefault="002D5632" w:rsidP="002D5632">
      <w:pPr>
        <w:spacing w:line="360" w:lineRule="auto"/>
        <w:jc w:val="both"/>
        <w:rPr>
          <w:rFonts w:ascii="Arial" w:hAnsi="Arial" w:cs="Arial"/>
          <w:b/>
          <w:bCs/>
          <w:sz w:val="22"/>
          <w:szCs w:val="22"/>
        </w:rPr>
      </w:pPr>
      <w:r w:rsidRPr="00D5224B">
        <w:rPr>
          <w:rFonts w:ascii="Arial" w:hAnsi="Arial" w:cs="Arial"/>
          <w:b/>
          <w:bCs/>
          <w:sz w:val="22"/>
          <w:szCs w:val="22"/>
        </w:rPr>
        <w:t xml:space="preserve">Figure S2. BLM binds to TOP3A and RMI1 using two adjacent N-terminal motifs. </w:t>
      </w:r>
    </w:p>
    <w:p w14:paraId="6EE5E504"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(A)</w:t>
      </w:r>
      <w:r w:rsidRPr="00D5224B">
        <w:rPr>
          <w:rFonts w:ascii="Arial" w:eastAsia="Times New Roman" w:hAnsi="Arial" w:cs="Arial"/>
          <w:color w:val="000000" w:themeColor="text1"/>
          <w:sz w:val="20"/>
          <w:szCs w:val="20"/>
          <w:lang w:eastAsia="en-GB"/>
        </w:rPr>
        <w:t xml:space="preserve"> </w:t>
      </w:r>
      <w:r w:rsidRPr="00D5224B">
        <w:rPr>
          <w:rFonts w:ascii="Arial" w:hAnsi="Arial" w:cs="Arial"/>
          <w:sz w:val="22"/>
          <w:szCs w:val="22"/>
        </w:rPr>
        <w:t xml:space="preserve">HeLa cells were transiently transfected with the indicated EGFP-BLM constructs, synchronised in G2/M by using 9 µM RO-3306 (CDK1 inhibitor), and released in the presence of 1 µM ICRF193 to enrich for anaphase cells containing UFBs. Representative images of BLM UFB localisation. Scale bars measure 5 μm. Graphs showing percentage of transfected anaphase cells showing at least one EGFP-BLM positive UFB. (n, numbers of anaphase cells examined: n=40). </w:t>
      </w:r>
    </w:p>
    <w:p w14:paraId="048FB288"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 xml:space="preserve">(B) Cartoon representations of the BTRR complex predicted by AlphaFold2 and experimental X-ray crystallography structures aligned to the predicted model. PDB:4CGZ, BLM helicase domain; </w:t>
      </w:r>
      <w:r w:rsidRPr="00D5224B">
        <w:rPr>
          <w:rFonts w:ascii="Arial" w:hAnsi="Arial" w:cs="Arial"/>
          <w:sz w:val="22"/>
          <w:szCs w:val="22"/>
        </w:rPr>
        <w:lastRenderedPageBreak/>
        <w:t xml:space="preserve">PDB:5LUP, </w:t>
      </w:r>
      <w:r>
        <w:rPr>
          <w:rFonts w:ascii="Arial" w:hAnsi="Arial" w:cs="Arial"/>
          <w:sz w:val="22"/>
          <w:szCs w:val="22"/>
        </w:rPr>
        <w:t xml:space="preserve">double </w:t>
      </w:r>
      <w:r w:rsidRPr="00D5224B">
        <w:rPr>
          <w:rFonts w:ascii="Arial" w:hAnsi="Arial" w:cs="Arial"/>
          <w:sz w:val="22"/>
          <w:szCs w:val="22"/>
        </w:rPr>
        <w:t>helical bundle in BLM N-terminus (DHBN); BLM PDB: 4CGY, TOP3A (TOPRIM motif and the ATPase domain) and RMI1 (</w:t>
      </w:r>
      <w:bookmarkStart w:id="0" w:name="_Int_FREbOs7c"/>
      <w:r w:rsidRPr="00D5224B">
        <w:rPr>
          <w:rFonts w:ascii="Arial" w:hAnsi="Arial" w:cs="Arial"/>
          <w:sz w:val="22"/>
          <w:szCs w:val="22"/>
        </w:rPr>
        <w:t>DUF</w:t>
      </w:r>
      <w:bookmarkEnd w:id="0"/>
      <w:r w:rsidRPr="00D5224B">
        <w:rPr>
          <w:rFonts w:ascii="Arial" w:hAnsi="Arial" w:cs="Arial"/>
          <w:sz w:val="22"/>
          <w:szCs w:val="22"/>
        </w:rPr>
        <w:t xml:space="preserve"> and OB1-fold domain); PDB: 3NBH, RMI1 (OB2-fold domain) and RMI2 (OB3-fold domain). The red circle highlights the interfaces between the N-terminal region of BLM and the TRR subcomplex (also see Figure 2D). Schematic representation of the subunits of the BTRR complex (</w:t>
      </w:r>
      <w:r>
        <w:rPr>
          <w:rFonts w:ascii="Arial" w:hAnsi="Arial" w:cs="Arial"/>
          <w:sz w:val="22"/>
          <w:szCs w:val="22"/>
        </w:rPr>
        <w:t xml:space="preserve">DHBN: double helical bundle in N-terminus; </w:t>
      </w:r>
      <w:r w:rsidRPr="00D5224B">
        <w:rPr>
          <w:rFonts w:ascii="Arial" w:hAnsi="Arial" w:cs="Arial"/>
          <w:sz w:val="22"/>
          <w:szCs w:val="22"/>
        </w:rPr>
        <w:t xml:space="preserve">RQC: RecQ C-terminal domain; </w:t>
      </w:r>
      <w:bookmarkStart w:id="1" w:name="_Int_LfJmhfGn"/>
      <w:r w:rsidRPr="00D5224B">
        <w:rPr>
          <w:rFonts w:ascii="Arial" w:hAnsi="Arial" w:cs="Arial"/>
          <w:sz w:val="22"/>
          <w:szCs w:val="22"/>
        </w:rPr>
        <w:t>WHD</w:t>
      </w:r>
      <w:bookmarkEnd w:id="1"/>
      <w:r w:rsidRPr="00D5224B">
        <w:rPr>
          <w:rFonts w:ascii="Arial" w:hAnsi="Arial" w:cs="Arial"/>
          <w:sz w:val="22"/>
          <w:szCs w:val="22"/>
        </w:rPr>
        <w:t>: Winged Helix domain; HRDC: Helicase and RNaseD C-terminal domain; DUF: domain of unknown function; OB: Oligonucleotide/Oligosaccharide-binding domain). Graphs displaying pLDDT scores for each domain within the BTRR dissolvasome. The x-axis represents the residue position within each domain, while the y-axis represents the pLDDT score, indicating the predicted local distance difference between the model and experimental structure.</w:t>
      </w:r>
      <w:r w:rsidRPr="00D5224B">
        <w:rPr>
          <w:rFonts w:ascii="Arial" w:hAnsi="Arial" w:cs="Arial"/>
          <w:b/>
          <w:bCs/>
          <w:color w:val="000000" w:themeColor="text1"/>
          <w:sz w:val="16"/>
          <w:szCs w:val="16"/>
        </w:rPr>
        <w:t xml:space="preserve"> </w:t>
      </w:r>
      <w:r w:rsidRPr="00D5224B">
        <w:rPr>
          <w:rFonts w:ascii="Arial" w:hAnsi="Arial" w:cs="Arial"/>
          <w:sz w:val="22"/>
          <w:szCs w:val="22"/>
        </w:rPr>
        <w:t xml:space="preserve">The plot depicts the PAE (Predicted Aligned Error) values for residue-residue alignment within the subunits of the BTRR complex. PAE values are visualised using colour intensity, with dark blue indicating low values and yellow indicating high values. </w:t>
      </w:r>
    </w:p>
    <w:p w14:paraId="17C0CA6C"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 xml:space="preserve">(C) An </w:t>
      </w:r>
      <w:r w:rsidRPr="00D5224B">
        <w:rPr>
          <w:rFonts w:ascii="Arial" w:hAnsi="Arial" w:cs="Arial"/>
          <w:i/>
          <w:iCs/>
          <w:sz w:val="22"/>
          <w:szCs w:val="22"/>
        </w:rPr>
        <w:t>in</w:t>
      </w:r>
      <w:r w:rsidRPr="00D5224B">
        <w:rPr>
          <w:rFonts w:ascii="Arial" w:hAnsi="Arial" w:cs="Arial"/>
          <w:i/>
          <w:sz w:val="22"/>
          <w:szCs w:val="22"/>
        </w:rPr>
        <w:t xml:space="preserve"> vivo</w:t>
      </w:r>
      <w:r w:rsidRPr="00D5224B">
        <w:rPr>
          <w:rFonts w:ascii="Arial" w:hAnsi="Arial" w:cs="Arial"/>
          <w:sz w:val="22"/>
          <w:szCs w:val="22"/>
        </w:rPr>
        <w:t xml:space="preserve"> BLM-TOP3A interaction assay</w:t>
      </w:r>
      <w:r w:rsidRPr="00D5224B">
        <w:rPr>
          <w:rFonts w:ascii="Arial" w:hAnsi="Arial" w:cs="Arial"/>
          <w:i/>
          <w:iCs/>
          <w:sz w:val="22"/>
          <w:szCs w:val="22"/>
        </w:rPr>
        <w:t>.</w:t>
      </w:r>
      <w:r w:rsidRPr="00D5224B">
        <w:rPr>
          <w:rFonts w:ascii="Arial" w:hAnsi="Arial" w:cs="Arial"/>
          <w:sz w:val="22"/>
          <w:szCs w:val="22"/>
        </w:rPr>
        <w:t xml:space="preserve"> EGFP-BLM is tethered to centromeres in ΔBLM HAP1 cells by fusing with a truncated CENPB (1-158). The centromeric recruitment of endogenous TOP3A protein was assayed by immunofluorescence </w:t>
      </w:r>
      <w:r w:rsidRPr="00D5224B">
        <w:rPr>
          <w:rFonts w:ascii="Arial" w:hAnsi="Arial" w:cs="Arial"/>
          <w:color w:val="000000" w:themeColor="text1"/>
          <w:sz w:val="22"/>
          <w:szCs w:val="22"/>
        </w:rPr>
        <w:t>staining. Percentages of transfected cells positive for TOP3A at centromeres are shown (total numbers of transfected interphase cells analysed: EGFP n= 176; EGFP-BLM WT n=287; EGFP-BLM Q672R n=254; EGFP-BLM ∆51 n=303; EGFP-BLM ∆13, n=289; EGFP-N7A, N8A n=292; EGFP-L9A n=278; mean </w:t>
      </w:r>
      <w:r w:rsidRPr="00D5224B">
        <w:rPr>
          <w:rFonts w:ascii="Arial" w:eastAsia="PMingLiU" w:hAnsi="Arial" w:cs="Arial"/>
          <w:color w:val="000000"/>
          <w:kern w:val="24"/>
          <w:sz w:val="20"/>
          <w:szCs w:val="20"/>
        </w:rPr>
        <w:t>±</w:t>
      </w:r>
      <w:r w:rsidRPr="00D5224B">
        <w:rPr>
          <w:rFonts w:ascii="Arial" w:hAnsi="Arial" w:cs="Arial"/>
          <w:color w:val="000000" w:themeColor="text1"/>
          <w:sz w:val="22"/>
          <w:szCs w:val="22"/>
        </w:rPr>
        <w:t> S.D. is shown, from three independent experiments). Scale bars, 5 µm.</w:t>
      </w:r>
    </w:p>
    <w:p w14:paraId="5A2261DB" w14:textId="77777777" w:rsidR="002D5632" w:rsidRPr="00D5224B" w:rsidRDefault="002D5632" w:rsidP="002D5632">
      <w:pPr>
        <w:spacing w:line="360" w:lineRule="auto"/>
        <w:jc w:val="both"/>
        <w:rPr>
          <w:rFonts w:ascii="Arial" w:hAnsi="Arial" w:cs="Arial"/>
          <w:b/>
          <w:sz w:val="22"/>
          <w:szCs w:val="22"/>
        </w:rPr>
      </w:pPr>
    </w:p>
    <w:p w14:paraId="7410F97A"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b/>
          <w:bCs/>
          <w:sz w:val="22"/>
          <w:szCs w:val="22"/>
        </w:rPr>
        <w:t>Figure S3. The binding of BLM and TOP3A proteins to anaphase UFBs is interdependent</w:t>
      </w:r>
      <w:r w:rsidRPr="00D5224B">
        <w:rPr>
          <w:rFonts w:ascii="Arial" w:hAnsi="Arial" w:cs="Arial"/>
          <w:sz w:val="22"/>
          <w:szCs w:val="22"/>
        </w:rPr>
        <w:t xml:space="preserve">. </w:t>
      </w:r>
    </w:p>
    <w:p w14:paraId="4A3FC53D" w14:textId="77777777" w:rsidR="002D5632" w:rsidRPr="00D5224B" w:rsidRDefault="002D5632" w:rsidP="002D5632">
      <w:pPr>
        <w:spacing w:line="360" w:lineRule="auto"/>
        <w:jc w:val="both"/>
        <w:rPr>
          <w:rFonts w:ascii="Arial" w:hAnsi="Arial" w:cs="Arial"/>
          <w:color w:val="000000" w:themeColor="text1"/>
          <w:sz w:val="22"/>
          <w:szCs w:val="22"/>
        </w:rPr>
      </w:pPr>
      <w:r w:rsidRPr="00D5224B">
        <w:rPr>
          <w:rFonts w:ascii="Arial" w:hAnsi="Arial" w:cs="Arial"/>
          <w:sz w:val="22"/>
          <w:szCs w:val="22"/>
        </w:rPr>
        <w:t>(A)</w:t>
      </w:r>
      <w:r w:rsidRPr="00D5224B">
        <w:rPr>
          <w:rFonts w:ascii="Arial" w:hAnsi="Arial" w:cs="Arial"/>
          <w:b/>
          <w:bCs/>
          <w:sz w:val="22"/>
          <w:szCs w:val="22"/>
        </w:rPr>
        <w:t xml:space="preserve"> </w:t>
      </w:r>
      <w:r w:rsidRPr="00D5224B">
        <w:rPr>
          <w:rFonts w:ascii="Arial" w:hAnsi="Arial" w:cs="Arial"/>
          <w:sz w:val="22"/>
          <w:szCs w:val="22"/>
        </w:rPr>
        <w:t>Experimental outline of TOP3A RNA interference (RNAi) in HeLa, U2OS and RPE1 cells. TOP3A and BLM protein levels were analysed by western blotting after TOP3A knockdown. Representative immunofluorescence images of anaphase HeLa cells (upper panel) or U2OS cells (lower panel) showing BLM, TOP3A and PICH localisation on UFBs after siCTRL or siTOP3A oligos treatments. The graphs show the intensities of BLM or TOP3A relative to PICH on individual UFBs in both conditions. Data are normalised to the average intensity in the control condition</w:t>
      </w:r>
      <w:r w:rsidRPr="00D5224B">
        <w:rPr>
          <w:rFonts w:ascii="Arial" w:hAnsi="Arial" w:cs="Arial"/>
          <w:color w:val="000000" w:themeColor="text1"/>
          <w:sz w:val="22"/>
          <w:szCs w:val="22"/>
        </w:rPr>
        <w:t xml:space="preserve"> (numbers of UFBs measured in HeLa cells; siCTRL n= 105, siTOP3A n= 76 and U20S cells: siCTRL n= 80, siTOP3A n= 114; mean </w:t>
      </w:r>
      <w:r w:rsidRPr="00D5224B">
        <w:rPr>
          <w:rFonts w:ascii="Arial" w:eastAsia="PMingLiU" w:hAnsi="Arial" w:cs="Arial"/>
          <w:color w:val="000000"/>
          <w:kern w:val="24"/>
          <w:sz w:val="20"/>
          <w:szCs w:val="20"/>
        </w:rPr>
        <w:t>±</w:t>
      </w:r>
      <w:r w:rsidRPr="00D5224B">
        <w:rPr>
          <w:rFonts w:ascii="Arial" w:hAnsi="Arial" w:cs="Arial"/>
          <w:color w:val="000000" w:themeColor="text1"/>
          <w:sz w:val="22"/>
          <w:szCs w:val="22"/>
        </w:rPr>
        <w:t xml:space="preserve"> S.E.M. is shown). </w:t>
      </w:r>
    </w:p>
    <w:p w14:paraId="0B7EA22F"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 xml:space="preserve">(B) Representative immunofluorescence images of wildtype and </w:t>
      </w:r>
      <w:r w:rsidRPr="00D5224B">
        <w:rPr>
          <w:rFonts w:ascii="Arial" w:hAnsi="Arial" w:cs="Arial"/>
          <w:sz w:val="22"/>
          <w:szCs w:val="22"/>
          <w:lang w:val="el-GR"/>
        </w:rPr>
        <w:t>Δ</w:t>
      </w:r>
      <w:r w:rsidRPr="00D5224B">
        <w:rPr>
          <w:rFonts w:ascii="Arial" w:hAnsi="Arial" w:cs="Arial"/>
          <w:sz w:val="22"/>
          <w:szCs w:val="22"/>
        </w:rPr>
        <w:t xml:space="preserve">BLM HAP1 anaphase cells stained for TOP3A and BLM on UFBs. PICH is used to label the UFBs. BLM and TOP3A protein levels were analysed by Western blotting in both cell lines. The relative TOP3A intensities (to PICH) on PICH-coated UFBs are shown. Data are normalised to the average intensity of TOP3A </w:t>
      </w:r>
      <w:r w:rsidRPr="00D5224B">
        <w:rPr>
          <w:rFonts w:ascii="Arial" w:hAnsi="Arial" w:cs="Arial"/>
          <w:sz w:val="22"/>
          <w:szCs w:val="22"/>
        </w:rPr>
        <w:lastRenderedPageBreak/>
        <w:t xml:space="preserve">in wildtype HAP1 cells (numbers of UFBs measured in HAP1 n= 152; in </w:t>
      </w:r>
      <w:r w:rsidRPr="00D5224B">
        <w:rPr>
          <w:rFonts w:ascii="Arial" w:hAnsi="Arial" w:cs="Arial"/>
          <w:sz w:val="22"/>
          <w:szCs w:val="22"/>
          <w:lang w:val="el-GR"/>
        </w:rPr>
        <w:t>Δ</w:t>
      </w:r>
      <w:r w:rsidRPr="00D5224B">
        <w:rPr>
          <w:rFonts w:ascii="Arial" w:hAnsi="Arial" w:cs="Arial"/>
          <w:sz w:val="22"/>
          <w:szCs w:val="22"/>
        </w:rPr>
        <w:t>BLM n= 153; mean </w:t>
      </w:r>
      <w:r w:rsidRPr="00D5224B">
        <w:rPr>
          <w:rFonts w:ascii="Arial" w:eastAsia="PMingLiU" w:hAnsi="Arial" w:cs="Arial"/>
          <w:color w:val="000000"/>
          <w:kern w:val="24"/>
          <w:sz w:val="20"/>
          <w:szCs w:val="20"/>
        </w:rPr>
        <w:t>±</w:t>
      </w:r>
      <w:r w:rsidRPr="00D5224B">
        <w:rPr>
          <w:rFonts w:ascii="Arial" w:hAnsi="Arial" w:cs="Arial"/>
          <w:sz w:val="22"/>
          <w:szCs w:val="22"/>
        </w:rPr>
        <w:t xml:space="preserve"> S.E.M. is shown). </w:t>
      </w:r>
    </w:p>
    <w:p w14:paraId="1420A391"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(C) Experimental outline of BLM RNAi in HeLa cells stably expressing EGFP-TOP3A. Representative immunofluorescence images of anaphase cells showing BLM, TOP3A and PICH localisation to UFBs after siCTRL or siBLM oligos treatments. BLM and EGFP-TOP3A protein levels were analysed by Western Blot. The graphs show quantification of EGFP-TOP3A and BLM intensities relative to PICH. Data are normalised to the average intensity in the control condition (numbers of UFBs measured: siCTRL n= 163; siBLM n= 185; mean </w:t>
      </w:r>
      <w:r w:rsidRPr="00D5224B">
        <w:rPr>
          <w:rFonts w:ascii="Arial" w:eastAsia="PMingLiU" w:hAnsi="Arial" w:cs="Arial"/>
          <w:color w:val="000000"/>
          <w:kern w:val="24"/>
          <w:sz w:val="20"/>
          <w:szCs w:val="20"/>
        </w:rPr>
        <w:t>±</w:t>
      </w:r>
      <w:r w:rsidRPr="00D5224B">
        <w:rPr>
          <w:rFonts w:ascii="Arial" w:hAnsi="Arial" w:cs="Arial"/>
          <w:sz w:val="22"/>
          <w:szCs w:val="22"/>
        </w:rPr>
        <w:t xml:space="preserve"> S.E.M. is shown.). Scale bars, 5 µm. </w:t>
      </w:r>
    </w:p>
    <w:p w14:paraId="432FB7E2" w14:textId="77777777" w:rsidR="002D5632" w:rsidRPr="00D5224B" w:rsidRDefault="002D5632" w:rsidP="002D5632">
      <w:pPr>
        <w:spacing w:line="360" w:lineRule="auto"/>
        <w:jc w:val="both"/>
        <w:rPr>
          <w:rFonts w:ascii="Arial" w:hAnsi="Arial" w:cs="Arial"/>
          <w:b/>
          <w:sz w:val="22"/>
          <w:szCs w:val="22"/>
        </w:rPr>
      </w:pPr>
    </w:p>
    <w:p w14:paraId="18AE3A83" w14:textId="77777777" w:rsidR="002D5632" w:rsidRPr="00D5224B" w:rsidRDefault="002D5632" w:rsidP="002D5632">
      <w:pPr>
        <w:spacing w:line="360" w:lineRule="auto"/>
        <w:jc w:val="both"/>
        <w:rPr>
          <w:rFonts w:ascii="Arial" w:hAnsi="Arial" w:cs="Arial"/>
          <w:b/>
          <w:bCs/>
          <w:sz w:val="22"/>
          <w:szCs w:val="22"/>
        </w:rPr>
      </w:pPr>
      <w:r w:rsidRPr="00D5224B">
        <w:rPr>
          <w:rFonts w:ascii="Arial" w:hAnsi="Arial" w:cs="Arial"/>
          <w:b/>
          <w:bCs/>
          <w:sz w:val="22"/>
          <w:szCs w:val="22"/>
        </w:rPr>
        <w:t xml:space="preserve">Figure S4. BLM-TOP3A interaction becomes less stable in mitotic cells extracts. </w:t>
      </w:r>
    </w:p>
    <w:p w14:paraId="6F076C28"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 xml:space="preserve">(A) Asynchronous and mitotic shake-off cells were collected after the indicated treatments in HeLa and U2OS cells followed by immunoprecipitation of endogenous BLM. FACS (Fluorescent Activated Cell Sorting) profiles of different samples are shown. The immunoprecipitated protein extracts were subjected to washing buffer containing different salt (NaCl) concentrations, as indicated, and analysed by Western Blot. Quantification of the normalised TOP3A/BLM ratio is shown per experiment. </w:t>
      </w:r>
    </w:p>
    <w:p w14:paraId="0ACD400F"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sz w:val="22"/>
          <w:szCs w:val="22"/>
        </w:rPr>
        <w:t xml:space="preserve">(B) Similar to (A) but the EGFP-TOP3A was immunoprecipitated from HeLa cells. Quantification of the normalised BLM/TOP3A ratio is shown per experiment. </w:t>
      </w:r>
    </w:p>
    <w:p w14:paraId="7F1F26EF" w14:textId="77777777" w:rsidR="002D5632" w:rsidRPr="00D5224B" w:rsidRDefault="002D5632" w:rsidP="002D5632">
      <w:pPr>
        <w:spacing w:line="360" w:lineRule="auto"/>
        <w:jc w:val="both"/>
        <w:rPr>
          <w:rFonts w:ascii="Arial" w:hAnsi="Arial" w:cs="Arial"/>
          <w:color w:val="000000" w:themeColor="text1"/>
          <w:sz w:val="22"/>
          <w:szCs w:val="22"/>
        </w:rPr>
      </w:pPr>
      <w:r w:rsidRPr="00D5224B">
        <w:rPr>
          <w:rFonts w:ascii="Arial" w:hAnsi="Arial" w:cs="Arial"/>
          <w:color w:val="000000" w:themeColor="text1"/>
          <w:sz w:val="22"/>
          <w:szCs w:val="22"/>
        </w:rPr>
        <w:t xml:space="preserve">(C) Experimental outline of centromere localisation analysis under different mitotic kinase inhibition. Representative images of HeLa metaphase-arrested cells stained for endogenous BLM, CENPB-mCherry-RMI1 and the outer kinetochore marker, BubR1. Scale bars, 5 µm. Enlarged images illustrate a single centromere. The graph shows quantification of average centromeric intensity of BLM relative to CENPB-mCherry-RMI1 per cell. Data is normalised to the average intensity in untreated condition (at least 12 cells analysed per condition; numbers of centromere cluster measured: DMSO n=462; PLK1i n= 504; CDK1i n=468; MPS1i n=475; AurAi n=488; AurBi n=549. mean </w:t>
      </w:r>
      <w:r w:rsidRPr="00D5224B">
        <w:rPr>
          <w:rFonts w:ascii="Arial" w:eastAsia="PMingLiU" w:hAnsi="Arial" w:cs="Arial"/>
          <w:color w:val="000000" w:themeColor="text1"/>
          <w:kern w:val="24"/>
          <w:sz w:val="20"/>
          <w:szCs w:val="20"/>
        </w:rPr>
        <w:t>±</w:t>
      </w:r>
      <w:r w:rsidRPr="00D5224B">
        <w:rPr>
          <w:rFonts w:ascii="Arial" w:hAnsi="Arial" w:cs="Arial"/>
          <w:color w:val="000000" w:themeColor="text1"/>
          <w:sz w:val="22"/>
          <w:szCs w:val="22"/>
        </w:rPr>
        <w:t xml:space="preserve"> S.E.M is shown). Scanline analyses of the centromeres are shown (right panel) (At least 22 centromeres analysed per condition). </w:t>
      </w:r>
    </w:p>
    <w:p w14:paraId="69259476" w14:textId="77777777" w:rsidR="002D5632" w:rsidRPr="00D5224B" w:rsidRDefault="002D5632" w:rsidP="002D5632">
      <w:pPr>
        <w:spacing w:line="360" w:lineRule="auto"/>
        <w:jc w:val="both"/>
        <w:rPr>
          <w:rFonts w:ascii="Arial" w:hAnsi="Arial" w:cs="Arial"/>
          <w:b/>
          <w:sz w:val="22"/>
          <w:szCs w:val="22"/>
        </w:rPr>
      </w:pPr>
    </w:p>
    <w:p w14:paraId="61BD5399" w14:textId="77777777" w:rsidR="002D5632" w:rsidRPr="00D5224B" w:rsidRDefault="002D5632" w:rsidP="002D5632">
      <w:pPr>
        <w:spacing w:line="360" w:lineRule="auto"/>
        <w:jc w:val="both"/>
        <w:rPr>
          <w:rFonts w:ascii="Arial" w:hAnsi="Arial" w:cs="Arial"/>
          <w:b/>
          <w:bCs/>
          <w:sz w:val="22"/>
          <w:szCs w:val="22"/>
        </w:rPr>
      </w:pPr>
      <w:r w:rsidRPr="00D5224B">
        <w:rPr>
          <w:rFonts w:ascii="Arial" w:hAnsi="Arial" w:cs="Arial"/>
          <w:b/>
          <w:bCs/>
          <w:sz w:val="22"/>
          <w:szCs w:val="22"/>
        </w:rPr>
        <w:t xml:space="preserve">Figure S5. PLK1 and CDK1 prevent the localisation of BLM to K-chromatin in early mitosis. </w:t>
      </w:r>
    </w:p>
    <w:p w14:paraId="373D0187" w14:textId="77777777" w:rsidR="002D5632" w:rsidRPr="00D5224B" w:rsidRDefault="002D5632" w:rsidP="002D5632">
      <w:pPr>
        <w:spacing w:line="360" w:lineRule="auto"/>
        <w:jc w:val="both"/>
        <w:rPr>
          <w:rFonts w:ascii="Arial" w:hAnsi="Arial" w:cs="Arial"/>
          <w:color w:val="000000" w:themeColor="text1"/>
          <w:sz w:val="22"/>
          <w:szCs w:val="22"/>
        </w:rPr>
      </w:pPr>
      <w:r w:rsidRPr="00D5224B">
        <w:rPr>
          <w:rFonts w:ascii="Arial" w:hAnsi="Arial" w:cs="Arial"/>
          <w:sz w:val="22"/>
          <w:szCs w:val="22"/>
        </w:rPr>
        <w:t>(A)</w:t>
      </w:r>
      <w:r w:rsidRPr="00D5224B">
        <w:rPr>
          <w:rFonts w:ascii="Arial" w:hAnsi="Arial" w:cs="Arial"/>
          <w:b/>
          <w:bCs/>
          <w:sz w:val="22"/>
          <w:szCs w:val="22"/>
        </w:rPr>
        <w:t xml:space="preserve"> </w:t>
      </w:r>
      <w:r w:rsidRPr="00D5224B">
        <w:rPr>
          <w:rFonts w:ascii="Arial" w:hAnsi="Arial" w:cs="Arial"/>
          <w:sz w:val="22"/>
          <w:szCs w:val="22"/>
        </w:rPr>
        <w:t>Experimental outline of cell synchronisation for K-chromatin localisation analysis in RPE1 cells stably expressing EGFP-BLM. Representative images of metaphase-arrested cells after treatment with the indicated kinase inhibitors. PICH staining is used to mark the K-chromatin and CREST for centromeres. Quantification of the percentage of cells positive for BLM at K-chromatin</w:t>
      </w:r>
      <w:r w:rsidRPr="00D5224B">
        <w:rPr>
          <w:rFonts w:ascii="Arial" w:hAnsi="Arial" w:cs="Arial"/>
          <w:color w:val="000000" w:themeColor="text1"/>
          <w:sz w:val="22"/>
          <w:szCs w:val="22"/>
        </w:rPr>
        <w:t xml:space="preserve"> </w:t>
      </w:r>
      <w:r w:rsidRPr="00D5224B">
        <w:rPr>
          <w:rFonts w:ascii="Arial" w:hAnsi="Arial" w:cs="Arial"/>
          <w:color w:val="000000" w:themeColor="text1"/>
          <w:sz w:val="22"/>
          <w:szCs w:val="22"/>
        </w:rPr>
        <w:lastRenderedPageBreak/>
        <w:t xml:space="preserve">(numbers of metaphase cells analysed: DMSO n=126; PLK1i n= 135; CDK1i n=161; MPS1i n=138; AurAi n=130; AurBi n=127; mean is shown from two independent experiments). Scale bars, 5 µm. </w:t>
      </w:r>
    </w:p>
    <w:p w14:paraId="3A7075EE" w14:textId="77777777" w:rsidR="002D5632" w:rsidRPr="00D5224B" w:rsidRDefault="002D5632" w:rsidP="002D5632">
      <w:pPr>
        <w:spacing w:line="360" w:lineRule="auto"/>
        <w:jc w:val="both"/>
        <w:rPr>
          <w:rFonts w:ascii="Arial" w:hAnsi="Arial" w:cs="Arial"/>
          <w:color w:val="000000" w:themeColor="text1"/>
          <w:sz w:val="22"/>
          <w:szCs w:val="22"/>
        </w:rPr>
      </w:pPr>
      <w:r w:rsidRPr="00D5224B">
        <w:rPr>
          <w:rFonts w:ascii="Arial" w:hAnsi="Arial" w:cs="Arial"/>
          <w:color w:val="000000" w:themeColor="text1"/>
          <w:sz w:val="22"/>
          <w:szCs w:val="22"/>
        </w:rPr>
        <w:t xml:space="preserve">(B) Experimental outline of cell synchronisation and EdU labelling for SCEs analysis in HAP1, </w:t>
      </w:r>
      <w:r w:rsidRPr="00D5224B">
        <w:rPr>
          <w:rFonts w:ascii="Arial" w:hAnsi="Arial" w:cs="Arial"/>
          <w:i/>
          <w:iCs/>
          <w:color w:val="000000" w:themeColor="text1"/>
          <w:sz w:val="22"/>
          <w:szCs w:val="22"/>
        </w:rPr>
        <w:t>Δ</w:t>
      </w:r>
      <w:r w:rsidRPr="00D5224B">
        <w:rPr>
          <w:rFonts w:ascii="Arial" w:hAnsi="Arial" w:cs="Arial"/>
          <w:color w:val="000000" w:themeColor="text1"/>
          <w:sz w:val="22"/>
          <w:szCs w:val="22"/>
        </w:rPr>
        <w:t xml:space="preserve">BLM and ΔBLM cells complemented with EGFP-BLM WT and S144A mutant. Graph shows quantification of SCE frequency per chromosome, per metaphase spread. Each data point represents the average number of SCEs per chromosome in one spread. (At least 30 metaphases were analysed per condition mean </w:t>
      </w:r>
      <w:r w:rsidRPr="00D5224B">
        <w:rPr>
          <w:rFonts w:ascii="Arial" w:eastAsia="PMingLiU" w:hAnsi="Arial" w:cs="Arial"/>
          <w:color w:val="000000" w:themeColor="text1"/>
          <w:kern w:val="24"/>
          <w:sz w:val="20"/>
          <w:szCs w:val="20"/>
        </w:rPr>
        <w:t>±</w:t>
      </w:r>
      <w:r w:rsidRPr="00D5224B">
        <w:rPr>
          <w:rFonts w:ascii="Arial" w:hAnsi="Arial" w:cs="Arial"/>
          <w:color w:val="000000" w:themeColor="text1"/>
          <w:sz w:val="22"/>
          <w:szCs w:val="22"/>
        </w:rPr>
        <w:t xml:space="preserve"> S.E.M is shown). Representative images of metaphase spreads of each cell line. </w:t>
      </w:r>
    </w:p>
    <w:p w14:paraId="0768F5CB"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color w:val="000000" w:themeColor="text1"/>
          <w:sz w:val="22"/>
          <w:szCs w:val="22"/>
        </w:rPr>
        <w:t xml:space="preserve">(C) Identification </w:t>
      </w:r>
      <w:r w:rsidRPr="00D5224B">
        <w:rPr>
          <w:rFonts w:ascii="Arial" w:hAnsi="Arial" w:cs="Arial"/>
          <w:sz w:val="22"/>
          <w:szCs w:val="22"/>
        </w:rPr>
        <w:t xml:space="preserve">of PLK1-dependent phosphorylation in mitotic BLM. Experimental setup for mass spectrometry of the immunoprecipitated BLM proteins from </w:t>
      </w:r>
      <w:r w:rsidRPr="00D5224B">
        <w:rPr>
          <w:rFonts w:ascii="Arial" w:hAnsi="Arial" w:cs="Arial"/>
          <w:sz w:val="22"/>
          <w:szCs w:val="22"/>
          <w:lang w:val="el-GR"/>
        </w:rPr>
        <w:t>Δ</w:t>
      </w:r>
      <w:r w:rsidRPr="00D5224B">
        <w:rPr>
          <w:rFonts w:ascii="Arial" w:hAnsi="Arial" w:cs="Arial"/>
          <w:sz w:val="22"/>
          <w:szCs w:val="22"/>
        </w:rPr>
        <w:t>BLM EGFP-BLM cells in the presence or absence of nocodazole/PLK1 inhibitor treatment. Western Blot and silver stain show the enriched EGFP-BLM proteins and the electrophoretic mobility shifts in the indicated conditions.</w:t>
      </w:r>
      <w:r w:rsidRPr="00D5224B">
        <w:rPr>
          <w:rFonts w:ascii="Arial" w:hAnsi="Arial" w:cs="Arial"/>
          <w:color w:val="000000" w:themeColor="text1"/>
          <w:kern w:val="24"/>
          <w:sz w:val="16"/>
          <w:szCs w:val="16"/>
        </w:rPr>
        <w:t xml:space="preserve"> </w:t>
      </w:r>
      <w:r w:rsidRPr="00D5224B">
        <w:rPr>
          <w:rFonts w:ascii="Arial" w:hAnsi="Arial" w:cs="Arial"/>
          <w:sz w:val="22"/>
          <w:szCs w:val="22"/>
        </w:rPr>
        <w:t xml:space="preserve">Systematic analysis of PLK1-mediated phosphorylation on BLM: Table shows BLM sites dephosphorylated (sensitive) or phosphorylated (induced) upon PLK1 inhibition (BI2536) identified in the current study. Phosphopeptides sequences are shown, as well as sites predicted to be phosphorylated by Polo-like kinases (PLKs) using bioinformatic software Group-based Prediction System (GPS-Polo). Summary of BLM sites identified in previous proteome-wide analyses (references are depicted) of PLK1-regulated phosphorylation sites in mitotic human cells; either mitotic-specific sites using Nocodazole or Noscapine, or PLK1-dependent phosphorylation sites using shRNA or small-molecule inhibitors of PLK1: BI4834, BI2536 or TAL (ZK-Thiazolidinone). </w:t>
      </w:r>
    </w:p>
    <w:p w14:paraId="60AA276A" w14:textId="77777777" w:rsidR="002D5632" w:rsidRPr="00D5224B" w:rsidRDefault="002D5632" w:rsidP="002D5632">
      <w:pPr>
        <w:spacing w:line="360" w:lineRule="auto"/>
        <w:jc w:val="both"/>
        <w:rPr>
          <w:rFonts w:ascii="Arial" w:eastAsia="Arial" w:hAnsi="Arial" w:cs="Arial"/>
          <w:sz w:val="22"/>
          <w:szCs w:val="22"/>
        </w:rPr>
      </w:pPr>
      <w:r w:rsidRPr="568E3A05">
        <w:rPr>
          <w:rFonts w:ascii="Arial" w:hAnsi="Arial" w:cs="Arial"/>
          <w:sz w:val="22"/>
          <w:szCs w:val="22"/>
        </w:rPr>
        <w:t>(</w:t>
      </w:r>
      <w:r w:rsidRPr="568E3A05">
        <w:rPr>
          <w:rFonts w:ascii="Arial" w:eastAsia="Arial" w:hAnsi="Arial" w:cs="Arial"/>
          <w:sz w:val="22"/>
          <w:szCs w:val="22"/>
        </w:rPr>
        <w:t xml:space="preserve">D) Schematic representation of BLM protein structure, highlighting the cluster of phosphorylation sites identified in this study. Phosphorylation on both the N-terminus and C-terminus abolishes BTRR complex assembly. PLK1-dependent phosphorylation in the middle of the N-terminus of BLM supresses BLM centromere unwinding, downstream of MPS1 phosphorylation on Ser-144 (PLK1-binding site). DHBN domain mediates BLM oligomerisation, while phosphorylation on Ser-304 is required for TOPBP1 binding (BTRR: BLM, TOP3A, RMI1, RMI2; DHBN; double helical bundle in N-terminus; WHD: Winged Helix domain; HRDC: Helicase and RNaseD C-terminal domain; NLS: Nuclear localisation signal). </w:t>
      </w:r>
    </w:p>
    <w:p w14:paraId="7AB6EFF6" w14:textId="77777777" w:rsidR="002D5632" w:rsidRPr="00D5224B" w:rsidRDefault="002D5632" w:rsidP="002D5632">
      <w:pPr>
        <w:spacing w:line="360" w:lineRule="auto"/>
        <w:jc w:val="both"/>
      </w:pPr>
    </w:p>
    <w:p w14:paraId="5720A421" w14:textId="77777777" w:rsidR="002D5632" w:rsidRPr="00D5224B" w:rsidRDefault="002D5632" w:rsidP="002D5632">
      <w:pPr>
        <w:spacing w:line="360" w:lineRule="auto"/>
        <w:jc w:val="both"/>
      </w:pPr>
    </w:p>
    <w:p w14:paraId="1A457842" w14:textId="77777777" w:rsidR="002D5632" w:rsidRPr="00D5224B" w:rsidRDefault="002D5632" w:rsidP="002D5632">
      <w:pPr>
        <w:spacing w:line="360" w:lineRule="auto"/>
        <w:jc w:val="both"/>
        <w:rPr>
          <w:rFonts w:ascii="Arial" w:hAnsi="Arial" w:cs="Arial"/>
          <w:b/>
          <w:bCs/>
        </w:rPr>
      </w:pPr>
      <w:r w:rsidRPr="00D5224B">
        <w:rPr>
          <w:rFonts w:ascii="Arial" w:hAnsi="Arial" w:cs="Arial"/>
          <w:b/>
          <w:bCs/>
        </w:rPr>
        <w:t xml:space="preserve">Supplementary </w:t>
      </w:r>
      <w:r w:rsidRPr="001D0511">
        <w:rPr>
          <w:rFonts w:ascii="Arial" w:hAnsi="Arial" w:cs="Arial"/>
          <w:b/>
          <w:bCs/>
        </w:rPr>
        <w:t>Movie</w:t>
      </w:r>
      <w:r w:rsidRPr="00D5224B">
        <w:rPr>
          <w:rFonts w:ascii="Arial" w:hAnsi="Arial" w:cs="Arial"/>
          <w:b/>
          <w:bCs/>
        </w:rPr>
        <w:t>s</w:t>
      </w:r>
    </w:p>
    <w:p w14:paraId="76232F86"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b/>
          <w:bCs/>
          <w:sz w:val="22"/>
          <w:szCs w:val="22"/>
        </w:rPr>
        <w:lastRenderedPageBreak/>
        <w:t xml:space="preserve">Movie S1. </w:t>
      </w:r>
      <w:r w:rsidRPr="00D5224B">
        <w:rPr>
          <w:rFonts w:ascii="Arial" w:hAnsi="Arial" w:cs="Arial"/>
          <w:sz w:val="22"/>
          <w:szCs w:val="22"/>
        </w:rPr>
        <w:t>Centromeric localisation of EGFP-TOP3A (green) in HeLa cells expressing CENPB-mCherry-RMI1 fusion protein (red).</w:t>
      </w:r>
    </w:p>
    <w:p w14:paraId="3EE326AF" w14:textId="77777777" w:rsidR="002D5632" w:rsidRPr="00D5224B" w:rsidRDefault="002D5632" w:rsidP="002D5632">
      <w:pPr>
        <w:spacing w:line="360" w:lineRule="auto"/>
        <w:jc w:val="both"/>
        <w:rPr>
          <w:rFonts w:ascii="Arial" w:hAnsi="Arial" w:cs="Arial"/>
          <w:b/>
          <w:bCs/>
          <w:sz w:val="22"/>
          <w:szCs w:val="22"/>
        </w:rPr>
      </w:pPr>
    </w:p>
    <w:p w14:paraId="2B4FDCEB" w14:textId="77777777" w:rsidR="002D5632" w:rsidRPr="00D5224B" w:rsidRDefault="002D5632" w:rsidP="002D5632">
      <w:pPr>
        <w:spacing w:line="360" w:lineRule="auto"/>
        <w:jc w:val="both"/>
        <w:rPr>
          <w:rFonts w:ascii="Arial" w:hAnsi="Arial" w:cs="Arial"/>
          <w:sz w:val="22"/>
          <w:szCs w:val="22"/>
        </w:rPr>
      </w:pPr>
      <w:r w:rsidRPr="00D5224B">
        <w:rPr>
          <w:rFonts w:ascii="Arial" w:hAnsi="Arial" w:cs="Arial"/>
          <w:b/>
          <w:bCs/>
          <w:sz w:val="22"/>
          <w:szCs w:val="22"/>
        </w:rPr>
        <w:t xml:space="preserve">Movie S2. </w:t>
      </w:r>
      <w:r w:rsidRPr="00D5224B">
        <w:rPr>
          <w:rFonts w:ascii="Arial" w:hAnsi="Arial" w:cs="Arial"/>
          <w:sz w:val="22"/>
          <w:szCs w:val="22"/>
        </w:rPr>
        <w:t xml:space="preserve">Centromeric localisation of EGFP-TOP3A (green) in HeLa cells expressing CENPB-mCherry-BLM(Q672R) fusion proteins (red)  </w:t>
      </w:r>
    </w:p>
    <w:p w14:paraId="73E95755"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632"/>
    <w:rsid w:val="002D5632"/>
    <w:rsid w:val="00331A6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88609"/>
  <w15:chartTrackingRefBased/>
  <w15:docId w15:val="{4AC22A8D-0130-468F-8DA0-3DFAD6334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632"/>
    <w:pPr>
      <w:spacing w:after="0" w:line="240" w:lineRule="auto"/>
    </w:pPr>
    <w:rPr>
      <w:rFonts w:eastAsiaTheme="minorEastAsia"/>
      <w:kern w:val="0"/>
      <w:sz w:val="24"/>
      <w:szCs w:val="24"/>
      <w:lang w:val="en-GB" w:eastAsia="zh-TW"/>
      <w14:ligatures w14:val="none"/>
    </w:rPr>
  </w:style>
  <w:style w:type="paragraph" w:styleId="Heading1">
    <w:name w:val="heading 1"/>
    <w:basedOn w:val="Normal"/>
    <w:next w:val="Normal"/>
    <w:link w:val="Heading1Char"/>
    <w:uiPriority w:val="9"/>
    <w:qFormat/>
    <w:rsid w:val="002D5632"/>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D5632"/>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D5632"/>
    <w:pPr>
      <w:keepNext/>
      <w:keepLines/>
      <w:spacing w:before="160" w:after="80" w:line="259" w:lineRule="auto"/>
      <w:outlineLvl w:val="2"/>
    </w:pPr>
    <w:rPr>
      <w:rFonts w:eastAsiaTheme="majorEastAsia"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D5632"/>
    <w:pPr>
      <w:keepNext/>
      <w:keepLines/>
      <w:spacing w:before="80" w:after="40" w:line="259" w:lineRule="auto"/>
      <w:outlineLvl w:val="3"/>
    </w:pPr>
    <w:rPr>
      <w:rFonts w:eastAsiaTheme="majorEastAsia"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2D5632"/>
    <w:pPr>
      <w:keepNext/>
      <w:keepLines/>
      <w:spacing w:before="80" w:after="40" w:line="259" w:lineRule="auto"/>
      <w:outlineLvl w:val="4"/>
    </w:pPr>
    <w:rPr>
      <w:rFonts w:eastAsiaTheme="majorEastAsia"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2D5632"/>
    <w:pPr>
      <w:keepNext/>
      <w:keepLines/>
      <w:spacing w:before="40" w:line="259" w:lineRule="auto"/>
      <w:outlineLvl w:val="5"/>
    </w:pPr>
    <w:rPr>
      <w:rFonts w:eastAsiaTheme="majorEastAsia"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2D5632"/>
    <w:pPr>
      <w:keepNext/>
      <w:keepLines/>
      <w:spacing w:before="40" w:line="259" w:lineRule="auto"/>
      <w:outlineLvl w:val="6"/>
    </w:pPr>
    <w:rPr>
      <w:rFonts w:eastAsiaTheme="majorEastAsia"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2D5632"/>
    <w:pPr>
      <w:keepNext/>
      <w:keepLines/>
      <w:spacing w:line="259" w:lineRule="auto"/>
      <w:outlineLvl w:val="7"/>
    </w:pPr>
    <w:rPr>
      <w:rFonts w:eastAsiaTheme="majorEastAsia"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2D5632"/>
    <w:pPr>
      <w:keepNext/>
      <w:keepLines/>
      <w:spacing w:line="259" w:lineRule="auto"/>
      <w:outlineLvl w:val="8"/>
    </w:pPr>
    <w:rPr>
      <w:rFonts w:eastAsiaTheme="majorEastAsia"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6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6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6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6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56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56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56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56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5632"/>
    <w:rPr>
      <w:rFonts w:eastAsiaTheme="majorEastAsia" w:cstheme="majorBidi"/>
      <w:color w:val="272727" w:themeColor="text1" w:themeTint="D8"/>
    </w:rPr>
  </w:style>
  <w:style w:type="paragraph" w:styleId="Title">
    <w:name w:val="Title"/>
    <w:basedOn w:val="Normal"/>
    <w:next w:val="Normal"/>
    <w:link w:val="TitleChar"/>
    <w:uiPriority w:val="10"/>
    <w:qFormat/>
    <w:rsid w:val="002D5632"/>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D56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632"/>
    <w:pPr>
      <w:numPr>
        <w:ilvl w:val="1"/>
      </w:numPr>
      <w:spacing w:after="160" w:line="259" w:lineRule="auto"/>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D56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5632"/>
    <w:pPr>
      <w:spacing w:before="160" w:after="160" w:line="259" w:lineRule="auto"/>
      <w:jc w:val="center"/>
    </w:pPr>
    <w:rPr>
      <w:rFonts w:eastAsiaTheme="minorHAns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2D5632"/>
    <w:rPr>
      <w:i/>
      <w:iCs/>
      <w:color w:val="404040" w:themeColor="text1" w:themeTint="BF"/>
    </w:rPr>
  </w:style>
  <w:style w:type="paragraph" w:styleId="ListParagraph">
    <w:name w:val="List Paragraph"/>
    <w:basedOn w:val="Normal"/>
    <w:uiPriority w:val="34"/>
    <w:qFormat/>
    <w:rsid w:val="002D5632"/>
    <w:pPr>
      <w:spacing w:after="160" w:line="259" w:lineRule="auto"/>
      <w:ind w:left="720"/>
      <w:contextualSpacing/>
    </w:pPr>
    <w:rPr>
      <w:rFonts w:eastAsiaTheme="minorHAnsi"/>
      <w:kern w:val="2"/>
      <w:sz w:val="22"/>
      <w:szCs w:val="22"/>
      <w:lang w:val="en-US" w:eastAsia="en-US"/>
      <w14:ligatures w14:val="standardContextual"/>
    </w:rPr>
  </w:style>
  <w:style w:type="character" w:styleId="IntenseEmphasis">
    <w:name w:val="Intense Emphasis"/>
    <w:basedOn w:val="DefaultParagraphFont"/>
    <w:uiPriority w:val="21"/>
    <w:qFormat/>
    <w:rsid w:val="002D5632"/>
    <w:rPr>
      <w:i/>
      <w:iCs/>
      <w:color w:val="0F4761" w:themeColor="accent1" w:themeShade="BF"/>
    </w:rPr>
  </w:style>
  <w:style w:type="paragraph" w:styleId="IntenseQuote">
    <w:name w:val="Intense Quote"/>
    <w:basedOn w:val="Normal"/>
    <w:next w:val="Normal"/>
    <w:link w:val="IntenseQuoteChar"/>
    <w:uiPriority w:val="30"/>
    <w:qFormat/>
    <w:rsid w:val="002D563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2D5632"/>
    <w:rPr>
      <w:i/>
      <w:iCs/>
      <w:color w:val="0F4761" w:themeColor="accent1" w:themeShade="BF"/>
    </w:rPr>
  </w:style>
  <w:style w:type="character" w:styleId="IntenseReference">
    <w:name w:val="Intense Reference"/>
    <w:basedOn w:val="DefaultParagraphFont"/>
    <w:uiPriority w:val="32"/>
    <w:qFormat/>
    <w:rsid w:val="002D56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1624</Words>
  <Characters>9263</Characters>
  <Application>Microsoft Office Word</Application>
  <DocSecurity>0</DocSecurity>
  <Lines>77</Lines>
  <Paragraphs>21</Paragraphs>
  <ScaleCrop>false</ScaleCrop>
  <Company>Springer Nature</Company>
  <LinksUpToDate>false</LinksUpToDate>
  <CharactersWithSpaces>10866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2024-05-30T11:01:00Z</dcterms:created>
  <dcterms:modified xsi:type="dcterms:W3CDTF">2024-05-30T11:01:00Z</dcterms:modified>
</cp:coreProperties>
</file>