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0C244" w14:textId="77777777" w:rsidR="00071117" w:rsidRDefault="00071117" w:rsidP="00071117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bookmarkStart w:id="0" w:name="OLE_LINK49"/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Supplementary information</w:t>
      </w:r>
    </w:p>
    <w:p w14:paraId="08A97436" w14:textId="77777777" w:rsidR="00071117" w:rsidRDefault="00071117" w:rsidP="00071117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7DBF65C" w14:textId="77777777" w:rsidR="00071117" w:rsidRDefault="00071117" w:rsidP="00071117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Table S1.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Content of secondary metabolites in different parts of walnut fruit.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850"/>
        <w:gridCol w:w="1134"/>
        <w:gridCol w:w="1143"/>
        <w:gridCol w:w="1125"/>
        <w:gridCol w:w="1559"/>
        <w:gridCol w:w="1700"/>
      </w:tblGrid>
      <w:tr w:rsidR="00071117" w14:paraId="76F24DD1" w14:textId="77777777" w:rsidTr="00071117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C8710D8" w14:textId="77777777" w:rsidR="00071117" w:rsidRDefault="00071117">
            <w:pPr>
              <w:rPr>
                <w:rFonts w:ascii="Times New Roman" w:eastAsiaTheme="minorEastAsia" w:hAnsi="Times New Roman" w:cs="SimSu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Theme="minorEastAsia" w:hAnsi="Times New Roman" w:cs="SimSun"/>
                <w:color w:val="000000" w:themeColor="text1"/>
                <w:kern w:val="0"/>
                <w:sz w:val="24"/>
                <w:szCs w:val="24"/>
                <w14:ligatures w14:val="none"/>
              </w:rPr>
              <w:t>Walnut fruit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49E1E1C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Tannin (mg/</w:t>
            </w:r>
            <w:proofErr w:type="gramStart"/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kg )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0F60AE4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Total </w:t>
            </w:r>
            <w:proofErr w:type="gramStart"/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alkaloids(</w:t>
            </w:r>
            <w:proofErr w:type="gramEnd"/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% 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A0C83D4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Total polyphenol (mg/</w:t>
            </w:r>
            <w:proofErr w:type="gramStart"/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kg )</w:t>
            </w:r>
            <w:proofErr w:type="gramEnd"/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D2A1BED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Total flavone (mg/</w:t>
            </w:r>
            <w:proofErr w:type="gramStart"/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kg )</w:t>
            </w:r>
            <w:proofErr w:type="gramEnd"/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37E50FB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Gallic acid (mg/</w:t>
            </w:r>
            <w:proofErr w:type="gramStart"/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kg 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FF566A8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Chlorogenic acid (mg/</w:t>
            </w:r>
            <w:proofErr w:type="gramStart"/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kg )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46FFAB9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p-Hydroxybenzoic acid (PHBA) (mg/</w:t>
            </w:r>
            <w:proofErr w:type="gramStart"/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kg )</w:t>
            </w:r>
            <w:proofErr w:type="gramEnd"/>
          </w:p>
        </w:tc>
      </w:tr>
      <w:tr w:rsidR="00071117" w14:paraId="0ED3303C" w14:textId="77777777" w:rsidTr="00071117">
        <w:trPr>
          <w:trHeight w:val="284"/>
        </w:trPr>
        <w:tc>
          <w:tcPr>
            <w:tcW w:w="851" w:type="dxa"/>
            <w:noWrap/>
            <w:vAlign w:val="center"/>
            <w:hideMark/>
          </w:tcPr>
          <w:p w14:paraId="48A0371F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Green husk</w:t>
            </w:r>
          </w:p>
        </w:tc>
        <w:tc>
          <w:tcPr>
            <w:tcW w:w="1276" w:type="dxa"/>
            <w:noWrap/>
            <w:vAlign w:val="center"/>
            <w:hideMark/>
          </w:tcPr>
          <w:p w14:paraId="456F8531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7588.67±63.613b</w:t>
            </w:r>
          </w:p>
        </w:tc>
        <w:tc>
          <w:tcPr>
            <w:tcW w:w="850" w:type="dxa"/>
            <w:noWrap/>
            <w:vAlign w:val="center"/>
            <w:hideMark/>
          </w:tcPr>
          <w:p w14:paraId="625575FA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0.73±0.004b</w:t>
            </w:r>
          </w:p>
        </w:tc>
        <w:tc>
          <w:tcPr>
            <w:tcW w:w="1134" w:type="dxa"/>
            <w:noWrap/>
            <w:vAlign w:val="center"/>
            <w:hideMark/>
          </w:tcPr>
          <w:p w14:paraId="039BD51C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8.64±0.035b</w:t>
            </w:r>
          </w:p>
        </w:tc>
        <w:tc>
          <w:tcPr>
            <w:tcW w:w="1143" w:type="dxa"/>
            <w:noWrap/>
            <w:vAlign w:val="center"/>
            <w:hideMark/>
          </w:tcPr>
          <w:p w14:paraId="0C4B4C1F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2833.33±72.001a</w:t>
            </w:r>
          </w:p>
        </w:tc>
        <w:tc>
          <w:tcPr>
            <w:tcW w:w="1125" w:type="dxa"/>
            <w:noWrap/>
            <w:vAlign w:val="center"/>
            <w:hideMark/>
          </w:tcPr>
          <w:p w14:paraId="3FB3F689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153.10±0.205a</w:t>
            </w:r>
          </w:p>
        </w:tc>
        <w:tc>
          <w:tcPr>
            <w:tcW w:w="1559" w:type="dxa"/>
            <w:noWrap/>
            <w:vAlign w:val="center"/>
            <w:hideMark/>
          </w:tcPr>
          <w:p w14:paraId="7605C53A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30.37±0.250 b</w:t>
            </w:r>
          </w:p>
        </w:tc>
        <w:tc>
          <w:tcPr>
            <w:tcW w:w="1700" w:type="dxa"/>
            <w:noWrap/>
            <w:vAlign w:val="center"/>
            <w:hideMark/>
          </w:tcPr>
          <w:p w14:paraId="566C2BA5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9.64±0.135b</w:t>
            </w:r>
          </w:p>
        </w:tc>
      </w:tr>
      <w:tr w:rsidR="00071117" w14:paraId="5ACBB82B" w14:textId="77777777" w:rsidTr="00071117">
        <w:trPr>
          <w:trHeight w:val="284"/>
        </w:trPr>
        <w:tc>
          <w:tcPr>
            <w:tcW w:w="851" w:type="dxa"/>
            <w:noWrap/>
            <w:vAlign w:val="center"/>
            <w:hideMark/>
          </w:tcPr>
          <w:p w14:paraId="56EE38B9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Shell</w:t>
            </w:r>
          </w:p>
        </w:tc>
        <w:tc>
          <w:tcPr>
            <w:tcW w:w="1276" w:type="dxa"/>
            <w:noWrap/>
            <w:vAlign w:val="center"/>
            <w:hideMark/>
          </w:tcPr>
          <w:p w14:paraId="0C0303A0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13296.67±273.103a</w:t>
            </w:r>
          </w:p>
        </w:tc>
        <w:tc>
          <w:tcPr>
            <w:tcW w:w="850" w:type="dxa"/>
            <w:noWrap/>
            <w:vAlign w:val="center"/>
            <w:hideMark/>
          </w:tcPr>
          <w:p w14:paraId="6AAED29C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0.88±0.020a</w:t>
            </w:r>
          </w:p>
        </w:tc>
        <w:tc>
          <w:tcPr>
            <w:tcW w:w="1134" w:type="dxa"/>
            <w:noWrap/>
            <w:vAlign w:val="center"/>
            <w:hideMark/>
          </w:tcPr>
          <w:p w14:paraId="4FD2A16F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13.09±0.075a</w:t>
            </w:r>
          </w:p>
        </w:tc>
        <w:tc>
          <w:tcPr>
            <w:tcW w:w="1143" w:type="dxa"/>
            <w:noWrap/>
            <w:vAlign w:val="center"/>
            <w:hideMark/>
          </w:tcPr>
          <w:p w14:paraId="5E87F557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1333.33±27.217b</w:t>
            </w:r>
          </w:p>
        </w:tc>
        <w:tc>
          <w:tcPr>
            <w:tcW w:w="1125" w:type="dxa"/>
            <w:noWrap/>
            <w:vAlign w:val="center"/>
            <w:hideMark/>
          </w:tcPr>
          <w:p w14:paraId="20DBF887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19.29±0.357c</w:t>
            </w:r>
          </w:p>
        </w:tc>
        <w:tc>
          <w:tcPr>
            <w:tcW w:w="1559" w:type="dxa"/>
            <w:noWrap/>
            <w:vAlign w:val="center"/>
            <w:hideMark/>
          </w:tcPr>
          <w:p w14:paraId="31DA186E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163.87±1.992 a</w:t>
            </w:r>
          </w:p>
        </w:tc>
        <w:tc>
          <w:tcPr>
            <w:tcW w:w="1700" w:type="dxa"/>
            <w:noWrap/>
            <w:vAlign w:val="center"/>
            <w:hideMark/>
          </w:tcPr>
          <w:p w14:paraId="16E7EF15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10.72±0.254a</w:t>
            </w:r>
          </w:p>
        </w:tc>
      </w:tr>
      <w:tr w:rsidR="00071117" w14:paraId="7EB24E9A" w14:textId="77777777" w:rsidTr="00071117">
        <w:trPr>
          <w:trHeight w:val="284"/>
        </w:trPr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46524A8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Kernel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73C3578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2181.00±49.108c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BDC20C5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0.22±0.001c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6E22025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1.79±0.036c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BF831F0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1123.33±62.600b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BA09FD3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24.78±0.305b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C20411D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11.57±0.179c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C6EB8BF" w14:textId="77777777" w:rsidR="00071117" w:rsidRDefault="00071117">
            <w:pP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5.54±0.068c</w:t>
            </w:r>
          </w:p>
        </w:tc>
      </w:tr>
    </w:tbl>
    <w:p w14:paraId="197E5445" w14:textId="77777777" w:rsidR="00071117" w:rsidRDefault="00071117" w:rsidP="00071117">
      <w:pPr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Data are Mean ± SE; the same lowercase letters within rows indicate no significant difference based on ANOVA followed by </w:t>
      </w:r>
      <w:r>
        <w:rPr>
          <w:rFonts w:ascii="Times New Roman" w:hAnsi="Times New Roman"/>
          <w:color w:val="000000" w:themeColor="text1"/>
          <w:sz w:val="24"/>
          <w:szCs w:val="24"/>
        </w:rPr>
        <w:t>Tukey’s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MRT, α = 0.05.</w:t>
      </w:r>
    </w:p>
    <w:p w14:paraId="1E73AB51" w14:textId="77777777" w:rsidR="00071117" w:rsidRDefault="00071117" w:rsidP="00071117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6800A81" w14:textId="77777777" w:rsidR="00071117" w:rsidRDefault="00071117" w:rsidP="00071117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91FED07" w14:textId="77777777" w:rsidR="00071117" w:rsidRDefault="00071117" w:rsidP="00071117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8D4EA2E" w14:textId="77777777" w:rsidR="00071117" w:rsidRDefault="00071117" w:rsidP="00071117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B28A8E0" w14:textId="77777777" w:rsidR="00071117" w:rsidRDefault="00071117" w:rsidP="00071117">
      <w:pPr>
        <w:rPr>
          <w:color w:val="000000" w:themeColor="text1"/>
        </w:rPr>
      </w:pPr>
    </w:p>
    <w:p w14:paraId="31E35BC3" w14:textId="77777777" w:rsidR="00071117" w:rsidRDefault="00071117" w:rsidP="00071117">
      <w:pPr>
        <w:rPr>
          <w:rFonts w:hint="eastAsia"/>
          <w:color w:val="000000" w:themeColor="text1"/>
        </w:rPr>
      </w:pPr>
    </w:p>
    <w:p w14:paraId="7A441F21" w14:textId="77777777" w:rsidR="00071117" w:rsidRDefault="00071117" w:rsidP="00071117">
      <w:pPr>
        <w:rPr>
          <w:rFonts w:hint="eastAsia"/>
          <w:color w:val="000000" w:themeColor="text1"/>
        </w:rPr>
      </w:pPr>
    </w:p>
    <w:p w14:paraId="226B2648" w14:textId="77777777" w:rsidR="00071117" w:rsidRDefault="00071117" w:rsidP="00071117">
      <w:pPr>
        <w:rPr>
          <w:rFonts w:ascii="Times New Roman" w:hAnsi="Times New Roman" w:hint="eastAsia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Table S2.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Primers used for </w:t>
      </w:r>
      <w:proofErr w:type="spellStart"/>
      <w:r>
        <w:rPr>
          <w:rFonts w:ascii="Times New Roman" w:eastAsia="ArnoPro-Regular" w:hAnsi="Times New Roman"/>
          <w:color w:val="000000" w:themeColor="text1"/>
          <w:kern w:val="0"/>
          <w:sz w:val="24"/>
          <w:szCs w:val="24"/>
        </w:rPr>
        <w:t>qRT</w:t>
      </w:r>
      <w:proofErr w:type="spellEnd"/>
      <w:r>
        <w:rPr>
          <w:rFonts w:ascii="Times New Roman" w:eastAsia="ArnoPro-Regular" w:hAnsi="Times New Roman"/>
          <w:color w:val="000000" w:themeColor="text1"/>
          <w:kern w:val="0"/>
          <w:sz w:val="24"/>
          <w:szCs w:val="24"/>
        </w:rPr>
        <w:t>-PCR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analysis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kern w:val="0"/>
          <w:sz w:val="24"/>
          <w:szCs w:val="24"/>
        </w:rPr>
        <w:t>in this study.</w:t>
      </w:r>
    </w:p>
    <w:tbl>
      <w:tblPr>
        <w:tblW w:w="583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708"/>
      </w:tblGrid>
      <w:tr w:rsidR="00071117" w14:paraId="56E43535" w14:textId="77777777" w:rsidTr="00071117">
        <w:trPr>
          <w:trHeight w:val="340"/>
          <w:jc w:val="center"/>
        </w:trPr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A86436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192D1A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Sequence (5’→3’)</w:t>
            </w:r>
          </w:p>
        </w:tc>
      </w:tr>
      <w:tr w:rsidR="00071117" w14:paraId="2C084242" w14:textId="77777777" w:rsidTr="00071117">
        <w:trPr>
          <w:trHeight w:val="5824"/>
          <w:jc w:val="center"/>
        </w:trPr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DA085A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LOC110375617-F</w:t>
            </w:r>
          </w:p>
          <w:p w14:paraId="467F0CDB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LOC110375617-R </w:t>
            </w:r>
          </w:p>
          <w:p w14:paraId="131D1530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LOC110371743-F </w:t>
            </w:r>
          </w:p>
          <w:p w14:paraId="5DC28DEE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LOC110371743-R</w:t>
            </w:r>
          </w:p>
          <w:p w14:paraId="0BCBC5D8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LOC126056438-F</w:t>
            </w:r>
          </w:p>
          <w:p w14:paraId="2371B5E7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LOC126056438-R</w:t>
            </w:r>
          </w:p>
          <w:p w14:paraId="5C5C2EDD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LOC110381048-F</w:t>
            </w:r>
          </w:p>
          <w:p w14:paraId="577ECD38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LOC110381048-R</w:t>
            </w:r>
          </w:p>
          <w:p w14:paraId="3693BDA1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LOC110378477-F </w:t>
            </w:r>
          </w:p>
          <w:p w14:paraId="5CDE8C9F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LOC110378477-R </w:t>
            </w:r>
          </w:p>
          <w:p w14:paraId="60C5A65F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LOC110384165-F </w:t>
            </w:r>
          </w:p>
          <w:p w14:paraId="198C78F5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LOC110384165-R </w:t>
            </w:r>
          </w:p>
          <w:p w14:paraId="3D091ECE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LOC110375691-F</w:t>
            </w:r>
          </w:p>
          <w:p w14:paraId="21EF8979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LOC110375691-R</w:t>
            </w:r>
          </w:p>
          <w:p w14:paraId="7D79A91E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LOC110383985-F</w:t>
            </w:r>
          </w:p>
          <w:p w14:paraId="3F59CCA6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LOC110383985-R</w:t>
            </w:r>
          </w:p>
          <w:p w14:paraId="730CD3BE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actin(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nei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)-F </w:t>
            </w:r>
          </w:p>
          <w:p w14:paraId="4E241F40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actin(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nei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)-R 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CFC492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AGAACACTACTGGCCAGCAA </w:t>
            </w:r>
          </w:p>
          <w:p w14:paraId="6FB50B93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AGAACACTACTGGCCAGCAA </w:t>
            </w:r>
          </w:p>
          <w:p w14:paraId="0F89EDE2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AACCTCTTCTCCACTTCCGG </w:t>
            </w:r>
          </w:p>
          <w:p w14:paraId="3977A4BC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CTTCGCGGAGGTAAACACAG </w:t>
            </w:r>
          </w:p>
          <w:p w14:paraId="3DF78B86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TGGTGTTGGGAGTCCTGATC</w:t>
            </w:r>
          </w:p>
          <w:p w14:paraId="5CB07B9B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AACCAGGACCATATCGCCAA </w:t>
            </w:r>
          </w:p>
          <w:p w14:paraId="7982C0AC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GGGGCTATGAGAAGGAGGTC</w:t>
            </w:r>
          </w:p>
          <w:p w14:paraId="28267EBF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AGTGTCGAAGCCTCCAAGAA </w:t>
            </w:r>
          </w:p>
          <w:p w14:paraId="67D92D64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CCTGTTCTTTGCTGCTGGTT</w:t>
            </w:r>
          </w:p>
          <w:p w14:paraId="11AF4486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ACTTGCCACCACTCTTAGCA</w:t>
            </w:r>
          </w:p>
          <w:p w14:paraId="0BE49170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CGCTCGTCGGTGATACTG </w:t>
            </w:r>
          </w:p>
          <w:p w14:paraId="5AAC3779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AACCTCTGATTGTGCCTTCTT</w:t>
            </w:r>
          </w:p>
          <w:p w14:paraId="1BD9093B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ACTCGGAAATCAGCTGACGA </w:t>
            </w:r>
          </w:p>
          <w:p w14:paraId="7043E1F7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CGCTGTTGATGATGCCAAGA</w:t>
            </w:r>
          </w:p>
          <w:p w14:paraId="7740B025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CAGTTTGTCCTGGCAATGCT </w:t>
            </w:r>
          </w:p>
          <w:p w14:paraId="07B27F8B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TTTGTCCTGAATCTCCGGCT </w:t>
            </w:r>
          </w:p>
          <w:p w14:paraId="65D3B3F6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GTATGGAATCCTGCGGTAT</w:t>
            </w:r>
          </w:p>
          <w:p w14:paraId="05ABD49D" w14:textId="77777777" w:rsidR="00071117" w:rsidRDefault="000711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GGTCCTTACGGATGTCAA</w:t>
            </w:r>
          </w:p>
        </w:tc>
      </w:tr>
    </w:tbl>
    <w:p w14:paraId="53E2B2CB" w14:textId="77777777" w:rsidR="00071117" w:rsidRDefault="00071117" w:rsidP="00071117">
      <w:pPr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Fwd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: forward primer; Rev: reverse primer; 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sf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  <w:lang w:bidi="ar"/>
        </w:rPr>
        <w:t>Rpl-10</w:t>
      </w:r>
      <w:r>
        <w:rPr>
          <w:rFonts w:ascii="Times New Roman" w:hAnsi="Times New Roman"/>
          <w:iCs/>
          <w:color w:val="000000" w:themeColor="text1"/>
          <w:sz w:val="24"/>
          <w:szCs w:val="24"/>
          <w:lang w:bidi="ar"/>
        </w:rPr>
        <w:t>: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  <w:lang w:bidi="ar"/>
        </w:rPr>
        <w:t xml:space="preserve"> 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ribosomal protein L10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bookmarkEnd w:id="0"/>
    <w:p w14:paraId="3AF20743" w14:textId="77777777" w:rsidR="00071117" w:rsidRDefault="00071117" w:rsidP="00071117">
      <w:pPr>
        <w:rPr>
          <w:color w:val="000000" w:themeColor="text1"/>
        </w:rPr>
      </w:pPr>
    </w:p>
    <w:p w14:paraId="720D764B" w14:textId="77777777" w:rsidR="00071117" w:rsidRDefault="00071117" w:rsidP="00071117">
      <w:pPr>
        <w:rPr>
          <w:rFonts w:hint="eastAsia"/>
          <w:color w:val="000000" w:themeColor="text1"/>
        </w:rPr>
      </w:pPr>
    </w:p>
    <w:p w14:paraId="09801D1A" w14:textId="77777777" w:rsidR="00071117" w:rsidRDefault="00071117" w:rsidP="00071117">
      <w:pPr>
        <w:rPr>
          <w:rFonts w:hint="eastAsia"/>
          <w:color w:val="000000" w:themeColor="text1"/>
        </w:rPr>
      </w:pPr>
    </w:p>
    <w:p w14:paraId="12E919AF" w14:textId="77777777" w:rsidR="00071117" w:rsidRDefault="00071117" w:rsidP="00071117">
      <w:pPr>
        <w:rPr>
          <w:rFonts w:hint="eastAsia"/>
          <w:color w:val="000000" w:themeColor="text1"/>
        </w:rPr>
      </w:pPr>
    </w:p>
    <w:p w14:paraId="5F48253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noPro-Regular">
    <w:altName w:val="微软雅黑"/>
    <w:charset w:val="86"/>
    <w:family w:val="swiss"/>
    <w:pitch w:val="default"/>
    <w:sig w:usb0="00000000" w:usb1="00000000" w:usb2="00000010" w:usb3="00000000" w:csb0="000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17"/>
    <w:rsid w:val="00071117"/>
    <w:rsid w:val="005374DE"/>
    <w:rsid w:val="00871FE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586D1"/>
  <w15:chartTrackingRefBased/>
  <w15:docId w15:val="{827963B7-07B4-4B9B-9F4E-30B80621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117"/>
    <w:pPr>
      <w:widowControl w:val="0"/>
      <w:spacing w:after="0" w:line="480" w:lineRule="auto"/>
      <w:jc w:val="both"/>
    </w:pPr>
    <w:rPr>
      <w:rFonts w:ascii="DengXian" w:eastAsia="DengXian" w:hAnsi="DengXian" w:cs="Times New Roman"/>
      <w:sz w:val="21"/>
      <w:szCs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1117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117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117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117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117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117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117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117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117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1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1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1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1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1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1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117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71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117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71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117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711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117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0711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11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1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1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1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235</Words>
  <Characters>1344</Characters>
  <Application>Microsoft Office Word</Application>
  <DocSecurity>0</DocSecurity>
  <Lines>11</Lines>
  <Paragraphs>3</Paragraphs>
  <ScaleCrop>false</ScaleCrop>
  <Company>Springer Nature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2024-05-24T05:55:00Z</dcterms:created>
  <dcterms:modified xsi:type="dcterms:W3CDTF">2024-05-24T05:55:00Z</dcterms:modified>
</cp:coreProperties>
</file>